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March 17, 2023</w:t>
      </w:r>
    </w:p>
    <w:p>
      <w:pPr>
        <w:spacing w:after="0" w:line="31"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9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6116 Executive Blvd.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800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North Bethesda, MD 20852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(240) 252-1138</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Xometry, Inc. 2021 Equity Incentive Plan</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6116 Executive Blvd.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800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North Bethesda, MD 20852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(240) 252-1138</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68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49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37"/>
        </w:trPr>
        <w:tc>
          <w:tcPr>
            <w:tcW w:w="282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Eric Blanchard</w:t>
            </w:r>
          </w:p>
        </w:tc>
        <w:tc>
          <w:tcPr>
            <w:tcW w:w="498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8"/>
              </w:rPr>
              <w:t>James Rallo</w:t>
            </w:r>
          </w:p>
        </w:tc>
      </w:tr>
      <w:tr>
        <w:trPr>
          <w:trHeight w:val="216"/>
        </w:trPr>
        <w:tc>
          <w:tcPr>
            <w:tcW w:w="282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7"/>
              </w:rPr>
              <w:t>Trey Reilly</w:t>
            </w:r>
          </w:p>
        </w:tc>
        <w:tc>
          <w:tcPr>
            <w:tcW w:w="498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Kristie Scott</w:t>
            </w:r>
          </w:p>
        </w:tc>
      </w:tr>
      <w:tr>
        <w:trPr>
          <w:trHeight w:val="216"/>
        </w:trPr>
        <w:tc>
          <w:tcPr>
            <w:tcW w:w="282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Cooley LLP</w:t>
            </w:r>
          </w:p>
        </w:tc>
        <w:tc>
          <w:tcPr>
            <w:tcW w:w="498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7"/>
              </w:rPr>
              <w:t>Xometry, Inc.</w:t>
            </w:r>
          </w:p>
        </w:tc>
      </w:tr>
      <w:tr>
        <w:trPr>
          <w:trHeight w:val="216"/>
        </w:trPr>
        <w:tc>
          <w:tcPr>
            <w:tcW w:w="282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1299 Pennsylvania Ave. NW</w:t>
            </w:r>
          </w:p>
        </w:tc>
        <w:tc>
          <w:tcPr>
            <w:tcW w:w="498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6116 Executive Blvd Suite 800</w:t>
            </w:r>
          </w:p>
        </w:tc>
      </w:tr>
      <w:tr>
        <w:trPr>
          <w:trHeight w:val="216"/>
        </w:trPr>
        <w:tc>
          <w:tcPr>
            <w:tcW w:w="282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Suite 700</w:t>
            </w:r>
          </w:p>
        </w:tc>
        <w:tc>
          <w:tcPr>
            <w:tcW w:w="498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North Bethesda, MD 20852</w:t>
            </w:r>
          </w:p>
        </w:tc>
      </w:tr>
      <w:tr>
        <w:trPr>
          <w:trHeight w:val="216"/>
        </w:trPr>
        <w:tc>
          <w:tcPr>
            <w:tcW w:w="282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Washington, DC 20004-2400</w:t>
            </w:r>
          </w:p>
        </w:tc>
        <w:tc>
          <w:tcPr>
            <w:tcW w:w="498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(240) 252-1138</w:t>
            </w:r>
          </w:p>
        </w:tc>
      </w:tr>
      <w:tr>
        <w:trPr>
          <w:trHeight w:val="238"/>
        </w:trPr>
        <w:tc>
          <w:tcPr>
            <w:tcW w:w="282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(202) 842-7800</w:t>
            </w:r>
          </w:p>
        </w:tc>
        <w:tc>
          <w:tcPr>
            <w:tcW w:w="49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847" w:gutter="0" w:footer="0" w:header="0"/>
        </w:sectPr>
      </w:pPr>
    </w:p>
    <w:bookmarkStart w:id="1" w:name="page2"/>
    <w:bookmarkEnd w:id="1"/>
    <w:p>
      <w:pPr>
        <w:ind w:left="36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OF ADDITIONAL SHARES</w:t>
      </w:r>
    </w:p>
    <w:p>
      <w:pPr>
        <w:spacing w:after="0" w:line="31" w:lineRule="exact"/>
        <w:rPr>
          <w:sz w:val="20"/>
          <w:szCs w:val="20"/>
          <w:color w:val="auto"/>
        </w:rPr>
      </w:pPr>
    </w:p>
    <w:p>
      <w:pPr>
        <w:ind w:left="3664"/>
        <w:spacing w:after="0"/>
        <w:rPr>
          <w:sz w:val="20"/>
          <w:szCs w:val="20"/>
          <w:color w:val="auto"/>
        </w:rPr>
      </w:pPr>
      <w:r>
        <w:rPr>
          <w:rFonts w:ascii="Times New Roman" w:cs="Times New Roman" w:eastAsia="Times New Roman" w:hAnsi="Times New Roman"/>
          <w:sz w:val="18"/>
          <w:szCs w:val="18"/>
          <w:b w:val="1"/>
          <w:bCs w:val="1"/>
          <w:color w:val="auto"/>
        </w:rPr>
        <w:t>PURSUANT TO GENERAL INSTRUCTION E</w:t>
      </w:r>
    </w:p>
    <w:p>
      <w:pPr>
        <w:spacing w:after="0" w:line="203" w:lineRule="exact"/>
        <w:rPr>
          <w:sz w:val="20"/>
          <w:szCs w:val="20"/>
          <w:color w:val="auto"/>
        </w:rPr>
      </w:pPr>
    </w:p>
    <w:p>
      <w:pPr>
        <w:ind w:left="4" w:right="100"/>
        <w:spacing w:after="0" w:line="259" w:lineRule="auto"/>
        <w:rPr>
          <w:sz w:val="20"/>
          <w:szCs w:val="20"/>
          <w:color w:val="auto"/>
        </w:rPr>
      </w:pPr>
      <w:r>
        <w:rPr>
          <w:rFonts w:ascii="Times New Roman" w:cs="Times New Roman" w:eastAsia="Times New Roman" w:hAnsi="Times New Roman"/>
          <w:sz w:val="18"/>
          <w:szCs w:val="18"/>
          <w:color w:val="auto"/>
        </w:rPr>
        <w:t>Pursuant to General Instruction E of Form S-8, Xometry,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is filing this Registration Statement on Form S-8 for the purpose of registering an additional 2,374,920 shares of Class A common stock under the Xometry, Inc. 2021 Equity Incentive Plan (the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pursuant to the provisions of the 2021 Plan providing for annual automatic increase in the number of shares of Class A common stock reserved and available for issuance under the 2021 Plan. In accordance with the instructional note to Part I of Form S-8 as promulgated by the Commission, the information specified by Part I of the Form S-8 has been omitted from this Registration Statement.</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INCORPORATION OF CERTAIN DOCUMENTS BY REFERENCE.</w:t>
      </w:r>
    </w:p>
    <w:p>
      <w:pPr>
        <w:spacing w:after="0" w:line="117"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color w:val="auto"/>
        </w:rPr>
        <w:t>The following documents filed by the Registrant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are incorporated by reference into this Registration Statement:</w:t>
      </w:r>
    </w:p>
    <w:p>
      <w:pPr>
        <w:spacing w:after="0" w:line="51" w:lineRule="exact"/>
        <w:rPr>
          <w:sz w:val="20"/>
          <w:szCs w:val="20"/>
          <w:color w:val="auto"/>
        </w:rPr>
      </w:pPr>
    </w:p>
    <w:p>
      <w:pPr>
        <w:ind w:left="264" w:hanging="264"/>
        <w:spacing w:after="0"/>
        <w:tabs>
          <w:tab w:leader="none" w:pos="2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Registration Statements on Form S-8, previously filed with the Commission on </w:t>
      </w:r>
      <w:hyperlink r:id="rId18">
        <w:r>
          <w:rPr>
            <w:rFonts w:ascii="Times New Roman" w:cs="Times New Roman" w:eastAsia="Times New Roman" w:hAnsi="Times New Roman"/>
            <w:sz w:val="18"/>
            <w:szCs w:val="18"/>
            <w:u w:val="single" w:color="auto"/>
            <w:color w:val="0000EE"/>
          </w:rPr>
          <w:t>July 2,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9">
        <w:r>
          <w:rPr>
            <w:rFonts w:ascii="Times New Roman" w:cs="Times New Roman" w:eastAsia="Times New Roman" w:hAnsi="Times New Roman"/>
            <w:sz w:val="18"/>
            <w:szCs w:val="18"/>
            <w:u w:val="single" w:color="auto"/>
            <w:color w:val="0000EE"/>
          </w:rPr>
          <w:t>March 18,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333-257671 and 333-263716, respectively).</w:t>
      </w:r>
    </w:p>
    <w:p>
      <w:pPr>
        <w:spacing w:after="0" w:line="9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filed with the Commission on March 16, 2023.</w:t>
      </w:r>
    </w:p>
    <w:p>
      <w:pPr>
        <w:spacing w:after="0" w:line="117" w:lineRule="exact"/>
        <w:rPr>
          <w:rFonts w:ascii="Times New Roman" w:cs="Times New Roman" w:eastAsia="Times New Roman" w:hAnsi="Times New Roman"/>
          <w:sz w:val="18"/>
          <w:szCs w:val="18"/>
          <w:color w:val="auto"/>
        </w:rPr>
      </w:pPr>
    </w:p>
    <w:p>
      <w:pPr>
        <w:ind w:left="4" w:right="580" w:hanging="4"/>
        <w:spacing w:after="0" w:line="266" w:lineRule="auto"/>
        <w:tabs>
          <w:tab w:leader="none" w:pos="2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which is contained in a registration statement on </w:t>
      </w:r>
      <w:hyperlink r:id="rId2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June 25, 2021 (File No. 001-40546) under the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including any amendment or report filed for the purpose of updating such description.</w:t>
      </w:r>
    </w:p>
    <w:p>
      <w:pPr>
        <w:spacing w:after="0" w:line="67" w:lineRule="exact"/>
        <w:rPr>
          <w:rFonts w:ascii="Times New Roman" w:cs="Times New Roman" w:eastAsia="Times New Roman" w:hAnsi="Times New Roman"/>
          <w:sz w:val="18"/>
          <w:szCs w:val="18"/>
          <w:color w:val="auto"/>
        </w:rPr>
      </w:pPr>
    </w:p>
    <w:p>
      <w:pPr>
        <w:ind w:left="4" w:hanging="4"/>
        <w:spacing w:after="0" w:line="254" w:lineRule="auto"/>
        <w:tabs>
          <w:tab w:leader="none" w:pos="269"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or incorporated by reference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92" w:lineRule="exact"/>
        <w:rPr>
          <w:rFonts w:ascii="Times New Roman" w:cs="Times New Roman" w:eastAsia="Times New Roman" w:hAnsi="Times New Roman"/>
          <w:sz w:val="18"/>
          <w:szCs w:val="18"/>
          <w:b w:val="1"/>
          <w:bCs w:val="1"/>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8" w:lineRule="exact"/>
        <w:rPr>
          <w:rFonts w:ascii="Times New Roman" w:cs="Times New Roman" w:eastAsia="Times New Roman" w:hAnsi="Times New Roman"/>
          <w:sz w:val="18"/>
          <w:szCs w:val="18"/>
          <w:b w:val="1"/>
          <w:bCs w:val="1"/>
          <w:color w:val="auto"/>
        </w:rPr>
      </w:pPr>
    </w:p>
    <w:tbl>
      <w:tblPr>
        <w:tblLayout w:type="fixed"/>
        <w:tblInd w:w="4" w:type="dxa"/>
        <w:tblCellMar>
          <w:top w:w="0" w:type="dxa"/>
          <w:left w:w="0" w:type="dxa"/>
          <w:bottom w:w="0" w:type="dxa"/>
          <w:right w:w="0" w:type="dxa"/>
        </w:tblCellMar>
      </w:tblPr>
      <w:tr>
        <w:trPr>
          <w:trHeight w:val="173"/>
        </w:trPr>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760" w:type="dxa"/>
            <w:vAlign w:val="bottom"/>
            <w:gridSpan w:val="3"/>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vMerge w:val="restart"/>
          </w:tcPr>
          <w:p>
            <w:pPr>
              <w:spacing w:after="0"/>
              <w:rPr>
                <w:sz w:val="10"/>
                <w:szCs w:val="10"/>
                <w:color w:val="auto"/>
              </w:rPr>
            </w:pPr>
          </w:p>
        </w:tc>
        <w:tc>
          <w:tcPr>
            <w:tcW w:w="820" w:type="dxa"/>
            <w:vAlign w:val="bottom"/>
            <w:gridSpan w:val="2"/>
          </w:tcPr>
          <w:p>
            <w:pPr>
              <w:jc w:val="right"/>
              <w:ind w:right="280"/>
              <w:spacing w:after="0" w:line="115" w:lineRule="exact"/>
              <w:rPr>
                <w:sz w:val="20"/>
                <w:szCs w:val="20"/>
                <w:color w:val="auto"/>
              </w:rPr>
            </w:pPr>
            <w:r>
              <w:rPr>
                <w:rFonts w:ascii="Times New Roman" w:cs="Times New Roman" w:eastAsia="Times New Roman" w:hAnsi="Times New Roman"/>
                <w:sz w:val="13"/>
                <w:szCs w:val="13"/>
                <w:b w:val="1"/>
                <w:bCs w:val="1"/>
                <w:color w:val="auto"/>
              </w:rPr>
              <w:t>Schedule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0" w:type="dxa"/>
            <w:vAlign w:val="bottom"/>
            <w:vMerge w:val="restart"/>
          </w:tcPr>
          <w:p>
            <w:pPr>
              <w:spacing w:after="0"/>
              <w:rPr>
                <w:sz w:val="10"/>
                <w:szCs w:val="10"/>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5"/>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760" w:type="dxa"/>
            <w:vAlign w:val="bottom"/>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tcPr>
          <w:p>
            <w:pPr>
              <w:spacing w:after="0"/>
              <w:rPr>
                <w:sz w:val="22"/>
                <w:szCs w:val="22"/>
                <w:color w:val="auto"/>
              </w:rPr>
            </w:pPr>
          </w:p>
        </w:tc>
        <w:tc>
          <w:tcPr>
            <w:tcW w:w="6060" w:type="dxa"/>
            <w:vAlign w:val="bottom"/>
            <w:tcBorders>
              <w:top w:val="single" w:sz="8" w:color="auto"/>
              <w:bottom w:val="single" w:sz="8" w:color="0000EE"/>
            </w:tcBorders>
            <w:gridSpan w:val="3"/>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Amended and Restated Certificate of Incorporation of Xometry, Inc., as currently in</w:t>
              </w:r>
            </w:hyperlink>
          </w:p>
        </w:tc>
        <w:tc>
          <w:tcPr>
            <w:tcW w:w="1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22">
              <w:r>
                <w:rPr>
                  <w:rFonts w:ascii="Times New Roman" w:cs="Times New Roman" w:eastAsia="Times New Roman" w:hAnsi="Times New Roman"/>
                  <w:sz w:val="18"/>
                  <w:szCs w:val="18"/>
                  <w:color w:val="0000EE"/>
                  <w:w w:val="96"/>
                </w:rPr>
                <w:t>effect.</w:t>
              </w:r>
            </w:hyperlink>
          </w:p>
        </w:tc>
        <w:tc>
          <w:tcPr>
            <w:tcW w:w="5980" w:type="dxa"/>
            <w:vAlign w:val="bottom"/>
            <w:gridSpan w:val="4"/>
          </w:tcPr>
          <w:p>
            <w:pPr>
              <w:spacing w:after="0"/>
              <w:rPr>
                <w:sz w:val="17"/>
                <w:szCs w:val="17"/>
                <w:color w:val="auto"/>
              </w:rPr>
            </w:pPr>
          </w:p>
        </w:tc>
        <w:tc>
          <w:tcPr>
            <w:tcW w:w="82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001-40546</w:t>
            </w:r>
          </w:p>
        </w:tc>
        <w:tc>
          <w:tcPr>
            <w:tcW w:w="7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9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7"/>
              </w:rPr>
              <w:t>July 2, 2021</w:t>
            </w:r>
          </w:p>
        </w:tc>
        <w:tc>
          <w:tcPr>
            <w:tcW w:w="0" w:type="dxa"/>
            <w:vAlign w:val="bottom"/>
          </w:tcPr>
          <w:p>
            <w:pPr>
              <w:spacing w:after="0"/>
              <w:rPr>
                <w:sz w:val="1"/>
                <w:szCs w:val="1"/>
                <w:color w:val="auto"/>
              </w:rPr>
            </w:pPr>
          </w:p>
        </w:tc>
      </w:tr>
      <w:tr>
        <w:trPr>
          <w:trHeight w:val="304"/>
        </w:trPr>
        <w:tc>
          <w:tcPr>
            <w:tcW w:w="52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tcPr>
          <w:p>
            <w:pPr>
              <w:spacing w:after="0"/>
              <w:rPr>
                <w:sz w:val="24"/>
                <w:szCs w:val="24"/>
                <w:color w:val="auto"/>
              </w:rPr>
            </w:pPr>
          </w:p>
        </w:tc>
        <w:tc>
          <w:tcPr>
            <w:tcW w:w="6440" w:type="dxa"/>
            <w:vAlign w:val="bottom"/>
            <w:gridSpan w:val="5"/>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Amended and Restated Bylaws of the Registrant, as currently in effect.</w:t>
              </w:r>
            </w:hyperlink>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001-40546</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July 2, 2021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4"/>
          </w:cols>
          <w:pgMar w:left="436" w:top="266" w:right="45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4.3</w:t>
            </w:r>
          </w:p>
        </w:tc>
        <w:tc>
          <w:tcPr>
            <w:tcW w:w="6380" w:type="dxa"/>
            <w:vAlign w:val="bottom"/>
            <w:gridSpan w:val="11"/>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Form of Class A Common Stock Certificate.</w:t>
              </w:r>
            </w:hyperlink>
          </w:p>
        </w:tc>
      </w:tr>
      <w:tr>
        <w:trPr>
          <w:trHeight w:val="304"/>
        </w:trPr>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5.1*</w:t>
            </w:r>
          </w:p>
        </w:tc>
        <w:tc>
          <w:tcPr>
            <w:tcW w:w="32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Opinion of Cooley LLP.</w:t>
            </w:r>
          </w:p>
        </w:tc>
        <w:tc>
          <w:tcPr>
            <w:tcW w:w="3180" w:type="dxa"/>
            <w:vAlign w:val="bottom"/>
            <w:gridSpan w:val="5"/>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3"/>
              </w:rPr>
              <w:t>23.1*</w:t>
            </w:r>
          </w:p>
        </w:tc>
        <w:tc>
          <w:tcPr>
            <w:tcW w:w="51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Consent of KPMG LLP, independent registered public accounting firm.</w:t>
            </w:r>
          </w:p>
        </w:tc>
        <w:tc>
          <w:tcPr>
            <w:tcW w:w="1220" w:type="dxa"/>
            <w:vAlign w:val="bottom"/>
            <w:gridSpan w:val="2"/>
          </w:tcPr>
          <w:p>
            <w:pPr>
              <w:spacing w:after="0"/>
              <w:rPr>
                <w:sz w:val="24"/>
                <w:szCs w:val="24"/>
                <w:color w:val="auto"/>
              </w:rPr>
            </w:pPr>
          </w:p>
        </w:tc>
      </w:tr>
      <w:tr>
        <w:trPr>
          <w:trHeight w:val="304"/>
        </w:trPr>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3"/>
              </w:rPr>
              <w:t>23.2*</w:t>
            </w:r>
          </w:p>
        </w:tc>
        <w:tc>
          <w:tcPr>
            <w:tcW w:w="3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Cooley LLP (included in Exhibit 5.1).</w:t>
            </w:r>
          </w:p>
        </w:tc>
        <w:tc>
          <w:tcPr>
            <w:tcW w:w="2800" w:type="dxa"/>
            <w:vAlign w:val="bottom"/>
            <w:gridSpan w:val="4"/>
          </w:tcPr>
          <w:p>
            <w:pPr>
              <w:spacing w:after="0"/>
              <w:rPr>
                <w:sz w:val="24"/>
                <w:szCs w:val="24"/>
                <w:color w:val="auto"/>
              </w:rPr>
            </w:pPr>
          </w:p>
        </w:tc>
      </w:tr>
      <w:tr>
        <w:trPr>
          <w:trHeight w:val="304"/>
        </w:trPr>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3"/>
              </w:rPr>
              <w:t>24.1*</w:t>
            </w:r>
          </w:p>
        </w:tc>
        <w:tc>
          <w:tcPr>
            <w:tcW w:w="63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of this Form S-8).</w:t>
            </w:r>
          </w:p>
        </w:tc>
      </w:tr>
      <w:tr>
        <w:trPr>
          <w:trHeight w:val="304"/>
        </w:trPr>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5"/>
              </w:rPr>
              <w:t>99.1</w:t>
            </w:r>
          </w:p>
        </w:tc>
        <w:tc>
          <w:tcPr>
            <w:tcW w:w="30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Xometry, Inc. 2021 Equity Incentive Plan.</w:t>
              </w:r>
            </w:hyperlink>
          </w:p>
        </w:tc>
        <w:tc>
          <w:tcPr>
            <w:tcW w:w="1920" w:type="dxa"/>
            <w:vAlign w:val="bottom"/>
            <w:tcBorders>
              <w:top w:val="single" w:sz="8" w:color="0000EE"/>
            </w:tcBorders>
            <w:gridSpan w:val="3"/>
          </w:tcPr>
          <w:p>
            <w:pPr>
              <w:spacing w:after="0"/>
              <w:rPr>
                <w:sz w:val="24"/>
                <w:szCs w:val="24"/>
                <w:color w:val="auto"/>
              </w:rPr>
            </w:pPr>
          </w:p>
        </w:tc>
        <w:tc>
          <w:tcPr>
            <w:tcW w:w="1400" w:type="dxa"/>
            <w:vAlign w:val="bottom"/>
            <w:gridSpan w:val="3"/>
          </w:tcPr>
          <w:p>
            <w:pPr>
              <w:spacing w:after="0"/>
              <w:rPr>
                <w:sz w:val="24"/>
                <w:szCs w:val="24"/>
                <w:color w:val="auto"/>
              </w:rPr>
            </w:pPr>
          </w:p>
        </w:tc>
      </w:tr>
      <w:tr>
        <w:trPr>
          <w:trHeight w:val="304"/>
        </w:trPr>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5"/>
              </w:rPr>
              <w:t>99.2</w:t>
            </w:r>
          </w:p>
        </w:tc>
        <w:tc>
          <w:tcPr>
            <w:tcW w:w="63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Forms of grant notice, stock option agreement and notice of exercise under the Xometry,</w:t>
              </w:r>
            </w:hyperlink>
          </w:p>
        </w:tc>
      </w:tr>
      <w:tr>
        <w:trPr>
          <w:trHeight w:val="196"/>
        </w:trPr>
        <w:tc>
          <w:tcPr>
            <w:tcW w:w="840" w:type="dxa"/>
            <w:vAlign w:val="bottom"/>
          </w:tcPr>
          <w:p>
            <w:pPr>
              <w:spacing w:after="0"/>
              <w:rPr>
                <w:sz w:val="17"/>
                <w:szCs w:val="17"/>
                <w:color w:val="auto"/>
              </w:rPr>
            </w:pPr>
          </w:p>
        </w:tc>
        <w:tc>
          <w:tcPr>
            <w:tcW w:w="2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Inc. 2021 Equity Incentive Plan.</w:t>
              </w:r>
            </w:hyperlink>
          </w:p>
        </w:tc>
        <w:tc>
          <w:tcPr>
            <w:tcW w:w="4040" w:type="dxa"/>
            <w:vAlign w:val="bottom"/>
            <w:gridSpan w:val="7"/>
          </w:tcPr>
          <w:p>
            <w:pPr>
              <w:spacing w:after="0"/>
              <w:rPr>
                <w:sz w:val="17"/>
                <w:szCs w:val="17"/>
                <w:color w:val="auto"/>
              </w:rPr>
            </w:pPr>
          </w:p>
        </w:tc>
      </w:tr>
      <w:tr>
        <w:trPr>
          <w:trHeight w:val="304"/>
        </w:trPr>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5"/>
              </w:rPr>
              <w:t>99.3</w:t>
            </w:r>
          </w:p>
        </w:tc>
        <w:tc>
          <w:tcPr>
            <w:tcW w:w="6380" w:type="dxa"/>
            <w:vAlign w:val="bottom"/>
            <w:gridSpan w:val="11"/>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Forms of restricted stock unit grant notice and award agreement under the Xometry, Inc.</w:t>
              </w:r>
            </w:hyperlink>
          </w:p>
        </w:tc>
      </w:tr>
      <w:tr>
        <w:trPr>
          <w:trHeight w:val="196"/>
        </w:trPr>
        <w:tc>
          <w:tcPr>
            <w:tcW w:w="84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2021 Equity Incentive Plan.</w:t>
              </w:r>
            </w:hyperlink>
          </w:p>
        </w:tc>
        <w:tc>
          <w:tcPr>
            <w:tcW w:w="434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4"/>
              </w:rPr>
              <w:t>107*</w:t>
            </w:r>
          </w:p>
        </w:tc>
        <w:tc>
          <w:tcPr>
            <w:tcW w:w="22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Calculation of Filing Fee Table</w:t>
            </w:r>
          </w:p>
        </w:tc>
        <w:tc>
          <w:tcPr>
            <w:tcW w:w="4120" w:type="dxa"/>
            <w:vAlign w:val="bottom"/>
            <w:gridSpan w:val="8"/>
          </w:tcPr>
          <w:p>
            <w:pPr>
              <w:spacing w:after="0"/>
              <w:rPr>
                <w:sz w:val="24"/>
                <w:szCs w:val="24"/>
                <w:color w:val="auto"/>
              </w:rPr>
            </w:pPr>
          </w:p>
        </w:tc>
      </w:tr>
    </w:tbl>
    <w:p>
      <w:pPr>
        <w:spacing w:after="0" w:line="130"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br w:type="column"/>
      </w:r>
    </w:p>
    <w:p>
      <w:pPr>
        <w:spacing w:after="0"/>
        <w:tabs>
          <w:tab w:leader="none" w:pos="640" w:val="left"/>
          <w:tab w:leader="none" w:pos="1900" w:val="left"/>
          <w:tab w:leader="none" w:pos="2360" w:val="left"/>
        </w:tabs>
        <w:rPr>
          <w:sz w:val="20"/>
          <w:szCs w:val="20"/>
          <w:color w:val="auto"/>
        </w:rPr>
      </w:pPr>
      <w:r>
        <w:rPr>
          <w:rFonts w:ascii="Times New Roman" w:cs="Times New Roman" w:eastAsia="Times New Roman" w:hAnsi="Times New Roman"/>
          <w:sz w:val="18"/>
          <w:szCs w:val="18"/>
          <w:color w:val="auto"/>
        </w:rPr>
        <w:t>S-1/A</w:t>
        <w:tab/>
        <w:t>333-256769</w:t>
      </w:r>
      <w:r>
        <w:rPr>
          <w:sz w:val="20"/>
          <w:szCs w:val="20"/>
          <w:color w:val="auto"/>
        </w:rPr>
        <w:tab/>
      </w: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June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333-256769</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June 21, 2021</w:t>
            </w:r>
          </w:p>
        </w:tc>
      </w:tr>
      <w:tr>
        <w:trPr>
          <w:trHeight w:val="54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333-256769</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10.10</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June 25, 2021</w:t>
            </w:r>
          </w:p>
        </w:tc>
      </w:tr>
      <w:tr>
        <w:trPr>
          <w:trHeight w:val="54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333-256769</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10.11</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June 25, 2021</w:t>
            </w:r>
          </w:p>
        </w:tc>
      </w:tr>
    </w:tbl>
    <w:p>
      <w:pPr>
        <w:sectPr>
          <w:pgSz w:w="11900" w:h="16838" w:orient="portrait"/>
          <w:cols w:equalWidth="0" w:num="2">
            <w:col w:w="7224" w:space="360"/>
            <w:col w:w="3380"/>
          </w:cols>
          <w:pgMar w:left="436" w:top="257"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Montgomery County in the State of Maryland, on this 17th day of March, 2023.</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Randolph Altschuler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 or her true and lawful attorney-in-fact and agent,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Randolph Altschuler</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Co-Founder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Randolph Altschuler</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Rallo</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James Rallo</w:t>
            </w:r>
          </w:p>
        </w:tc>
        <w:tc>
          <w:tcPr>
            <w:tcW w:w="120" w:type="dxa"/>
            <w:vAlign w:val="bottom"/>
          </w:tcPr>
          <w:p>
            <w:pPr>
              <w:spacing w:after="0"/>
              <w:rPr>
                <w:sz w:val="19"/>
                <w:szCs w:val="19"/>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 and Principal Accounting Officer</w:t>
            </w:r>
            <w:r>
              <w:rPr>
                <w:rFonts w:ascii="Times New Roman" w:cs="Times New Roman" w:eastAsia="Times New Roman" w:hAnsi="Times New Roman"/>
                <w:sz w:val="18"/>
                <w:szCs w:val="18"/>
                <w:color w:val="auto"/>
                <w:w w:val="99"/>
              </w:rPr>
              <w:t>)</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Laurence Zuriff</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Co-Founder, Managing Director Donor Advised</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Laurence Zuriff</w:t>
            </w:r>
          </w:p>
        </w:tc>
        <w:tc>
          <w:tcPr>
            <w:tcW w:w="120" w:type="dxa"/>
            <w:vAlign w:val="bottom"/>
          </w:tcPr>
          <w:p>
            <w:pPr>
              <w:spacing w:after="0"/>
              <w:rPr>
                <w:sz w:val="19"/>
                <w:szCs w:val="19"/>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Fund and Director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George Hornig</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George Hornig</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Deborah Bial</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Deborah Bial</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Ranjana B. Clark</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Ranjana B. Clark</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Emily Rollins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Emily Rollins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Fabio Rosati</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Fabio Rosati</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Katharine Weymouth</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17,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Katharine Weymouth</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6586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Blanchard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+1 212 479 6565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eblanchard@cooley.com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Xometry,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7529 Standish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Derwood, MD 20855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We have acted as counsel to Xometry,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covering the offering of up to 2,374,920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Class A Common Stock, $0.000001 par value per share issuable pursuant to the Xometry, Inc. 2021 Equity Incentive Plan (the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related prospectus, (b) the Company’s certificate of incorporation and bylaws, each as currently in effect, (c) the 2021 Plan, and (d) originals or copies certified to our satisfaction of such records, documents, certificates, memoranda and other instruments as in our judgment are necessary or appropriate to enable us to render the opinion expressed below.</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by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sold and issued in accordance with the 2021 Plan, the Registration Statement and related prospectus, will be validly issued, fully paid, and nonassessable (except as to shares issued pursuant to certain deferred payment arrangements, which will be fully paid and nonassessable when such deferred payments are made in full).</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opinion is limited to the matters stated herein and no opinion is implied or may be inferred beyond the matters expressly stated. Our opinion is based on these laws as in effect on the date hereof, and we disclaim any obligation to advise you of facts, circumstances, events or developments which hereafter may be brought to our attention and which may alter, affect or modify the opinion expressed herein.</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55 Hudson Yards, New York, NY 10001-2157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(212) 479-6000 f: (212) 479-6275 cooley.com</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Xometry,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7 of the Securities Act of 1933, as amended, or the rules and regulations of the Commission thereunder.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Eric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Eric Blanchard</w:t>
      </w:r>
    </w:p>
    <w:p>
      <w:pPr>
        <w:spacing w:after="0" w:line="15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Cooley LLP 55 Hudson Yards, New York, NY 10001-2157</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 (212) 479-6000 f: (212) 479-6275 cooley.com</w:t>
      </w:r>
    </w:p>
    <w:p>
      <w:pPr>
        <w:sectPr>
          <w:pgSz w:w="11900" w:h="16838" w:orient="portrait"/>
          <w:cols w:equalWidth="0" w:num="1">
            <w:col w:w="10019"/>
          </w:cols>
          <w:pgMar w:left="440" w:top="1080"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reports dated March 16, 2023, with respect to the consolidated financial statements of Xometry, Inc. and subsidiaries, and the effectiveness of internal control over financial reporting, incorporated herein by reference.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ectPr>
          <w:pgSz w:w="11900" w:h="16838" w:orient="portrait"/>
          <w:cols w:equalWidth="0" w:num="1">
            <w:col w:w="11020"/>
          </w:cols>
          <w:pgMar w:left="440" w:top="117" w:right="439" w:bottom="1440" w:gutter="0" w:footer="0" w:header="0"/>
        </w:sectPr>
      </w:pPr>
    </w:p>
    <w:bookmarkStart w:id="7" w:name="page8"/>
    <w:bookmarkEnd w:id="7"/>
    <w:p>
      <w:pPr>
        <w:ind w:left="1012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S-8</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Xometry,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 Newly Registered Securities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860" w:type="dxa"/>
            <w:vAlign w:val="bottom"/>
            <w:tcBorders>
              <w:top w:val="single" w:sz="8" w:color="auto"/>
              <w:left w:val="single" w:sz="8" w:color="auto"/>
              <w:right w:val="single" w:sz="8" w:color="auto"/>
            </w:tcBorders>
          </w:tcPr>
          <w:p>
            <w:pPr>
              <w:spacing w:after="0"/>
              <w:rPr>
                <w:sz w:val="17"/>
                <w:szCs w:val="17"/>
                <w:color w:val="auto"/>
              </w:rPr>
            </w:pPr>
          </w:p>
        </w:tc>
        <w:tc>
          <w:tcPr>
            <w:tcW w:w="1120" w:type="dxa"/>
            <w:vAlign w:val="bottom"/>
            <w:tcBorders>
              <w:top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spacing w:after="0"/>
              <w:rPr>
                <w:sz w:val="17"/>
                <w:szCs w:val="17"/>
                <w:color w:val="auto"/>
              </w:rPr>
            </w:pPr>
          </w:p>
        </w:tc>
        <w:tc>
          <w:tcPr>
            <w:tcW w:w="1320" w:type="dxa"/>
            <w:vAlign w:val="bottom"/>
            <w:tcBorders>
              <w:top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spacing w:after="0"/>
              <w:rPr>
                <w:sz w:val="17"/>
                <w:szCs w:val="17"/>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Proposed</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320" w:type="dxa"/>
            <w:vAlign w:val="bottom"/>
            <w:tcBorders>
              <w:top w:val="single" w:sz="8" w:color="auto"/>
              <w:right w:val="single" w:sz="8" w:color="auto"/>
            </w:tcBorders>
          </w:tcPr>
          <w:p>
            <w:pPr>
              <w:spacing w:after="0"/>
              <w:rPr>
                <w:sz w:val="17"/>
                <w:szCs w:val="17"/>
                <w:color w:val="auto"/>
              </w:rPr>
            </w:pPr>
          </w:p>
        </w:tc>
        <w:tc>
          <w:tcPr>
            <w:tcW w:w="12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13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3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202"/>
        </w:trPr>
        <w:tc>
          <w:tcPr>
            <w:tcW w:w="860" w:type="dxa"/>
            <w:vAlign w:val="bottom"/>
            <w:tcBorders>
              <w:left w:val="single" w:sz="8" w:color="auto"/>
              <w:right w:val="single" w:sz="8" w:color="auto"/>
            </w:tcBorders>
          </w:tcPr>
          <w:p>
            <w:pPr>
              <w:spacing w:after="0"/>
              <w:rPr>
                <w:sz w:val="17"/>
                <w:szCs w:val="17"/>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Calculation</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3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19"/>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 Title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Rule</w:t>
            </w:r>
          </w:p>
        </w:tc>
        <w:tc>
          <w:tcPr>
            <w:tcW w:w="130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16"/>
                <w:szCs w:val="16"/>
                <w:b w:val="1"/>
                <w:bCs w:val="1"/>
                <w:color w:val="auto"/>
                <w:w w:val="96"/>
              </w:rPr>
              <w:t>Registered</w:t>
            </w:r>
            <w:r>
              <w:rPr>
                <w:rFonts w:ascii="Times New Roman" w:cs="Times New Roman" w:eastAsia="Times New Roman" w:hAnsi="Times New Roman"/>
                <w:sz w:val="24"/>
                <w:szCs w:val="24"/>
                <w:b w:val="1"/>
                <w:bCs w:val="1"/>
                <w:color w:val="auto"/>
                <w:w w:val="96"/>
                <w:vertAlign w:val="superscript"/>
              </w:rPr>
              <w:t>(1)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Unit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2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Fee Rate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0" w:type="dxa"/>
            <w:vAlign w:val="bottom"/>
          </w:tcPr>
          <w:p>
            <w:pPr>
              <w:spacing w:after="0"/>
              <w:rPr>
                <w:sz w:val="1"/>
                <w:szCs w:val="1"/>
                <w:color w:val="auto"/>
              </w:rPr>
            </w:pPr>
          </w:p>
        </w:tc>
      </w:tr>
      <w:tr>
        <w:trPr>
          <w:trHeight w:val="182"/>
        </w:trPr>
        <w:tc>
          <w:tcPr>
            <w:tcW w:w="860" w:type="dxa"/>
            <w:vAlign w:val="bottom"/>
            <w:tcBorders>
              <w:left w:val="single" w:sz="8" w:color="auto"/>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Class A Common</w:t>
            </w: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Stock, $0.000001</w:t>
            </w:r>
          </w:p>
        </w:tc>
        <w:tc>
          <w:tcPr>
            <w:tcW w:w="132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Fees to be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Equity</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par value per</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0"/>
              </w:rPr>
              <w:t>Other</w:t>
            </w:r>
            <w:r>
              <w:rPr>
                <w:rFonts w:ascii="Times New Roman" w:cs="Times New Roman" w:eastAsia="Times New Roman" w:hAnsi="Times New Roman"/>
                <w:sz w:val="24"/>
                <w:szCs w:val="24"/>
                <w:color w:val="auto"/>
                <w:w w:val="90"/>
                <w:vertAlign w:val="superscript"/>
              </w:rPr>
              <w:t>(2)</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 xml:space="preserve">2,374,920 </w:t>
            </w:r>
            <w:r>
              <w:rPr>
                <w:rFonts w:ascii="Times New Roman" w:cs="Times New Roman" w:eastAsia="Times New Roman" w:hAnsi="Times New Roman"/>
                <w:sz w:val="24"/>
                <w:szCs w:val="24"/>
                <w:color w:val="auto"/>
                <w:w w:val="94"/>
                <w:vertAlign w:val="superscript"/>
              </w:rPr>
              <w:t>(3)</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$15.655</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$37,179,372.60</w:t>
            </w:r>
          </w:p>
        </w:tc>
        <w:tc>
          <w:tcPr>
            <w:tcW w:w="132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6"/>
                <w:szCs w:val="16"/>
                <w:color w:val="auto"/>
              </w:rPr>
              <w:t>0.00011020</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$4,097.17</w:t>
            </w: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6"/>
                <w:szCs w:val="16"/>
                <w:color w:val="auto"/>
              </w:rPr>
              <w:t>Paid</w:t>
            </w:r>
          </w:p>
        </w:tc>
        <w:tc>
          <w:tcPr>
            <w:tcW w:w="1120" w:type="dxa"/>
            <w:vAlign w:val="bottom"/>
            <w:tcBorders>
              <w:right w:val="single" w:sz="8" w:color="auto"/>
            </w:tcBorders>
            <w:vMerge w:val="continue"/>
          </w:tcPr>
          <w:p>
            <w:pPr>
              <w:spacing w:after="0"/>
              <w:rPr>
                <w:sz w:val="14"/>
                <w:szCs w:val="14"/>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share, 2021</w:t>
            </w:r>
          </w:p>
        </w:tc>
        <w:tc>
          <w:tcPr>
            <w:tcW w:w="1320" w:type="dxa"/>
            <w:vAlign w:val="bottom"/>
            <w:tcBorders>
              <w:right w:val="single" w:sz="8" w:color="auto"/>
            </w:tcBorders>
            <w:vMerge w:val="continue"/>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860" w:type="dxa"/>
            <w:vAlign w:val="bottom"/>
            <w:tcBorders>
              <w:left w:val="single" w:sz="8" w:color="auto"/>
              <w:right w:val="single" w:sz="8" w:color="auto"/>
            </w:tcBorders>
            <w:vMerge w:val="continue"/>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1300" w:type="dxa"/>
            <w:vAlign w:val="bottom"/>
            <w:tcBorders>
              <w:right w:val="single" w:sz="8" w:color="auto"/>
            </w:tcBorders>
            <w:vMerge w:val="continue"/>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130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130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Equity Incentive</w:t>
            </w:r>
          </w:p>
        </w:tc>
        <w:tc>
          <w:tcPr>
            <w:tcW w:w="132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Plan</w:t>
            </w:r>
          </w:p>
        </w:tc>
        <w:tc>
          <w:tcPr>
            <w:tcW w:w="132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Fees</w:t>
            </w:r>
          </w:p>
        </w:tc>
        <w:tc>
          <w:tcPr>
            <w:tcW w:w="11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w w:val="96"/>
              </w:rPr>
              <w:t>Previously</w:t>
            </w:r>
          </w:p>
        </w:tc>
        <w:tc>
          <w:tcPr>
            <w:tcW w:w="11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Paid</w:t>
            </w:r>
          </w:p>
        </w:tc>
        <w:tc>
          <w:tcPr>
            <w:tcW w:w="112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6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Total Offering Amounts</w:t>
            </w:r>
          </w:p>
        </w:tc>
        <w:tc>
          <w:tcPr>
            <w:tcW w:w="130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$37,179,372.60</w:t>
            </w:r>
          </w:p>
        </w:tc>
        <w:tc>
          <w:tcPr>
            <w:tcW w:w="132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$4,097.17</w:t>
            </w:r>
          </w:p>
        </w:tc>
        <w:tc>
          <w:tcPr>
            <w:tcW w:w="0" w:type="dxa"/>
            <w:vAlign w:val="bottom"/>
          </w:tcPr>
          <w:p>
            <w:pPr>
              <w:spacing w:after="0"/>
              <w:rPr>
                <w:sz w:val="1"/>
                <w:szCs w:val="1"/>
                <w:color w:val="auto"/>
              </w:rPr>
            </w:pPr>
          </w:p>
        </w:tc>
      </w:tr>
      <w:tr>
        <w:trPr>
          <w:trHeight w:val="196"/>
        </w:trPr>
        <w:tc>
          <w:tcPr>
            <w:tcW w:w="86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16"/>
                <w:szCs w:val="16"/>
                <w:color w:val="auto"/>
              </w:rPr>
              <w:t>Total Fees Previously Paid</w:t>
            </w:r>
          </w:p>
        </w:tc>
        <w:tc>
          <w:tcPr>
            <w:tcW w:w="130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86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16"/>
                <w:szCs w:val="16"/>
                <w:color w:val="auto"/>
                <w:w w:val="98"/>
              </w:rPr>
              <w:t>Total Fee Offsets</w:t>
            </w:r>
          </w:p>
        </w:tc>
        <w:tc>
          <w:tcPr>
            <w:tcW w:w="130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86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16"/>
                <w:szCs w:val="16"/>
                <w:color w:val="auto"/>
              </w:rPr>
              <w:t>Net Fee Due</w:t>
            </w:r>
          </w:p>
        </w:tc>
        <w:tc>
          <w:tcPr>
            <w:tcW w:w="130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$4,097.17</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960" w:right="40" w:hanging="532"/>
        <w:spacing w:after="0" w:line="25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promulgated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shall also cover any additional shares of the Registrant’s Class A common stock that become issuable under the plans set forth herein by reason of any stock dividend, stock split, recapitalization, or other similar transaction effected that results in an increase to the number of outstanding shares of the Registrant’s Class A common stock.</w:t>
      </w:r>
    </w:p>
    <w:p>
      <w:pPr>
        <w:spacing w:after="0" w:line="3" w:lineRule="exact"/>
        <w:rPr>
          <w:rFonts w:ascii="Times New Roman" w:cs="Times New Roman" w:eastAsia="Times New Roman" w:hAnsi="Times New Roman"/>
          <w:sz w:val="18"/>
          <w:szCs w:val="18"/>
          <w:color w:val="auto"/>
        </w:rPr>
      </w:pPr>
    </w:p>
    <w:p>
      <w:pPr>
        <w:ind w:left="960" w:right="20" w:hanging="532"/>
        <w:spacing w:after="0" w:line="250"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(h) solely for the purpose of calculating the registration fee on the basis of the average of the high and low prices of the Registrant’s Class A common stock as reported on the Nasdaq Global Market on March 15, 2023.</w:t>
      </w:r>
    </w:p>
    <w:p>
      <w:pPr>
        <w:ind w:left="960" w:right="20" w:hanging="532"/>
        <w:spacing w:after="0" w:line="255"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annual increase equal to 5.0% of the total number of shares of the Registrant’s Class A common stock and Class B common stock outstanding on December 31 of the preceding year, which annual increase is provided by the Registrant’s 2021 Equity Incentive Plan.</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4"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jpeg"/><Relationship Id="rId32" Type="http://schemas.openxmlformats.org/officeDocument/2006/relationships/image" Target="media/image15.png"/><Relationship Id="rId33" Type="http://schemas.openxmlformats.org/officeDocument/2006/relationships/image" Target="media/image16.jpeg"/><Relationship Id="rId34" Type="http://schemas.openxmlformats.org/officeDocument/2006/relationships/image" Target="media/image17.png"/><Relationship Id="rId18" Type="http://schemas.openxmlformats.org/officeDocument/2006/relationships/hyperlink" Target="http://www.sec.gov/Archives/edgar/data/1657573/000119312521207718/d123069ds8.htm" TargetMode="External"/><Relationship Id="rId19" Type="http://schemas.openxmlformats.org/officeDocument/2006/relationships/hyperlink" Target="http://www.sec.gov/Archives/edgar/data/1657573/000119312522079630/d282264ds8.htm" TargetMode="External"/><Relationship Id="rId20" Type="http://schemas.openxmlformats.org/officeDocument/2006/relationships/hyperlink" Target="http://www.sec.gov/ix?doc=/Archives/edgar/data/0001657573/000095017023008494/xmtr-20221231.htm" TargetMode="External"/><Relationship Id="rId21" Type="http://schemas.openxmlformats.org/officeDocument/2006/relationships/hyperlink" Target="http://www.sec.gov/Archives/edgar/data/1657573/000119312521200432/d194865d8a12b.htm" TargetMode="External"/><Relationship Id="rId22" Type="http://schemas.openxmlformats.org/officeDocument/2006/relationships/hyperlink" Target="http://www.sec.gov/Archives/edgar/data/1657573/000119312521207643/d184650dex31.htm" TargetMode="External"/><Relationship Id="rId23" Type="http://schemas.openxmlformats.org/officeDocument/2006/relationships/hyperlink" Target="http://www.sec.gov/Archives/edgar/data/1657573/000119312521207643/d184650dex32.htm" TargetMode="External"/><Relationship Id="rId25" Type="http://schemas.openxmlformats.org/officeDocument/2006/relationships/hyperlink" Target="http://www.sec.gov/Archives/edgar/data/1657573/000119312521200359/d120843dex41.htm" TargetMode="External"/><Relationship Id="rId26" Type="http://schemas.openxmlformats.org/officeDocument/2006/relationships/hyperlink" Target="http://www.sec.gov/Archives/edgar/data/1657573/000119312521194064/d120843dex109.htm" TargetMode="External"/><Relationship Id="rId27" Type="http://schemas.openxmlformats.org/officeDocument/2006/relationships/hyperlink" Target="http://www.sec.gov/Archives/edgar/data/1657573/000119312521200359/d120843dex1010.htm" TargetMode="External"/><Relationship Id="rId28" Type="http://schemas.openxmlformats.org/officeDocument/2006/relationships/hyperlink" Target="http://www.sec.gov/Archives/edgar/data/1657573/000119312521200359/d120843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2023-03-17T17:33:13Z</dcterms:created>
  <dcterms:modified xsi:type="dcterms:W3CDTF">2023-03-17T17:33:13Z</dcterms:modified>
</cp:coreProperties>
</file>