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00"/>
          </w:cols>
          <w:pgMar w:left="460" w:top="219" w:right="479" w:bottom="110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Altschuler Randolph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7529 STANDISH PLACE,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06/08/2022</w:t>
      </w:r>
    </w:p>
    <w:p>
      <w:pPr>
        <w:spacing w:after="0" w:line="20" w:lineRule="exact"/>
        <w:rPr>
          <w:sz w:val="24"/>
          <w:szCs w:val="24"/>
          <w:color w:val="auto"/>
        </w:rPr>
      </w:pPr>
      <w:r>
        <w:rPr>
          <w:sz w:val="24"/>
          <w:szCs w:val="24"/>
          <w:color w:val="auto"/>
        </w:rPr>
        <w:br w:type="column"/>
      </w:r>
    </w:p>
    <w:p>
      <w:pPr>
        <w:ind w:left="5" w:right="42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4"/>
          <w:szCs w:val="24"/>
          <w:color w:val="auto"/>
        </w:rPr>
      </w:pPr>
    </w:p>
    <w:p>
      <w:pPr>
        <w:sectPr>
          <w:pgSz w:w="11900" w:h="16838" w:orient="portrait"/>
          <w:cols w:equalWidth="0" w:num="3">
            <w:col w:w="3200" w:space="720"/>
            <w:col w:w="3095" w:space="720"/>
            <w:col w:w="3225"/>
          </w:cols>
          <w:pgMar w:left="460" w:top="219" w:right="479" w:bottom="1109"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DERWOOD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20855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040"/>
          </w:cols>
          <w:pgMar w:left="460" w:top="219" w:right="479" w:bottom="1109"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6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3"/>
          </w:tcPr>
          <w:p>
            <w:pPr>
              <w:jc w:val="center"/>
              <w:ind w:right="116"/>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jc w:val="cente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 or</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Indirect (I)</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80" w:type="dxa"/>
            <w:vAlign w:val="bottom"/>
            <w:tcBorders>
              <w:top w:val="single" w:sz="8" w:color="2C2C2C"/>
            </w:tcBorders>
          </w:tcPr>
          <w:p>
            <w:pPr>
              <w:spacing w:after="0"/>
              <w:rPr>
                <w:sz w:val="7"/>
                <w:szCs w:val="7"/>
                <w:color w:val="auto"/>
              </w:rPr>
            </w:pPr>
          </w:p>
        </w:tc>
        <w:tc>
          <w:tcPr>
            <w:tcW w:w="104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3"/>
                <w:szCs w:val="13"/>
                <w:color w:val="auto"/>
              </w:rPr>
            </w:pPr>
          </w:p>
        </w:tc>
        <w:tc>
          <w:tcPr>
            <w:tcW w:w="980" w:type="dxa"/>
            <w:vAlign w:val="bottom"/>
          </w:tcPr>
          <w:p>
            <w:pPr>
              <w:jc w:val="right"/>
              <w:ind w:right="536"/>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00" w:type="dxa"/>
            <w:vAlign w:val="bottom"/>
            <w:tcBorders>
              <w:bottom w:val="single" w:sz="8" w:color="2C2C2C"/>
            </w:tcBorders>
          </w:tcPr>
          <w:p>
            <w:pPr>
              <w:spacing w:after="0"/>
              <w:rPr>
                <w:sz w:val="15"/>
                <w:szCs w:val="15"/>
                <w:color w:val="auto"/>
              </w:rPr>
            </w:pPr>
          </w:p>
        </w:tc>
        <w:tc>
          <w:tcPr>
            <w:tcW w:w="16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98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06/08/2022</w:t>
            </w:r>
          </w:p>
        </w:tc>
        <w:tc>
          <w:tcPr>
            <w:tcW w:w="112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426</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33.8516</w:t>
            </w:r>
            <w:r>
              <w:rPr>
                <w:rFonts w:ascii="Times New Roman" w:cs="Times New Roman" w:eastAsia="Times New Roman" w:hAnsi="Times New Roman"/>
                <w:sz w:val="22"/>
                <w:szCs w:val="22"/>
                <w:color w:val="008000"/>
                <w:vertAlign w:val="superscript"/>
              </w:rPr>
              <w:t>(2)</w:t>
            </w:r>
          </w:p>
        </w:tc>
        <w:tc>
          <w:tcPr>
            <w:tcW w:w="1040" w:type="dxa"/>
            <w:vAlign w:val="bottom"/>
            <w:vMerge w:val="restart"/>
          </w:tcPr>
          <w:p>
            <w:pPr>
              <w:jc w:val="right"/>
              <w:ind w:right="127"/>
              <w:spacing w:after="0"/>
              <w:rPr>
                <w:sz w:val="20"/>
                <w:szCs w:val="20"/>
                <w:color w:val="auto"/>
              </w:rPr>
            </w:pPr>
            <w:r>
              <w:rPr>
                <w:rFonts w:ascii="Times New Roman" w:cs="Times New Roman" w:eastAsia="Times New Roman" w:hAnsi="Times New Roman"/>
                <w:sz w:val="17"/>
                <w:szCs w:val="17"/>
                <w:color w:val="0000FF"/>
              </w:rPr>
              <w:t>720,844</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3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06/08/2022</w:t>
            </w:r>
          </w:p>
        </w:tc>
        <w:tc>
          <w:tcPr>
            <w:tcW w:w="112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7,103</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35.0092</w:t>
            </w:r>
            <w:r>
              <w:rPr>
                <w:rFonts w:ascii="Times New Roman" w:cs="Times New Roman" w:eastAsia="Times New Roman" w:hAnsi="Times New Roman"/>
                <w:sz w:val="22"/>
                <w:szCs w:val="22"/>
                <w:color w:val="008000"/>
                <w:vertAlign w:val="superscript"/>
              </w:rPr>
              <w:t>(3)</w:t>
            </w:r>
          </w:p>
        </w:tc>
        <w:tc>
          <w:tcPr>
            <w:tcW w:w="1040" w:type="dxa"/>
            <w:vAlign w:val="bottom"/>
            <w:vMerge w:val="restart"/>
          </w:tcPr>
          <w:p>
            <w:pPr>
              <w:jc w:val="right"/>
              <w:ind w:right="127"/>
              <w:spacing w:after="0"/>
              <w:rPr>
                <w:sz w:val="20"/>
                <w:szCs w:val="20"/>
                <w:color w:val="auto"/>
              </w:rPr>
            </w:pPr>
            <w:r>
              <w:rPr>
                <w:rFonts w:ascii="Times New Roman" w:cs="Times New Roman" w:eastAsia="Times New Roman" w:hAnsi="Times New Roman"/>
                <w:sz w:val="17"/>
                <w:szCs w:val="17"/>
                <w:color w:val="0000FF"/>
              </w:rPr>
              <w:t>713,741</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3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06/08/2022</w:t>
            </w:r>
          </w:p>
        </w:tc>
        <w:tc>
          <w:tcPr>
            <w:tcW w:w="112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2,471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35.7727</w:t>
            </w:r>
            <w:r>
              <w:rPr>
                <w:rFonts w:ascii="Times New Roman" w:cs="Times New Roman" w:eastAsia="Times New Roman" w:hAnsi="Times New Roman"/>
                <w:sz w:val="22"/>
                <w:szCs w:val="22"/>
                <w:color w:val="008000"/>
                <w:vertAlign w:val="superscript"/>
              </w:rPr>
              <w:t>(4)</w:t>
            </w:r>
          </w:p>
        </w:tc>
        <w:tc>
          <w:tcPr>
            <w:tcW w:w="1040" w:type="dxa"/>
            <w:vAlign w:val="bottom"/>
            <w:vMerge w:val="restart"/>
          </w:tcPr>
          <w:p>
            <w:pPr>
              <w:jc w:val="right"/>
              <w:ind w:right="127"/>
              <w:spacing w:after="0"/>
              <w:rPr>
                <w:sz w:val="20"/>
                <w:szCs w:val="20"/>
                <w:color w:val="auto"/>
              </w:rPr>
            </w:pPr>
            <w:r>
              <w:rPr>
                <w:rFonts w:ascii="Times New Roman" w:cs="Times New Roman" w:eastAsia="Times New Roman" w:hAnsi="Times New Roman"/>
                <w:sz w:val="17"/>
                <w:szCs w:val="17"/>
                <w:color w:val="0000FF"/>
              </w:rPr>
              <w:t>711,270</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3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06/08/2022</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33.8355</w:t>
            </w:r>
            <w:r>
              <w:rPr>
                <w:rFonts w:ascii="Times New Roman" w:cs="Times New Roman" w:eastAsia="Times New Roman" w:hAnsi="Times New Roman"/>
                <w:sz w:val="22"/>
                <w:szCs w:val="22"/>
                <w:color w:val="008000"/>
                <w:vertAlign w:val="superscript"/>
              </w:rPr>
              <w:t>(6)</w:t>
            </w:r>
          </w:p>
        </w:tc>
        <w:tc>
          <w:tcPr>
            <w:tcW w:w="1040" w:type="dxa"/>
            <w:vAlign w:val="bottom"/>
            <w:vMerge w:val="restart"/>
          </w:tcPr>
          <w:p>
            <w:pPr>
              <w:jc w:val="right"/>
              <w:ind w:right="127"/>
              <w:spacing w:after="0"/>
              <w:rPr>
                <w:sz w:val="20"/>
                <w:szCs w:val="20"/>
                <w:color w:val="auto"/>
              </w:rPr>
            </w:pPr>
            <w:r>
              <w:rPr>
                <w:rFonts w:ascii="Times New Roman" w:cs="Times New Roman" w:eastAsia="Times New Roman" w:hAnsi="Times New Roman"/>
                <w:sz w:val="17"/>
                <w:szCs w:val="17"/>
                <w:color w:val="0000FF"/>
              </w:rPr>
              <w:t>493,138</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(2020)</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06/08/2022</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1,473</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35.0142</w:t>
            </w:r>
            <w:r>
              <w:rPr>
                <w:rFonts w:ascii="Times New Roman" w:cs="Times New Roman" w:eastAsia="Times New Roman" w:hAnsi="Times New Roman"/>
                <w:sz w:val="22"/>
                <w:szCs w:val="22"/>
                <w:color w:val="008000"/>
                <w:vertAlign w:val="superscript"/>
              </w:rPr>
              <w:t>(7)</w:t>
            </w:r>
          </w:p>
        </w:tc>
        <w:tc>
          <w:tcPr>
            <w:tcW w:w="1040" w:type="dxa"/>
            <w:vAlign w:val="bottom"/>
            <w:vMerge w:val="restart"/>
          </w:tcPr>
          <w:p>
            <w:pPr>
              <w:jc w:val="right"/>
              <w:ind w:right="127"/>
              <w:spacing w:after="0"/>
              <w:rPr>
                <w:sz w:val="20"/>
                <w:szCs w:val="20"/>
                <w:color w:val="auto"/>
              </w:rPr>
            </w:pPr>
            <w:r>
              <w:rPr>
                <w:rFonts w:ascii="Times New Roman" w:cs="Times New Roman" w:eastAsia="Times New Roman" w:hAnsi="Times New Roman"/>
                <w:sz w:val="17"/>
                <w:szCs w:val="17"/>
                <w:color w:val="0000FF"/>
              </w:rPr>
              <w:t>491,665</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(2020)</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06/08/2022</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417</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35.8988</w:t>
            </w:r>
            <w:r>
              <w:rPr>
                <w:rFonts w:ascii="Times New Roman" w:cs="Times New Roman" w:eastAsia="Times New Roman" w:hAnsi="Times New Roman"/>
                <w:sz w:val="22"/>
                <w:szCs w:val="22"/>
                <w:color w:val="008000"/>
                <w:vertAlign w:val="superscript"/>
              </w:rPr>
              <w:t>(4)</w:t>
            </w:r>
          </w:p>
        </w:tc>
        <w:tc>
          <w:tcPr>
            <w:tcW w:w="1040" w:type="dxa"/>
            <w:vAlign w:val="bottom"/>
            <w:vMerge w:val="restart"/>
          </w:tcPr>
          <w:p>
            <w:pPr>
              <w:jc w:val="right"/>
              <w:ind w:right="127"/>
              <w:spacing w:after="0"/>
              <w:rPr>
                <w:sz w:val="20"/>
                <w:szCs w:val="20"/>
                <w:color w:val="auto"/>
              </w:rPr>
            </w:pPr>
            <w:r>
              <w:rPr>
                <w:rFonts w:ascii="Times New Roman" w:cs="Times New Roman" w:eastAsia="Times New Roman" w:hAnsi="Times New Roman"/>
                <w:sz w:val="17"/>
                <w:szCs w:val="17"/>
                <w:color w:val="0000FF"/>
              </w:rPr>
              <w:t>491,248</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(2020)</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06/08/2022</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(8)</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95</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33.8316</w:t>
            </w:r>
            <w:r>
              <w:rPr>
                <w:rFonts w:ascii="Times New Roman" w:cs="Times New Roman" w:eastAsia="Times New Roman" w:hAnsi="Times New Roman"/>
                <w:sz w:val="22"/>
                <w:szCs w:val="22"/>
                <w:color w:val="008000"/>
                <w:vertAlign w:val="superscript"/>
              </w:rPr>
              <w:t>(6)</w:t>
            </w:r>
          </w:p>
        </w:tc>
        <w:tc>
          <w:tcPr>
            <w:tcW w:w="1040" w:type="dxa"/>
            <w:vAlign w:val="bottom"/>
            <w:vMerge w:val="restart"/>
          </w:tcPr>
          <w:p>
            <w:pPr>
              <w:jc w:val="right"/>
              <w:ind w:right="127"/>
              <w:spacing w:after="0"/>
              <w:rPr>
                <w:sz w:val="20"/>
                <w:szCs w:val="20"/>
                <w:color w:val="auto"/>
              </w:rPr>
            </w:pPr>
            <w:r>
              <w:rPr>
                <w:rFonts w:ascii="Times New Roman" w:cs="Times New Roman" w:eastAsia="Times New Roman" w:hAnsi="Times New Roman"/>
                <w:sz w:val="17"/>
                <w:szCs w:val="17"/>
                <w:color w:val="0000FF"/>
              </w:rPr>
              <w:t>103,487</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2021</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Tigers</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06/08/2022</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(8)</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1,337</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34.9939</w:t>
            </w:r>
            <w:r>
              <w:rPr>
                <w:rFonts w:ascii="Times New Roman" w:cs="Times New Roman" w:eastAsia="Times New Roman" w:hAnsi="Times New Roman"/>
                <w:sz w:val="22"/>
                <w:szCs w:val="22"/>
                <w:color w:val="008000"/>
                <w:vertAlign w:val="superscript"/>
              </w:rPr>
              <w:t>(9)</w:t>
            </w:r>
          </w:p>
        </w:tc>
        <w:tc>
          <w:tcPr>
            <w:tcW w:w="1040" w:type="dxa"/>
            <w:vAlign w:val="bottom"/>
            <w:vMerge w:val="restart"/>
          </w:tcPr>
          <w:p>
            <w:pPr>
              <w:jc w:val="right"/>
              <w:ind w:right="127"/>
              <w:spacing w:after="0"/>
              <w:rPr>
                <w:sz w:val="20"/>
                <w:szCs w:val="20"/>
                <w:color w:val="auto"/>
              </w:rPr>
            </w:pPr>
            <w:r>
              <w:rPr>
                <w:rFonts w:ascii="Times New Roman" w:cs="Times New Roman" w:eastAsia="Times New Roman" w:hAnsi="Times New Roman"/>
                <w:sz w:val="17"/>
                <w:szCs w:val="17"/>
                <w:color w:val="0000FF"/>
              </w:rPr>
              <w:t>102,150</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2021</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Tigers</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06/08/2022</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(8)</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568</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35.7304</w:t>
            </w:r>
            <w:r>
              <w:rPr>
                <w:rFonts w:ascii="Times New Roman" w:cs="Times New Roman" w:eastAsia="Times New Roman" w:hAnsi="Times New Roman"/>
                <w:sz w:val="22"/>
                <w:szCs w:val="22"/>
                <w:color w:val="008000"/>
                <w:vertAlign w:val="superscript"/>
              </w:rPr>
              <w:t>(4)</w:t>
            </w:r>
          </w:p>
        </w:tc>
        <w:tc>
          <w:tcPr>
            <w:tcW w:w="1040" w:type="dxa"/>
            <w:vAlign w:val="bottom"/>
            <w:vMerge w:val="restart"/>
          </w:tcPr>
          <w:p>
            <w:pPr>
              <w:jc w:val="right"/>
              <w:ind w:right="127"/>
              <w:spacing w:after="0"/>
              <w:rPr>
                <w:sz w:val="20"/>
                <w:szCs w:val="20"/>
                <w:color w:val="auto"/>
              </w:rPr>
            </w:pPr>
            <w:r>
              <w:rPr>
                <w:rFonts w:ascii="Times New Roman" w:cs="Times New Roman" w:eastAsia="Times New Roman" w:hAnsi="Times New Roman"/>
                <w:sz w:val="17"/>
                <w:szCs w:val="17"/>
                <w:color w:val="0000FF"/>
              </w:rPr>
              <w:t>101,582</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2021</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Tigers</w:t>
            </w:r>
          </w:p>
        </w:tc>
        <w:tc>
          <w:tcPr>
            <w:tcW w:w="0" w:type="dxa"/>
            <w:vAlign w:val="bottom"/>
          </w:tcPr>
          <w:p>
            <w:pPr>
              <w:spacing w:after="0"/>
              <w:rPr>
                <w:sz w:val="1"/>
                <w:szCs w:val="1"/>
                <w:color w:val="auto"/>
              </w:rPr>
            </w:pPr>
          </w:p>
        </w:tc>
      </w:tr>
      <w:tr>
        <w:trPr>
          <w:trHeight w:val="52"/>
        </w:trPr>
        <w:tc>
          <w:tcPr>
            <w:tcW w:w="23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160"/>
        <w:spacing w:after="0"/>
        <w:rPr>
          <w:sz w:val="20"/>
          <w:szCs w:val="20"/>
          <w:color w:val="auto"/>
        </w:rPr>
      </w:pPr>
      <w:r>
        <w:rPr>
          <w:rFonts w:ascii="Times New Roman" w:cs="Times New Roman" w:eastAsia="Times New Roman" w:hAnsi="Times New Roman"/>
          <w:sz w:val="17"/>
          <w:szCs w:val="17"/>
          <w:color w:val="0000FF"/>
        </w:rPr>
        <w:t>Trust</w:t>
      </w:r>
    </w:p>
    <w:p>
      <w:pPr>
        <w:sectPr>
          <w:pgSz w:w="11900" w:h="16838" w:orient="portrait"/>
          <w:cols w:equalWidth="0" w:num="1">
            <w:col w:w="10960"/>
          </w:cols>
          <w:pgMar w:left="460" w:top="219" w:right="479" w:bottom="1109"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6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3"/>
          </w:tcPr>
          <w:p>
            <w:pPr>
              <w:jc w:val="center"/>
              <w:ind w:right="116"/>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600" w:type="dxa"/>
            <w:vAlign w:val="bottom"/>
          </w:tcPr>
          <w:p>
            <w:pPr>
              <w:jc w:val="cente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 or</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Indirect (I)</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80" w:type="dxa"/>
            <w:vAlign w:val="bottom"/>
            <w:tcBorders>
              <w:top w:val="single" w:sz="8" w:color="2C2C2C"/>
            </w:tcBorders>
          </w:tcPr>
          <w:p>
            <w:pPr>
              <w:spacing w:after="0"/>
              <w:rPr>
                <w:sz w:val="7"/>
                <w:szCs w:val="7"/>
                <w:color w:val="auto"/>
              </w:rPr>
            </w:pPr>
          </w:p>
        </w:tc>
        <w:tc>
          <w:tcPr>
            <w:tcW w:w="104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00" w:type="dxa"/>
            <w:vAlign w:val="bottom"/>
            <w:tcBorders>
              <w:bottom w:val="single" w:sz="8" w:color="2C2C2C"/>
            </w:tcBorders>
          </w:tcPr>
          <w:p>
            <w:pPr>
              <w:spacing w:after="0"/>
              <w:rPr>
                <w:sz w:val="15"/>
                <w:szCs w:val="15"/>
                <w:color w:val="auto"/>
              </w:rPr>
            </w:pPr>
          </w:p>
        </w:tc>
        <w:tc>
          <w:tcPr>
            <w:tcW w:w="16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98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Matthew</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0"/>
              <w:spacing w:after="0"/>
              <w:rPr>
                <w:sz w:val="20"/>
                <w:szCs w:val="20"/>
                <w:color w:val="auto"/>
              </w:rPr>
            </w:pPr>
            <w:r>
              <w:rPr>
                <w:rFonts w:ascii="Times New Roman" w:cs="Times New Roman" w:eastAsia="Times New Roman" w:hAnsi="Times New Roman"/>
                <w:sz w:val="17"/>
                <w:szCs w:val="17"/>
                <w:color w:val="0000FF"/>
              </w:rPr>
              <w:t>06/08/2022</w:t>
            </w:r>
          </w:p>
        </w:tc>
        <w:tc>
          <w:tcPr>
            <w:tcW w:w="1120" w:type="dxa"/>
            <w:vAlign w:val="bottom"/>
          </w:tcPr>
          <w:p>
            <w:pPr>
              <w:spacing w:after="0"/>
              <w:rPr>
                <w:sz w:val="18"/>
                <w:szCs w:val="18"/>
                <w:color w:val="auto"/>
              </w:rPr>
            </w:pPr>
          </w:p>
        </w:tc>
        <w:tc>
          <w:tcPr>
            <w:tcW w:w="800" w:type="dxa"/>
            <w:vAlign w:val="bottom"/>
          </w:tcPr>
          <w:p>
            <w:pPr>
              <w:ind w:left="10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(10)</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2,859</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34.1743</w:t>
            </w:r>
            <w:r>
              <w:rPr>
                <w:rFonts w:ascii="Times New Roman" w:cs="Times New Roman" w:eastAsia="Times New Roman" w:hAnsi="Times New Roman"/>
                <w:sz w:val="22"/>
                <w:szCs w:val="22"/>
                <w:color w:val="008000"/>
                <w:w w:val="95"/>
                <w:vertAlign w:val="superscript"/>
              </w:rPr>
              <w:t>(2)</w:t>
            </w:r>
          </w:p>
        </w:tc>
        <w:tc>
          <w:tcPr>
            <w:tcW w:w="1040" w:type="dxa"/>
            <w:vAlign w:val="bottom"/>
          </w:tcPr>
          <w:p>
            <w:pPr>
              <w:jc w:val="right"/>
              <w:ind w:right="127"/>
              <w:spacing w:after="0"/>
              <w:rPr>
                <w:sz w:val="20"/>
                <w:szCs w:val="20"/>
                <w:color w:val="auto"/>
              </w:rPr>
            </w:pPr>
            <w:r>
              <w:rPr>
                <w:rFonts w:ascii="Times New Roman" w:cs="Times New Roman" w:eastAsia="Times New Roman" w:hAnsi="Times New Roman"/>
                <w:sz w:val="17"/>
                <w:szCs w:val="17"/>
                <w:color w:val="0000FF"/>
              </w:rPr>
              <w:t>339,674</w:t>
            </w:r>
          </w:p>
        </w:tc>
        <w:tc>
          <w:tcPr>
            <w:tcW w:w="9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Sladkin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Matthew</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0"/>
              <w:spacing w:after="0"/>
              <w:rPr>
                <w:sz w:val="20"/>
                <w:szCs w:val="20"/>
                <w:color w:val="auto"/>
              </w:rPr>
            </w:pPr>
            <w:r>
              <w:rPr>
                <w:rFonts w:ascii="Times New Roman" w:cs="Times New Roman" w:eastAsia="Times New Roman" w:hAnsi="Times New Roman"/>
                <w:sz w:val="17"/>
                <w:szCs w:val="17"/>
                <w:color w:val="0000FF"/>
              </w:rPr>
              <w:t>06/08/2022</w:t>
            </w:r>
          </w:p>
        </w:tc>
        <w:tc>
          <w:tcPr>
            <w:tcW w:w="1120" w:type="dxa"/>
            <w:vAlign w:val="bottom"/>
          </w:tcPr>
          <w:p>
            <w:pPr>
              <w:spacing w:after="0"/>
              <w:rPr>
                <w:sz w:val="18"/>
                <w:szCs w:val="18"/>
                <w:color w:val="auto"/>
              </w:rPr>
            </w:pPr>
          </w:p>
        </w:tc>
        <w:tc>
          <w:tcPr>
            <w:tcW w:w="800" w:type="dxa"/>
            <w:vAlign w:val="bottom"/>
          </w:tcPr>
          <w:p>
            <w:pPr>
              <w:ind w:left="10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(10)</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1,245</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35.0016</w:t>
            </w:r>
            <w:r>
              <w:rPr>
                <w:rFonts w:ascii="Times New Roman" w:cs="Times New Roman" w:eastAsia="Times New Roman" w:hAnsi="Times New Roman"/>
                <w:sz w:val="22"/>
                <w:szCs w:val="22"/>
                <w:color w:val="008000"/>
                <w:w w:val="95"/>
                <w:vertAlign w:val="superscript"/>
              </w:rPr>
              <w:t>(9)</w:t>
            </w:r>
          </w:p>
        </w:tc>
        <w:tc>
          <w:tcPr>
            <w:tcW w:w="1040" w:type="dxa"/>
            <w:vAlign w:val="bottom"/>
          </w:tcPr>
          <w:p>
            <w:pPr>
              <w:jc w:val="right"/>
              <w:ind w:right="127"/>
              <w:spacing w:after="0"/>
              <w:rPr>
                <w:sz w:val="20"/>
                <w:szCs w:val="20"/>
                <w:color w:val="auto"/>
              </w:rPr>
            </w:pPr>
            <w:r>
              <w:rPr>
                <w:rFonts w:ascii="Times New Roman" w:cs="Times New Roman" w:eastAsia="Times New Roman" w:hAnsi="Times New Roman"/>
                <w:sz w:val="17"/>
                <w:szCs w:val="17"/>
                <w:color w:val="0000FF"/>
              </w:rPr>
              <w:t>338,429</w:t>
            </w:r>
          </w:p>
        </w:tc>
        <w:tc>
          <w:tcPr>
            <w:tcW w:w="9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Sladkin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Matthew</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0"/>
              <w:spacing w:after="0"/>
              <w:rPr>
                <w:sz w:val="20"/>
                <w:szCs w:val="20"/>
                <w:color w:val="auto"/>
              </w:rPr>
            </w:pPr>
            <w:r>
              <w:rPr>
                <w:rFonts w:ascii="Times New Roman" w:cs="Times New Roman" w:eastAsia="Times New Roman" w:hAnsi="Times New Roman"/>
                <w:sz w:val="17"/>
                <w:szCs w:val="17"/>
                <w:color w:val="0000FF"/>
              </w:rPr>
              <w:t>06/08/2022</w:t>
            </w:r>
          </w:p>
        </w:tc>
        <w:tc>
          <w:tcPr>
            <w:tcW w:w="1120" w:type="dxa"/>
            <w:vAlign w:val="bottom"/>
          </w:tcPr>
          <w:p>
            <w:pPr>
              <w:spacing w:after="0"/>
              <w:rPr>
                <w:sz w:val="18"/>
                <w:szCs w:val="18"/>
                <w:color w:val="auto"/>
              </w:rPr>
            </w:pPr>
          </w:p>
        </w:tc>
        <w:tc>
          <w:tcPr>
            <w:tcW w:w="800" w:type="dxa"/>
            <w:vAlign w:val="bottom"/>
          </w:tcPr>
          <w:p>
            <w:pPr>
              <w:ind w:left="10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(10)</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611</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Pr>
          <w:p>
            <w:pPr>
              <w:jc w:val="center"/>
              <w:spacing w:after="0" w:line="213" w:lineRule="exact"/>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35.6681</w:t>
            </w:r>
            <w:r>
              <w:rPr>
                <w:rFonts w:ascii="Times New Roman" w:cs="Times New Roman" w:eastAsia="Times New Roman" w:hAnsi="Times New Roman"/>
                <w:sz w:val="22"/>
                <w:szCs w:val="22"/>
                <w:color w:val="008000"/>
                <w:w w:val="94"/>
                <w:vertAlign w:val="superscript"/>
              </w:rPr>
              <w:t>(11)</w:t>
            </w:r>
          </w:p>
        </w:tc>
        <w:tc>
          <w:tcPr>
            <w:tcW w:w="1040" w:type="dxa"/>
            <w:vAlign w:val="bottom"/>
          </w:tcPr>
          <w:p>
            <w:pPr>
              <w:jc w:val="right"/>
              <w:ind w:right="127"/>
              <w:spacing w:after="0"/>
              <w:rPr>
                <w:sz w:val="20"/>
                <w:szCs w:val="20"/>
                <w:color w:val="auto"/>
              </w:rPr>
            </w:pPr>
            <w:r>
              <w:rPr>
                <w:rFonts w:ascii="Times New Roman" w:cs="Times New Roman" w:eastAsia="Times New Roman" w:hAnsi="Times New Roman"/>
                <w:sz w:val="17"/>
                <w:szCs w:val="17"/>
                <w:color w:val="0000FF"/>
              </w:rPr>
              <w:t>337,818</w:t>
            </w:r>
          </w:p>
        </w:tc>
        <w:tc>
          <w:tcPr>
            <w:tcW w:w="9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Sladkin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Noah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06/08/2022</w:t>
            </w:r>
          </w:p>
        </w:tc>
        <w:tc>
          <w:tcPr>
            <w:tcW w:w="1120" w:type="dxa"/>
            <w:vAlign w:val="bottom"/>
          </w:tcPr>
          <w:p>
            <w:pPr>
              <w:spacing w:after="0"/>
              <w:rPr>
                <w:sz w:val="18"/>
                <w:szCs w:val="18"/>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108</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33.835</w:t>
            </w:r>
            <w:r>
              <w:rPr>
                <w:rFonts w:ascii="Times New Roman" w:cs="Times New Roman" w:eastAsia="Times New Roman" w:hAnsi="Times New Roman"/>
                <w:sz w:val="22"/>
                <w:szCs w:val="22"/>
                <w:color w:val="008000"/>
                <w:w w:val="95"/>
                <w:vertAlign w:val="superscript"/>
              </w:rPr>
              <w:t>(6)</w:t>
            </w:r>
          </w:p>
        </w:tc>
        <w:tc>
          <w:tcPr>
            <w:tcW w:w="1040" w:type="dxa"/>
            <w:vAlign w:val="bottom"/>
            <w:vMerge w:val="restart"/>
          </w:tcPr>
          <w:p>
            <w:pPr>
              <w:jc w:val="right"/>
              <w:ind w:right="127"/>
              <w:spacing w:after="0"/>
              <w:rPr>
                <w:sz w:val="20"/>
                <w:szCs w:val="20"/>
                <w:color w:val="auto"/>
              </w:rPr>
            </w:pPr>
            <w:r>
              <w:rPr>
                <w:rFonts w:ascii="Times New Roman" w:cs="Times New Roman" w:eastAsia="Times New Roman" w:hAnsi="Times New Roman"/>
                <w:sz w:val="17"/>
                <w:szCs w:val="17"/>
                <w:color w:val="0000FF"/>
              </w:rPr>
              <w:t>342,425</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Sladkin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Noah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06/08/2022</w:t>
            </w:r>
          </w:p>
        </w:tc>
        <w:tc>
          <w:tcPr>
            <w:tcW w:w="1120" w:type="dxa"/>
            <w:vAlign w:val="bottom"/>
          </w:tcPr>
          <w:p>
            <w:pPr>
              <w:spacing w:after="0"/>
              <w:rPr>
                <w:sz w:val="18"/>
                <w:szCs w:val="18"/>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1,181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34.8864</w:t>
            </w:r>
            <w:r>
              <w:rPr>
                <w:rFonts w:ascii="Times New Roman" w:cs="Times New Roman" w:eastAsia="Times New Roman" w:hAnsi="Times New Roman"/>
                <w:sz w:val="22"/>
                <w:szCs w:val="22"/>
                <w:color w:val="008000"/>
                <w:w w:val="94"/>
                <w:vertAlign w:val="superscript"/>
              </w:rPr>
              <w:t>(13)</w:t>
            </w:r>
          </w:p>
        </w:tc>
        <w:tc>
          <w:tcPr>
            <w:tcW w:w="1040" w:type="dxa"/>
            <w:vAlign w:val="bottom"/>
            <w:vMerge w:val="restart"/>
          </w:tcPr>
          <w:p>
            <w:pPr>
              <w:jc w:val="right"/>
              <w:ind w:right="127"/>
              <w:spacing w:after="0"/>
              <w:rPr>
                <w:sz w:val="20"/>
                <w:szCs w:val="20"/>
                <w:color w:val="auto"/>
              </w:rPr>
            </w:pPr>
            <w:r>
              <w:rPr>
                <w:rFonts w:ascii="Times New Roman" w:cs="Times New Roman" w:eastAsia="Times New Roman" w:hAnsi="Times New Roman"/>
                <w:sz w:val="17"/>
                <w:szCs w:val="17"/>
                <w:color w:val="0000FF"/>
              </w:rPr>
              <w:t>341,244</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Sladkin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Noah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06/08/2022</w:t>
            </w:r>
          </w:p>
        </w:tc>
        <w:tc>
          <w:tcPr>
            <w:tcW w:w="1120" w:type="dxa"/>
            <w:vAlign w:val="bottom"/>
          </w:tcPr>
          <w:p>
            <w:pPr>
              <w:spacing w:after="0"/>
              <w:rPr>
                <w:sz w:val="18"/>
                <w:szCs w:val="18"/>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711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35.631</w:t>
            </w:r>
            <w:r>
              <w:rPr>
                <w:rFonts w:ascii="Times New Roman" w:cs="Times New Roman" w:eastAsia="Times New Roman" w:hAnsi="Times New Roman"/>
                <w:sz w:val="22"/>
                <w:szCs w:val="22"/>
                <w:color w:val="008000"/>
                <w:w w:val="94"/>
                <w:vertAlign w:val="superscript"/>
              </w:rPr>
              <w:t>(14)</w:t>
            </w:r>
          </w:p>
        </w:tc>
        <w:tc>
          <w:tcPr>
            <w:tcW w:w="1040" w:type="dxa"/>
            <w:vAlign w:val="bottom"/>
            <w:vMerge w:val="restart"/>
          </w:tcPr>
          <w:p>
            <w:pPr>
              <w:jc w:val="right"/>
              <w:ind w:right="127"/>
              <w:spacing w:after="0"/>
              <w:rPr>
                <w:sz w:val="20"/>
                <w:szCs w:val="20"/>
                <w:color w:val="auto"/>
              </w:rPr>
            </w:pPr>
            <w:r>
              <w:rPr>
                <w:rFonts w:ascii="Times New Roman" w:cs="Times New Roman" w:eastAsia="Times New Roman" w:hAnsi="Times New Roman"/>
                <w:sz w:val="17"/>
                <w:szCs w:val="17"/>
                <w:color w:val="0000FF"/>
              </w:rPr>
              <w:t>340,533</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Sladkin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Sasha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06/08/2022</w:t>
            </w:r>
          </w:p>
        </w:tc>
        <w:tc>
          <w:tcPr>
            <w:tcW w:w="1120" w:type="dxa"/>
            <w:vAlign w:val="bottom"/>
          </w:tcPr>
          <w:p>
            <w:pPr>
              <w:spacing w:after="0"/>
              <w:rPr>
                <w:sz w:val="18"/>
                <w:szCs w:val="18"/>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116</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33.8367</w:t>
            </w:r>
            <w:r>
              <w:rPr>
                <w:rFonts w:ascii="Times New Roman" w:cs="Times New Roman" w:eastAsia="Times New Roman" w:hAnsi="Times New Roman"/>
                <w:sz w:val="22"/>
                <w:szCs w:val="22"/>
                <w:color w:val="008000"/>
                <w:w w:val="95"/>
                <w:vertAlign w:val="superscript"/>
              </w:rPr>
              <w:t>(6)</w:t>
            </w:r>
          </w:p>
        </w:tc>
        <w:tc>
          <w:tcPr>
            <w:tcW w:w="1040" w:type="dxa"/>
            <w:vAlign w:val="bottom"/>
            <w:vMerge w:val="restart"/>
          </w:tcPr>
          <w:p>
            <w:pPr>
              <w:jc w:val="right"/>
              <w:ind w:right="127"/>
              <w:spacing w:after="0"/>
              <w:rPr>
                <w:sz w:val="20"/>
                <w:szCs w:val="20"/>
                <w:color w:val="auto"/>
              </w:rPr>
            </w:pPr>
            <w:r>
              <w:rPr>
                <w:rFonts w:ascii="Times New Roman" w:cs="Times New Roman" w:eastAsia="Times New Roman" w:hAnsi="Times New Roman"/>
                <w:sz w:val="17"/>
                <w:szCs w:val="17"/>
                <w:color w:val="0000FF"/>
              </w:rPr>
              <w:t>342,417</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Sladkin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Sasha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06/08/2022</w:t>
            </w:r>
          </w:p>
        </w:tc>
        <w:tc>
          <w:tcPr>
            <w:tcW w:w="1120" w:type="dxa"/>
            <w:vAlign w:val="bottom"/>
          </w:tcPr>
          <w:p>
            <w:pPr>
              <w:spacing w:after="0"/>
              <w:rPr>
                <w:sz w:val="18"/>
                <w:szCs w:val="18"/>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1,082</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34.9094</w:t>
            </w:r>
            <w:r>
              <w:rPr>
                <w:rFonts w:ascii="Times New Roman" w:cs="Times New Roman" w:eastAsia="Times New Roman" w:hAnsi="Times New Roman"/>
                <w:sz w:val="22"/>
                <w:szCs w:val="22"/>
                <w:color w:val="008000"/>
                <w:w w:val="94"/>
                <w:vertAlign w:val="superscript"/>
              </w:rPr>
              <w:t>(16)</w:t>
            </w:r>
          </w:p>
        </w:tc>
        <w:tc>
          <w:tcPr>
            <w:tcW w:w="1040" w:type="dxa"/>
            <w:vAlign w:val="bottom"/>
            <w:vMerge w:val="restart"/>
          </w:tcPr>
          <w:p>
            <w:pPr>
              <w:jc w:val="right"/>
              <w:ind w:right="127"/>
              <w:spacing w:after="0"/>
              <w:rPr>
                <w:sz w:val="20"/>
                <w:szCs w:val="20"/>
                <w:color w:val="auto"/>
              </w:rPr>
            </w:pPr>
            <w:r>
              <w:rPr>
                <w:rFonts w:ascii="Times New Roman" w:cs="Times New Roman" w:eastAsia="Times New Roman" w:hAnsi="Times New Roman"/>
                <w:sz w:val="17"/>
                <w:szCs w:val="17"/>
                <w:color w:val="0000FF"/>
              </w:rPr>
              <w:t>341,335</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Sladkin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Sasha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06/08/2022</w:t>
            </w:r>
          </w:p>
        </w:tc>
        <w:tc>
          <w:tcPr>
            <w:tcW w:w="1120" w:type="dxa"/>
            <w:vAlign w:val="bottom"/>
          </w:tcPr>
          <w:p>
            <w:pPr>
              <w:spacing w:after="0"/>
              <w:rPr>
                <w:sz w:val="18"/>
                <w:szCs w:val="18"/>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802</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35.7296</w:t>
            </w:r>
            <w:r>
              <w:rPr>
                <w:rFonts w:ascii="Times New Roman" w:cs="Times New Roman" w:eastAsia="Times New Roman" w:hAnsi="Times New Roman"/>
                <w:sz w:val="22"/>
                <w:szCs w:val="22"/>
                <w:color w:val="008000"/>
                <w:w w:val="94"/>
                <w:vertAlign w:val="superscript"/>
              </w:rPr>
              <w:t>(17)</w:t>
            </w:r>
          </w:p>
        </w:tc>
        <w:tc>
          <w:tcPr>
            <w:tcW w:w="1040" w:type="dxa"/>
            <w:vAlign w:val="bottom"/>
            <w:vMerge w:val="restart"/>
          </w:tcPr>
          <w:p>
            <w:pPr>
              <w:jc w:val="right"/>
              <w:ind w:right="127"/>
              <w:spacing w:after="0"/>
              <w:rPr>
                <w:sz w:val="20"/>
                <w:szCs w:val="20"/>
                <w:color w:val="auto"/>
              </w:rPr>
            </w:pPr>
            <w:r>
              <w:rPr>
                <w:rFonts w:ascii="Times New Roman" w:cs="Times New Roman" w:eastAsia="Times New Roman" w:hAnsi="Times New Roman"/>
                <w:sz w:val="17"/>
                <w:szCs w:val="17"/>
                <w:color w:val="0000FF"/>
              </w:rPr>
              <w:t>340,533</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Sladkin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00" w:type="dxa"/>
            <w:vAlign w:val="bottom"/>
            <w:tcBorders>
              <w:top w:val="single" w:sz="8" w:color="808080"/>
            </w:tcBorders>
            <w:shd w:val="clear" w:color="auto" w:fill="2C2C2C"/>
          </w:tcPr>
          <w:p>
            <w:pPr>
              <w:spacing w:after="0" w:line="20" w:lineRule="exact"/>
              <w:rPr>
                <w:sz w:val="1"/>
                <w:szCs w:val="1"/>
                <w:color w:val="auto"/>
              </w:rPr>
            </w:pPr>
          </w:p>
        </w:tc>
        <w:tc>
          <w:tcPr>
            <w:tcW w:w="16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1080"/>
          </w:cols>
          <w:pgMar w:left="460" w:top="191" w:right="359" w:bottom="758"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12"/>
                <w:szCs w:val="12"/>
                <w:color w:val="auto"/>
              </w:rPr>
            </w:pP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Conversion</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120" w:type="dxa"/>
            <w:vAlign w:val="bottom"/>
            <w:gridSpan w:val="10"/>
          </w:tcPr>
          <w:p>
            <w:pPr>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Ownership</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ind w:left="60"/>
              <w:spacing w:after="0" w:line="93" w:lineRule="exact"/>
              <w:rPr>
                <w:sz w:val="20"/>
                <w:szCs w:val="20"/>
                <w:color w:val="auto"/>
              </w:rPr>
            </w:pPr>
            <w:r>
              <w:rPr>
                <w:rFonts w:ascii="Arial" w:cs="Arial" w:eastAsia="Arial" w:hAnsi="Arial"/>
                <w:sz w:val="10"/>
                <w:szCs w:val="10"/>
                <w:b w:val="1"/>
                <w:bCs w:val="1"/>
                <w:color w:val="auto"/>
              </w:rPr>
              <w:t>Execution Date,</w:t>
            </w:r>
          </w:p>
        </w:tc>
        <w:tc>
          <w:tcPr>
            <w:tcW w:w="820" w:type="dxa"/>
            <w:vAlign w:val="bottom"/>
          </w:tcPr>
          <w:p>
            <w:pPr>
              <w:ind w:left="60"/>
              <w:spacing w:after="0" w:line="93" w:lineRule="exact"/>
              <w:rPr>
                <w:sz w:val="20"/>
                <w:szCs w:val="20"/>
                <w:color w:val="auto"/>
              </w:rPr>
            </w:pPr>
            <w:r>
              <w:rPr>
                <w:rFonts w:ascii="Arial" w:cs="Arial" w:eastAsia="Arial" w:hAnsi="Arial"/>
                <w:sz w:val="10"/>
                <w:szCs w:val="10"/>
                <w:b w:val="1"/>
                <w:bCs w:val="1"/>
                <w:color w:val="auto"/>
              </w:rPr>
              <w:t>Transaction</w:t>
            </w:r>
          </w:p>
        </w:tc>
        <w:tc>
          <w:tcPr>
            <w:tcW w:w="740" w:type="dxa"/>
            <w:vAlign w:val="bottom"/>
          </w:tcPr>
          <w:p>
            <w:pPr>
              <w:ind w:left="80"/>
              <w:spacing w:after="0" w:line="93" w:lineRule="exact"/>
              <w:rPr>
                <w:sz w:val="20"/>
                <w:szCs w:val="20"/>
                <w:color w:val="auto"/>
              </w:rPr>
            </w:pPr>
            <w:r>
              <w:rPr>
                <w:rFonts w:ascii="Arial" w:cs="Arial" w:eastAsia="Arial" w:hAnsi="Arial"/>
                <w:sz w:val="10"/>
                <w:szCs w:val="10"/>
                <w:b w:val="1"/>
                <w:bCs w:val="1"/>
                <w:color w:val="auto"/>
              </w:rPr>
              <w:t>of</w:t>
            </w:r>
          </w:p>
        </w:tc>
        <w:tc>
          <w:tcPr>
            <w:tcW w:w="1540" w:type="dxa"/>
            <w:vAlign w:val="bottom"/>
            <w:gridSpan w:val="2"/>
          </w:tcPr>
          <w:p>
            <w:pPr>
              <w:ind w:left="60"/>
              <w:spacing w:after="0" w:line="93" w:lineRule="exact"/>
              <w:rPr>
                <w:sz w:val="20"/>
                <w:szCs w:val="20"/>
                <w:color w:val="auto"/>
              </w:rPr>
            </w:pPr>
            <w:r>
              <w:rPr>
                <w:rFonts w:ascii="Arial" w:cs="Arial" w:eastAsia="Arial" w:hAnsi="Arial"/>
                <w:sz w:val="10"/>
                <w:szCs w:val="10"/>
                <w:b w:val="1"/>
                <w:bCs w:val="1"/>
                <w:color w:val="auto"/>
              </w:rPr>
              <w:t>Expiration Date</w:t>
            </w:r>
          </w:p>
        </w:tc>
        <w:tc>
          <w:tcPr>
            <w:tcW w:w="1060" w:type="dxa"/>
            <w:vAlign w:val="bottom"/>
            <w:gridSpan w:val="2"/>
          </w:tcPr>
          <w:p>
            <w:pPr>
              <w:ind w:left="60"/>
              <w:spacing w:after="0" w:line="93" w:lineRule="exact"/>
              <w:rPr>
                <w:sz w:val="20"/>
                <w:szCs w:val="20"/>
                <w:color w:val="auto"/>
              </w:rPr>
            </w:pPr>
            <w:r>
              <w:rPr>
                <w:rFonts w:ascii="Arial" w:cs="Arial" w:eastAsia="Arial" w:hAnsi="Arial"/>
                <w:sz w:val="10"/>
                <w:szCs w:val="10"/>
                <w:b w:val="1"/>
                <w:bCs w:val="1"/>
                <w:color w:val="auto"/>
              </w:rPr>
              <w:t>Amount of</w:t>
            </w:r>
          </w:p>
        </w:tc>
        <w:tc>
          <w:tcPr>
            <w:tcW w:w="640" w:type="dxa"/>
            <w:vAlign w:val="bottom"/>
          </w:tcPr>
          <w:p>
            <w:pPr>
              <w:spacing w:after="0" w:line="93" w:lineRule="exact"/>
              <w:rPr>
                <w:sz w:val="20"/>
                <w:szCs w:val="20"/>
                <w:color w:val="auto"/>
              </w:rPr>
            </w:pPr>
            <w:r>
              <w:rPr>
                <w:rFonts w:ascii="Arial" w:cs="Arial" w:eastAsia="Arial" w:hAnsi="Arial"/>
                <w:sz w:val="10"/>
                <w:szCs w:val="10"/>
                <w:b w:val="1"/>
                <w:bCs w:val="1"/>
                <w:color w:val="auto"/>
              </w:rPr>
              <w:t>Derivative</w:t>
            </w:r>
          </w:p>
        </w:tc>
        <w:tc>
          <w:tcPr>
            <w:tcW w:w="960" w:type="dxa"/>
            <w:vAlign w:val="bottom"/>
          </w:tcPr>
          <w:p>
            <w:pPr>
              <w:ind w:left="80"/>
              <w:spacing w:after="0" w:line="93" w:lineRule="exact"/>
              <w:rPr>
                <w:sz w:val="20"/>
                <w:szCs w:val="20"/>
                <w:color w:val="auto"/>
              </w:rPr>
            </w:pPr>
            <w:r>
              <w:rPr>
                <w:rFonts w:ascii="Arial" w:cs="Arial" w:eastAsia="Arial" w:hAnsi="Arial"/>
                <w:sz w:val="10"/>
                <w:szCs w:val="10"/>
                <w:b w:val="1"/>
                <w:bCs w:val="1"/>
                <w:color w:val="auto"/>
              </w:rPr>
              <w:t>derivative</w:t>
            </w:r>
          </w:p>
        </w:tc>
        <w:tc>
          <w:tcPr>
            <w:tcW w:w="82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spacing w:after="0"/>
              <w:rPr>
                <w:sz w:val="4"/>
                <w:szCs w:val="4"/>
                <w:color w:val="auto"/>
              </w:rPr>
            </w:pPr>
          </w:p>
        </w:tc>
        <w:tc>
          <w:tcPr>
            <w:tcW w:w="82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Code (Instr.</w:t>
            </w:r>
          </w:p>
        </w:tc>
        <w:tc>
          <w:tcPr>
            <w:tcW w:w="7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Derivative</w:t>
            </w:r>
          </w:p>
        </w:tc>
        <w:tc>
          <w:tcPr>
            <w:tcW w:w="154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(Month/Day/Year)</w:t>
            </w:r>
          </w:p>
        </w:tc>
        <w:tc>
          <w:tcPr>
            <w:tcW w:w="10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Securities</w:t>
            </w:r>
          </w:p>
        </w:tc>
        <w:tc>
          <w:tcPr>
            <w:tcW w:w="640" w:type="dxa"/>
            <w:vAlign w:val="bottom"/>
          </w:tcPr>
          <w:p>
            <w:pPr>
              <w:spacing w:after="0" w:line="54" w:lineRule="exact"/>
              <w:rPr>
                <w:sz w:val="20"/>
                <w:szCs w:val="20"/>
                <w:color w:val="auto"/>
              </w:rPr>
            </w:pPr>
            <w:r>
              <w:rPr>
                <w:rFonts w:ascii="Arial" w:cs="Arial" w:eastAsia="Arial" w:hAnsi="Arial"/>
                <w:sz w:val="6"/>
                <w:szCs w:val="6"/>
                <w:b w:val="1"/>
                <w:bCs w:val="1"/>
                <w:color w:val="auto"/>
              </w:rPr>
              <w:t>Security</w:t>
            </w: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Securities</w:t>
            </w:r>
          </w:p>
        </w:tc>
        <w:tc>
          <w:tcPr>
            <w:tcW w:w="82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Form:</w:t>
            </w:r>
          </w:p>
        </w:tc>
        <w:tc>
          <w:tcPr>
            <w:tcW w:w="720" w:type="dxa"/>
            <w:vAlign w:val="bottom"/>
            <w:gridSpan w:val="2"/>
          </w:tcPr>
          <w:p>
            <w:pPr>
              <w:ind w:left="20"/>
              <w:spacing w:after="0" w:line="54" w:lineRule="exact"/>
              <w:rPr>
                <w:sz w:val="20"/>
                <w:szCs w:val="20"/>
                <w:color w:val="auto"/>
              </w:rPr>
            </w:pPr>
            <w:r>
              <w:rPr>
                <w:rFonts w:ascii="Arial" w:cs="Arial" w:eastAsia="Arial" w:hAnsi="Arial"/>
                <w:sz w:val="6"/>
                <w:szCs w:val="6"/>
                <w:b w:val="1"/>
                <w:bCs w:val="1"/>
                <w:color w:val="auto"/>
              </w:rPr>
              <w:t>Beneficial</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5280" w:type="dxa"/>
            <w:vAlign w:val="bottom"/>
            <w:gridSpan w:val="7"/>
          </w:tcPr>
          <w:p>
            <w:pPr>
              <w:ind w:left="60"/>
              <w:spacing w:after="0" w:line="80" w:lineRule="exact"/>
              <w:rPr>
                <w:sz w:val="20"/>
                <w:szCs w:val="20"/>
                <w:color w:val="auto"/>
              </w:rPr>
            </w:pPr>
            <w:r>
              <w:rPr>
                <w:rFonts w:ascii="Arial" w:cs="Arial" w:eastAsia="Arial" w:hAnsi="Arial"/>
                <w:sz w:val="7"/>
                <w:szCs w:val="7"/>
                <w:b w:val="1"/>
                <w:bCs w:val="1"/>
                <w:color w:val="auto"/>
              </w:rPr>
              <w:t xml:space="preserve">if any  </w:t>
            </w:r>
            <w:r>
              <w:rPr>
                <w:rFonts w:ascii="Arial" w:cs="Arial" w:eastAsia="Arial" w:hAnsi="Arial"/>
                <w:sz w:val="9"/>
                <w:szCs w:val="9"/>
                <w:b w:val="1"/>
                <w:bCs w:val="1"/>
                <w:color w:val="auto"/>
              </w:rPr>
              <w:t>(e.g., puts, calls, warrants, options, convertible securities)</w:t>
            </w: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112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460"/>
              <w:spacing w:after="0" w:line="87" w:lineRule="exact"/>
              <w:rPr>
                <w:sz w:val="20"/>
                <w:szCs w:val="20"/>
                <w:color w:val="auto"/>
              </w:rPr>
            </w:pPr>
            <w:r>
              <w:rPr>
                <w:rFonts w:ascii="Arial" w:cs="Arial" w:eastAsia="Arial" w:hAnsi="Arial"/>
                <w:sz w:val="10"/>
                <w:szCs w:val="10"/>
                <w:b w:val="1"/>
                <w:bCs w:val="1"/>
                <w:color w:val="auto"/>
              </w:rPr>
              <w:t>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9. Number of</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10.</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060" w:type="dxa"/>
            <w:vAlign w:val="bottom"/>
            <w:gridSpan w:val="2"/>
          </w:tcPr>
          <w:p>
            <w:pPr>
              <w:ind w:left="60"/>
              <w:spacing w:after="0" w:line="67" w:lineRule="exact"/>
              <w:rPr>
                <w:sz w:val="20"/>
                <w:szCs w:val="20"/>
                <w:color w:val="auto"/>
              </w:rPr>
            </w:pPr>
            <w:r>
              <w:rPr>
                <w:rFonts w:ascii="Arial" w:cs="Arial" w:eastAsia="Arial" w:hAnsi="Arial"/>
                <w:sz w:val="7"/>
                <w:szCs w:val="7"/>
                <w:b w:val="1"/>
                <w:bCs w:val="1"/>
                <w:color w:val="auto"/>
              </w:rPr>
              <w:t>7. Title and</w:t>
            </w:r>
          </w:p>
        </w:tc>
        <w:tc>
          <w:tcPr>
            <w:tcW w:w="6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5"/>
                <w:szCs w:val="5"/>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460"/>
              <w:spacing w:after="0" w:line="67" w:lineRule="exact"/>
              <w:rPr>
                <w:sz w:val="20"/>
                <w:szCs w:val="20"/>
                <w:color w:val="auto"/>
              </w:rPr>
            </w:pPr>
            <w:r>
              <w:rPr>
                <w:rFonts w:ascii="Arial" w:cs="Arial" w:eastAsia="Arial" w:hAnsi="Arial"/>
                <w:sz w:val="7"/>
                <w:szCs w:val="7"/>
                <w:b w:val="1"/>
                <w:bCs w:val="1"/>
                <w:color w:val="auto"/>
              </w:rPr>
              <w:t>Number</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060" w:type="dxa"/>
            <w:vAlign w:val="bottom"/>
            <w:gridSpan w:val="2"/>
          </w:tcPr>
          <w:p>
            <w:pPr>
              <w:ind w:left="60"/>
              <w:spacing w:after="0" w:line="67" w:lineRule="exact"/>
              <w:rPr>
                <w:sz w:val="20"/>
                <w:szCs w:val="20"/>
                <w:color w:val="auto"/>
              </w:rPr>
            </w:pPr>
            <w:r>
              <w:rPr>
                <w:rFonts w:ascii="Arial" w:cs="Arial" w:eastAsia="Arial" w:hAnsi="Arial"/>
                <w:sz w:val="7"/>
                <w:szCs w:val="7"/>
                <w:b w:val="1"/>
                <w:bCs w:val="1"/>
                <w:color w:val="auto"/>
              </w:rPr>
              <w:t>Amount of</w:t>
            </w:r>
          </w:p>
        </w:tc>
        <w:tc>
          <w:tcPr>
            <w:tcW w:w="6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Date</w:t>
            </w:r>
          </w:p>
        </w:tc>
        <w:tc>
          <w:tcPr>
            <w:tcW w:w="74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Expiration</w:t>
            </w:r>
          </w:p>
        </w:tc>
        <w:tc>
          <w:tcPr>
            <w:tcW w:w="1060" w:type="dxa"/>
            <w:vAlign w:val="bottom"/>
            <w:gridSpan w:val="2"/>
          </w:tcPr>
          <w:p>
            <w:pPr>
              <w:ind w:left="460"/>
              <w:spacing w:after="0" w:line="67" w:lineRule="exact"/>
              <w:rPr>
                <w:sz w:val="20"/>
                <w:szCs w:val="20"/>
                <w:color w:val="auto"/>
              </w:rPr>
            </w:pPr>
            <w:r>
              <w:rPr>
                <w:rFonts w:ascii="Arial" w:cs="Arial" w:eastAsia="Arial" w:hAnsi="Arial"/>
                <w:sz w:val="7"/>
                <w:szCs w:val="7"/>
                <w:b w:val="1"/>
                <w:bCs w:val="1"/>
                <w:color w:val="auto"/>
              </w:rPr>
              <w:t>of</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540" w:type="dxa"/>
            <w:vAlign w:val="bottom"/>
            <w:gridSpan w:val="2"/>
          </w:tcPr>
          <w:p>
            <w:pPr>
              <w:ind w:left="60"/>
              <w:spacing w:after="0" w:line="67" w:lineRule="exact"/>
              <w:rPr>
                <w:sz w:val="20"/>
                <w:szCs w:val="20"/>
                <w:color w:val="auto"/>
              </w:rPr>
            </w:pPr>
            <w:r>
              <w:rPr>
                <w:rFonts w:ascii="Arial" w:cs="Arial" w:eastAsia="Arial" w:hAnsi="Arial"/>
                <w:sz w:val="7"/>
                <w:szCs w:val="7"/>
                <w:b w:val="1"/>
                <w:bCs w:val="1"/>
                <w:color w:val="auto"/>
              </w:rPr>
              <w:t>(Month/Day/Year)</w:t>
            </w:r>
          </w:p>
        </w:tc>
        <w:tc>
          <w:tcPr>
            <w:tcW w:w="1060" w:type="dxa"/>
            <w:vAlign w:val="bottom"/>
            <w:gridSpan w:val="2"/>
          </w:tcPr>
          <w:p>
            <w:pPr>
              <w:ind w:left="60"/>
              <w:spacing w:after="0" w:line="67" w:lineRule="exact"/>
              <w:rPr>
                <w:sz w:val="20"/>
                <w:szCs w:val="20"/>
                <w:color w:val="auto"/>
              </w:rPr>
            </w:pPr>
            <w:r>
              <w:rPr>
                <w:rFonts w:ascii="Arial" w:cs="Arial" w:eastAsia="Arial" w:hAnsi="Arial"/>
                <w:sz w:val="7"/>
                <w:szCs w:val="7"/>
                <w:b w:val="1"/>
                <w:bCs w:val="1"/>
                <w:color w:val="auto"/>
              </w:rPr>
              <w:t>Securities</w:t>
            </w:r>
          </w:p>
        </w:tc>
        <w:tc>
          <w:tcPr>
            <w:tcW w:w="6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Code  V</w:t>
            </w:r>
          </w:p>
        </w:tc>
        <w:tc>
          <w:tcPr>
            <w:tcW w:w="74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(A)   (D)</w:t>
            </w:r>
          </w:p>
        </w:tc>
        <w:tc>
          <w:tcPr>
            <w:tcW w:w="80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Exercisable</w:t>
            </w:r>
          </w:p>
        </w:tc>
        <w:tc>
          <w:tcPr>
            <w:tcW w:w="74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Date</w:t>
            </w:r>
          </w:p>
        </w:tc>
        <w:tc>
          <w:tcPr>
            <w:tcW w:w="1060" w:type="dxa"/>
            <w:vAlign w:val="bottom"/>
            <w:gridSpan w:val="2"/>
          </w:tcPr>
          <w:p>
            <w:pPr>
              <w:ind w:left="60"/>
              <w:spacing w:after="0" w:line="67" w:lineRule="exact"/>
              <w:rPr>
                <w:sz w:val="20"/>
                <w:szCs w:val="20"/>
                <w:color w:val="auto"/>
              </w:rPr>
            </w:pPr>
            <w:r>
              <w:rPr>
                <w:rFonts w:ascii="Arial" w:cs="Arial" w:eastAsia="Arial" w:hAnsi="Arial"/>
                <w:sz w:val="7"/>
                <w:szCs w:val="7"/>
                <w:b w:val="1"/>
                <w:bCs w:val="1"/>
                <w:color w:val="auto"/>
              </w:rPr>
              <w:t>Title  Shares</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Beneficially</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Direct (D)</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vMerge w:val="continue"/>
          </w:tcPr>
          <w:p>
            <w:pPr>
              <w:spacing w:after="0"/>
              <w:rPr>
                <w:sz w:val="7"/>
                <w:szCs w:val="7"/>
                <w:color w:val="auto"/>
              </w:rPr>
            </w:pPr>
          </w:p>
        </w:tc>
        <w:tc>
          <w:tcPr>
            <w:tcW w:w="800" w:type="dxa"/>
            <w:vAlign w:val="bottom"/>
            <w:tcBorders>
              <w:bottom w:val="single" w:sz="8" w:color="2C2C2C"/>
            </w:tcBorders>
            <w:vMerge w:val="continue"/>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vMerge w:val="continue"/>
          </w:tcPr>
          <w:p>
            <w:pPr>
              <w:spacing w:after="0"/>
              <w:rPr>
                <w:sz w:val="7"/>
                <w:szCs w:val="7"/>
                <w:color w:val="auto"/>
              </w:rPr>
            </w:pPr>
          </w:p>
        </w:tc>
        <w:tc>
          <w:tcPr>
            <w:tcW w:w="820" w:type="dxa"/>
            <w:vAlign w:val="bottom"/>
            <w:tcBorders>
              <w:bottom w:val="single" w:sz="8" w:color="2C2C2C"/>
            </w:tcBorders>
          </w:tcPr>
          <w:p>
            <w:pPr>
              <w:ind w:left="60"/>
              <w:spacing w:after="0" w:line="80" w:lineRule="exact"/>
              <w:rPr>
                <w:sz w:val="20"/>
                <w:szCs w:val="20"/>
                <w:color w:val="auto"/>
              </w:rPr>
            </w:pPr>
            <w:r>
              <w:rPr>
                <w:rFonts w:ascii="Arial" w:cs="Arial" w:eastAsia="Arial" w:hAnsi="Arial"/>
                <w:sz w:val="8"/>
                <w:szCs w:val="8"/>
                <w:b w:val="1"/>
                <w:bCs w:val="1"/>
                <w:color w:val="auto"/>
              </w:rPr>
              <w:t>8)</w:t>
            </w:r>
          </w:p>
        </w:tc>
        <w:tc>
          <w:tcPr>
            <w:tcW w:w="740" w:type="dxa"/>
            <w:vAlign w:val="bottom"/>
            <w:tcBorders>
              <w:bottom w:val="single" w:sz="8" w:color="2C2C2C"/>
            </w:tcBorders>
          </w:tcPr>
          <w:p>
            <w:pPr>
              <w:ind w:left="80"/>
              <w:spacing w:after="0" w:line="80" w:lineRule="exact"/>
              <w:rPr>
                <w:sz w:val="20"/>
                <w:szCs w:val="20"/>
                <w:color w:val="auto"/>
              </w:rPr>
            </w:pPr>
            <w:r>
              <w:rPr>
                <w:rFonts w:ascii="Arial" w:cs="Arial" w:eastAsia="Arial" w:hAnsi="Arial"/>
                <w:sz w:val="8"/>
                <w:szCs w:val="8"/>
                <w:b w:val="1"/>
                <w:bCs w:val="1"/>
                <w:color w:val="auto"/>
              </w:rPr>
              <w:t>Securities</w:t>
            </w: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2"/>
          </w:tcPr>
          <w:p>
            <w:pPr>
              <w:ind w:left="60"/>
              <w:spacing w:after="0" w:line="80" w:lineRule="exact"/>
              <w:rPr>
                <w:sz w:val="20"/>
                <w:szCs w:val="20"/>
                <w:color w:val="auto"/>
              </w:rPr>
            </w:pPr>
            <w:r>
              <w:rPr>
                <w:rFonts w:ascii="Arial" w:cs="Arial" w:eastAsia="Arial" w:hAnsi="Arial"/>
                <w:sz w:val="8"/>
                <w:szCs w:val="8"/>
                <w:b w:val="1"/>
                <w:bCs w:val="1"/>
                <w:color w:val="auto"/>
              </w:rPr>
              <w:t>Underlying</w:t>
            </w:r>
          </w:p>
        </w:tc>
        <w:tc>
          <w:tcPr>
            <w:tcW w:w="640" w:type="dxa"/>
            <w:vAlign w:val="bottom"/>
            <w:tcBorders>
              <w:bottom w:val="single" w:sz="8" w:color="2C2C2C"/>
            </w:tcBorders>
            <w:vMerge w:val="continue"/>
          </w:tcPr>
          <w:p>
            <w:pPr>
              <w:spacing w:after="0"/>
              <w:rPr>
                <w:sz w:val="7"/>
                <w:szCs w:val="7"/>
                <w:color w:val="auto"/>
              </w:rPr>
            </w:pPr>
          </w:p>
        </w:tc>
        <w:tc>
          <w:tcPr>
            <w:tcW w:w="960" w:type="dxa"/>
            <w:vAlign w:val="bottom"/>
            <w:tcBorders>
              <w:bottom w:val="single" w:sz="8" w:color="2C2C2C"/>
            </w:tcBorders>
            <w:vMerge w:val="continue"/>
          </w:tcPr>
          <w:p>
            <w:pPr>
              <w:spacing w:after="0"/>
              <w:rPr>
                <w:sz w:val="7"/>
                <w:szCs w:val="7"/>
                <w:color w:val="auto"/>
              </w:rPr>
            </w:pPr>
          </w:p>
        </w:tc>
        <w:tc>
          <w:tcPr>
            <w:tcW w:w="820" w:type="dxa"/>
            <w:vAlign w:val="bottom"/>
            <w:tcBorders>
              <w:bottom w:val="single" w:sz="8" w:color="2C2C2C"/>
            </w:tcBorders>
            <w:vMerge w:val="continue"/>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ind w:left="60"/>
              <w:spacing w:after="0" w:line="93" w:lineRule="exact"/>
              <w:rPr>
                <w:sz w:val="20"/>
                <w:szCs w:val="20"/>
                <w:color w:val="auto"/>
              </w:rPr>
            </w:pPr>
            <w:r>
              <w:rPr>
                <w:rFonts w:ascii="Arial" w:cs="Arial" w:eastAsia="Arial" w:hAnsi="Arial"/>
                <w:sz w:val="10"/>
                <w:szCs w:val="10"/>
                <w:b w:val="1"/>
                <w:bCs w:val="1"/>
                <w:color w:val="auto"/>
              </w:rPr>
              <w:t>Derivative</w:t>
            </w: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ind w:left="80"/>
              <w:spacing w:after="0" w:line="93" w:lineRule="exact"/>
              <w:rPr>
                <w:sz w:val="20"/>
                <w:szCs w:val="20"/>
                <w:color w:val="auto"/>
              </w:rPr>
            </w:pPr>
            <w:r>
              <w:rPr>
                <w:rFonts w:ascii="Arial" w:cs="Arial" w:eastAsia="Arial" w:hAnsi="Arial"/>
                <w:sz w:val="10"/>
                <w:szCs w:val="10"/>
                <w:b w:val="1"/>
                <w:bCs w:val="1"/>
                <w:color w:val="auto"/>
              </w:rPr>
              <w:t>Acquired</w:t>
            </w: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gridSpan w:val="2"/>
          </w:tcPr>
          <w:p>
            <w:pPr>
              <w:ind w:left="60"/>
              <w:spacing w:after="0" w:line="93" w:lineRule="exact"/>
              <w:rPr>
                <w:sz w:val="20"/>
                <w:szCs w:val="20"/>
                <w:color w:val="auto"/>
              </w:rPr>
            </w:pPr>
            <w:r>
              <w:rPr>
                <w:rFonts w:ascii="Arial" w:cs="Arial" w:eastAsia="Arial" w:hAnsi="Arial"/>
                <w:sz w:val="10"/>
                <w:szCs w:val="10"/>
                <w:b w:val="1"/>
                <w:bCs w:val="1"/>
                <w:color w:val="auto"/>
              </w:rPr>
              <w:t>Derivative</w:t>
            </w:r>
          </w:p>
        </w:tc>
        <w:tc>
          <w:tcPr>
            <w:tcW w:w="640" w:type="dxa"/>
            <w:vAlign w:val="bottom"/>
          </w:tcPr>
          <w:p>
            <w:pPr>
              <w:spacing w:after="0"/>
              <w:rPr>
                <w:sz w:val="8"/>
                <w:szCs w:val="8"/>
                <w:color w:val="auto"/>
              </w:rPr>
            </w:pPr>
          </w:p>
        </w:tc>
        <w:tc>
          <w:tcPr>
            <w:tcW w:w="960" w:type="dxa"/>
            <w:vAlign w:val="bottom"/>
          </w:tcPr>
          <w:p>
            <w:pPr>
              <w:ind w:left="80"/>
              <w:spacing w:after="0" w:line="93" w:lineRule="exact"/>
              <w:rPr>
                <w:sz w:val="20"/>
                <w:szCs w:val="20"/>
                <w:color w:val="auto"/>
              </w:rPr>
            </w:pPr>
            <w:r>
              <w:rPr>
                <w:rFonts w:ascii="Arial" w:cs="Arial" w:eastAsia="Arial" w:hAnsi="Arial"/>
                <w:sz w:val="10"/>
                <w:szCs w:val="10"/>
                <w:b w:val="1"/>
                <w:bCs w:val="1"/>
                <w:color w:val="auto"/>
              </w:rPr>
              <w:t>Owned</w:t>
            </w:r>
          </w:p>
        </w:tc>
        <w:tc>
          <w:tcPr>
            <w:tcW w:w="820" w:type="dxa"/>
            <w:vAlign w:val="bottom"/>
          </w:tcPr>
          <w:p>
            <w:pPr>
              <w:ind w:left="80"/>
              <w:spacing w:after="0" w:line="93" w:lineRule="exact"/>
              <w:rPr>
                <w:sz w:val="20"/>
                <w:szCs w:val="20"/>
                <w:color w:val="auto"/>
              </w:rPr>
            </w:pPr>
            <w:r>
              <w:rPr>
                <w:rFonts w:ascii="Arial" w:cs="Arial" w:eastAsia="Arial" w:hAnsi="Arial"/>
                <w:sz w:val="10"/>
                <w:szCs w:val="10"/>
                <w:b w:val="1"/>
                <w:bCs w:val="1"/>
                <w:color w:val="auto"/>
              </w:rPr>
              <w:t>or Indirect</w:t>
            </w:r>
          </w:p>
        </w:tc>
        <w:tc>
          <w:tcPr>
            <w:tcW w:w="720" w:type="dxa"/>
            <w:vAlign w:val="bottom"/>
            <w:gridSpan w:val="2"/>
          </w:tcPr>
          <w:p>
            <w:pPr>
              <w:ind w:left="20"/>
              <w:spacing w:after="0" w:line="93" w:lineRule="exact"/>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gridSpan w:val="3"/>
          </w:tcPr>
          <w:p>
            <w:pPr>
              <w:ind w:left="20"/>
              <w:spacing w:after="0" w:line="67" w:lineRule="exact"/>
              <w:rPr>
                <w:sz w:val="20"/>
                <w:szCs w:val="20"/>
                <w:color w:val="auto"/>
              </w:rPr>
            </w:pPr>
            <w:r>
              <w:rPr>
                <w:rFonts w:ascii="Arial" w:cs="Arial" w:eastAsia="Arial" w:hAnsi="Arial"/>
                <w:sz w:val="7"/>
                <w:szCs w:val="7"/>
                <w:b w:val="1"/>
                <w:bCs w:val="1"/>
                <w:color w:val="auto"/>
              </w:rPr>
              <w:t>Explanation of Responses:</w:t>
            </w: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5"/>
                <w:szCs w:val="5"/>
                <w:color w:val="auto"/>
              </w:rPr>
            </w:pPr>
          </w:p>
        </w:tc>
        <w:tc>
          <w:tcPr>
            <w:tcW w:w="9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8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ind w:left="60"/>
              <w:spacing w:after="0" w:line="68" w:lineRule="exact"/>
              <w:rPr>
                <w:sz w:val="20"/>
                <w:szCs w:val="20"/>
                <w:color w:val="auto"/>
              </w:rPr>
            </w:pPr>
            <w:r>
              <w:rPr>
                <w:rFonts w:ascii="Arial" w:cs="Arial" w:eastAsia="Arial" w:hAnsi="Arial"/>
                <w:sz w:val="7"/>
                <w:szCs w:val="7"/>
                <w:b w:val="1"/>
                <w:bCs w:val="1"/>
                <w:color w:val="auto"/>
              </w:rPr>
              <w:t>Security</w:t>
            </w: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340" w:type="dxa"/>
            <w:vAlign w:val="bottom"/>
            <w:gridSpan w:val="14"/>
          </w:tcPr>
          <w:p>
            <w:pPr>
              <w:ind w:left="20"/>
              <w:spacing w:after="0" w:line="146" w:lineRule="exact"/>
              <w:rPr>
                <w:sz w:val="20"/>
                <w:szCs w:val="20"/>
                <w:color w:val="auto"/>
              </w:rPr>
            </w:pPr>
            <w:r>
              <w:rPr>
                <w:rFonts w:ascii="Times New Roman" w:cs="Times New Roman" w:eastAsia="Times New Roman" w:hAnsi="Times New Roman"/>
                <w:sz w:val="13"/>
                <w:szCs w:val="13"/>
                <w:color w:val="008000"/>
                <w:w w:val="91"/>
              </w:rPr>
              <w:t>1. Represents shares sold in a transaction that was effected automatically pursuant to a Rule</w:t>
            </w:r>
            <w:r>
              <w:rPr>
                <w:rFonts w:ascii="Arial" w:cs="Arial" w:eastAsia="Arial" w:hAnsi="Arial"/>
                <w:sz w:val="11"/>
                <w:szCs w:val="11"/>
                <w:b w:val="1"/>
                <w:bCs w:val="1"/>
                <w:color w:val="000000"/>
                <w:w w:val="91"/>
              </w:rPr>
              <w:t>Disposed</w:t>
            </w:r>
            <w:r>
              <w:rPr>
                <w:rFonts w:ascii="Times New Roman" w:cs="Times New Roman" w:eastAsia="Times New Roman" w:hAnsi="Times New Roman"/>
                <w:sz w:val="13"/>
                <w:szCs w:val="13"/>
                <w:color w:val="008000"/>
                <w:w w:val="91"/>
              </w:rPr>
              <w:t>10b-5 trading plan adopted by the reporting</w:t>
            </w:r>
            <w:r>
              <w:rPr>
                <w:rFonts w:ascii="Arial" w:cs="Arial" w:eastAsia="Arial" w:hAnsi="Arial"/>
                <w:sz w:val="11"/>
                <w:szCs w:val="11"/>
                <w:b w:val="1"/>
                <w:bCs w:val="1"/>
                <w:color w:val="000000"/>
                <w:w w:val="91"/>
              </w:rPr>
              <w:t>3and 4)</w:t>
            </w:r>
            <w:r>
              <w:rPr>
                <w:rFonts w:ascii="Times New Roman" w:cs="Times New Roman" w:eastAsia="Times New Roman" w:hAnsi="Times New Roman"/>
                <w:sz w:val="13"/>
                <w:szCs w:val="13"/>
                <w:color w:val="008000"/>
                <w:w w:val="91"/>
              </w:rPr>
              <w:t>person's spouse, at least 14</w:t>
            </w:r>
            <w:r>
              <w:rPr>
                <w:rFonts w:ascii="Arial" w:cs="Arial" w:eastAsia="Arial" w:hAnsi="Arial"/>
                <w:sz w:val="11"/>
                <w:szCs w:val="11"/>
                <w:b w:val="1"/>
                <w:bCs w:val="1"/>
                <w:color w:val="000000"/>
                <w:w w:val="91"/>
              </w:rPr>
              <w:t>Reported</w:t>
            </w:r>
            <w:r>
              <w:rPr>
                <w:rFonts w:ascii="Times New Roman" w:cs="Times New Roman" w:eastAsia="Times New Roman" w:hAnsi="Times New Roman"/>
                <w:sz w:val="13"/>
                <w:szCs w:val="13"/>
                <w:color w:val="008000"/>
                <w:w w:val="91"/>
              </w:rPr>
              <w:t>daysprior to the trading date.</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1060" w:type="dxa"/>
            <w:vAlign w:val="bottom"/>
            <w:gridSpan w:val="16"/>
          </w:tcPr>
          <w:p>
            <w:pPr>
              <w:ind w:left="20"/>
              <w:spacing w:after="0" w:line="67" w:lineRule="exact"/>
              <w:rPr>
                <w:sz w:val="20"/>
                <w:szCs w:val="20"/>
                <w:color w:val="auto"/>
              </w:rPr>
            </w:pPr>
            <w:r>
              <w:rPr>
                <w:rFonts w:ascii="Times New Roman" w:cs="Times New Roman" w:eastAsia="Times New Roman" w:hAnsi="Times New Roman"/>
                <w:sz w:val="7"/>
                <w:szCs w:val="7"/>
                <w:color w:val="008000"/>
              </w:rPr>
              <w:t>2. The price reported in Column 4 is a weighted average price. These shares were sold in multiple transactions at prices ranging from $33.32 to $34.30, inclusive. The reporting person undertakes to</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ind w:left="80"/>
              <w:spacing w:after="0"/>
              <w:rPr>
                <w:sz w:val="20"/>
                <w:szCs w:val="20"/>
                <w:color w:val="auto"/>
              </w:rPr>
            </w:pPr>
            <w:r>
              <w:rPr>
                <w:rFonts w:ascii="Arial" w:cs="Arial" w:eastAsia="Arial" w:hAnsi="Arial"/>
                <w:sz w:val="2"/>
                <w:szCs w:val="2"/>
                <w:b w:val="1"/>
                <w:bCs w:val="1"/>
                <w:color w:val="auto"/>
              </w:rPr>
              <w:t>(Instr. 3, 4</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ind w:left="80"/>
              <w:spacing w:after="0"/>
              <w:rPr>
                <w:sz w:val="20"/>
                <w:szCs w:val="20"/>
                <w:color w:val="auto"/>
              </w:rPr>
            </w:pPr>
            <w:r>
              <w:rPr>
                <w:rFonts w:ascii="Arial" w:cs="Arial" w:eastAsia="Arial" w:hAnsi="Arial"/>
                <w:sz w:val="2"/>
                <w:szCs w:val="2"/>
                <w:b w:val="1"/>
                <w:bCs w:val="1"/>
                <w:color w:val="auto"/>
              </w:rPr>
              <w:t>(Instr. 4)</w:t>
            </w: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4680" w:right="240" w:hanging="4636"/>
        <w:spacing w:after="0"/>
        <w:rPr>
          <w:sz w:val="20"/>
          <w:szCs w:val="20"/>
          <w:color w:val="auto"/>
        </w:rPr>
      </w:pPr>
      <w:r>
        <w:rPr>
          <w:rFonts w:ascii="Times New Roman" w:cs="Times New Roman" w:eastAsia="Times New Roman" w:hAnsi="Times New Roman"/>
          <w:sz w:val="12"/>
          <w:szCs w:val="12"/>
          <w:color w:val="008000"/>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521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521585"/>
                    </a:xfrm>
                    <a:prstGeom prst="rect">
                      <a:avLst/>
                    </a:prstGeom>
                    <a:noFill/>
                  </pic:spPr>
                </pic:pic>
              </a:graphicData>
            </a:graphic>
          </wp:anchor>
        </w:drawing>
        <w:t xml:space="preserve">provide to Xometry, Inc., any security holder of Xometry, Inc. or the staff of the Securities and Exchange Commission, upon request, full information regarding the number of shares sold at each separate </w:t>
      </w:r>
      <w:r>
        <w:rPr>
          <w:rFonts w:ascii="Arial" w:cs="Arial" w:eastAsia="Arial" w:hAnsi="Arial"/>
          <w:sz w:val="10"/>
          <w:szCs w:val="10"/>
          <w:b w:val="1"/>
          <w:bCs w:val="1"/>
          <w:color w:val="000000"/>
        </w:rPr>
        <w:t>and 5)</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price in the ranges set forth in footnotes (2), (3), (4), (6), (7), (9), (11), (13), (14), (16) and (17) to this Form 4.</w:t>
      </w:r>
    </w:p>
    <w:p>
      <w:pPr>
        <w:spacing w:after="0" w:line="22" w:lineRule="exact"/>
        <w:rPr>
          <w:sz w:val="20"/>
          <w:szCs w:val="20"/>
          <w:color w:val="auto"/>
        </w:rPr>
      </w:pPr>
    </w:p>
    <w:p>
      <w:pPr>
        <w:ind w:left="7340" w:right="2420" w:hanging="7293"/>
        <w:spacing w:after="0" w:line="226" w:lineRule="auto"/>
        <w:tabs>
          <w:tab w:leader="none" w:pos="18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$34</w:t>
      </w:r>
      <w:r>
        <w:rPr>
          <w:rFonts w:ascii="Arial" w:cs="Arial" w:eastAsia="Arial" w:hAnsi="Arial"/>
          <w:sz w:val="21"/>
          <w:szCs w:val="21"/>
          <w:b w:val="1"/>
          <w:bCs w:val="1"/>
          <w:color w:val="000000"/>
          <w:vertAlign w:val="superscript"/>
        </w:rPr>
        <w:t>Amount</w:t>
      </w:r>
      <w:r>
        <w:rPr>
          <w:rFonts w:ascii="Times New Roman" w:cs="Times New Roman" w:eastAsia="Times New Roman" w:hAnsi="Times New Roman"/>
          <w:sz w:val="12"/>
          <w:szCs w:val="12"/>
          <w:color w:val="008000"/>
        </w:rPr>
        <w:t xml:space="preserve">.48to$35.44, inclusive. </w:t>
      </w:r>
      <w:r>
        <w:rPr>
          <w:rFonts w:ascii="Arial" w:cs="Arial" w:eastAsia="Arial" w:hAnsi="Arial"/>
          <w:sz w:val="10"/>
          <w:szCs w:val="10"/>
          <w:b w:val="1"/>
          <w:bCs w:val="1"/>
          <w:color w:val="000000"/>
        </w:rPr>
        <w:t>or</w:t>
      </w:r>
    </w:p>
    <w:p>
      <w:pPr>
        <w:ind w:left="180" w:hanging="133"/>
        <w:spacing w:after="0"/>
        <w:tabs>
          <w:tab w:leader="none" w:pos="180" w:val="left"/>
        </w:tabs>
        <w:numPr>
          <w:ilvl w:val="0"/>
          <w:numId w:val="2"/>
        </w:numPr>
        <w:rPr>
          <w:rFonts w:ascii="Times New Roman" w:cs="Times New Roman" w:eastAsia="Times New Roman" w:hAnsi="Times New Roman"/>
          <w:sz w:val="4"/>
          <w:szCs w:val="4"/>
          <w:color w:val="008000"/>
        </w:rPr>
      </w:pPr>
      <w:r>
        <w:rPr>
          <w:rFonts w:ascii="Times New Roman" w:cs="Times New Roman" w:eastAsia="Times New Roman" w:hAnsi="Times New Roman"/>
          <w:sz w:val="4"/>
          <w:szCs w:val="4"/>
          <w:color w:val="008000"/>
        </w:rPr>
        <w:t>The price reported in Column 4 is a weighted average price. These shares were sold in multiple transactions at prices ranging from $35.48 to $36.29, inclusive.</w:t>
      </w:r>
    </w:p>
    <w:p>
      <w:pPr>
        <w:spacing w:after="0" w:line="4" w:lineRule="exact"/>
        <w:rPr>
          <w:rFonts w:ascii="Times New Roman" w:cs="Times New Roman" w:eastAsia="Times New Roman" w:hAnsi="Times New Roman"/>
          <w:sz w:val="4"/>
          <w:szCs w:val="4"/>
          <w:color w:val="008000"/>
        </w:rPr>
      </w:pPr>
    </w:p>
    <w:p>
      <w:pPr>
        <w:ind w:left="7340"/>
        <w:spacing w:after="0" w:line="231" w:lineRule="auto"/>
        <w:rPr>
          <w:rFonts w:ascii="Times New Roman" w:cs="Times New Roman" w:eastAsia="Times New Roman" w:hAnsi="Times New Roman"/>
          <w:sz w:val="4"/>
          <w:szCs w:val="4"/>
          <w:color w:val="008000"/>
        </w:rPr>
      </w:pPr>
      <w:r>
        <w:rPr>
          <w:rFonts w:ascii="Arial" w:cs="Arial" w:eastAsia="Arial" w:hAnsi="Arial"/>
          <w:sz w:val="12"/>
          <w:szCs w:val="12"/>
          <w:b w:val="1"/>
          <w:bCs w:val="1"/>
          <w:color w:val="auto"/>
        </w:rPr>
        <w:t>Number</w:t>
      </w:r>
    </w:p>
    <w:p>
      <w:pPr>
        <w:ind w:left="180" w:hanging="133"/>
        <w:spacing w:after="0" w:line="184" w:lineRule="auto"/>
        <w:tabs>
          <w:tab w:leader="none" w:pos="18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Represents shares sold in a transaction that was effected automatically pursuant to a Rule 10b-5 trading</w:t>
      </w:r>
      <w:r>
        <w:rPr>
          <w:rFonts w:ascii="Arial" w:cs="Arial" w:eastAsia="Arial" w:hAnsi="Arial"/>
          <w:sz w:val="15"/>
          <w:szCs w:val="15"/>
          <w:b w:val="1"/>
          <w:bCs w:val="1"/>
          <w:color w:val="000000"/>
          <w:vertAlign w:val="superscript"/>
        </w:rPr>
        <w:t>Date</w:t>
      </w:r>
      <w:r>
        <w:rPr>
          <w:rFonts w:ascii="Times New Roman" w:cs="Times New Roman" w:eastAsia="Times New Roman" w:hAnsi="Times New Roman"/>
          <w:sz w:val="10"/>
          <w:szCs w:val="10"/>
          <w:color w:val="008000"/>
        </w:rPr>
        <w:t xml:space="preserve"> plan adopted</w:t>
      </w:r>
      <w:r>
        <w:rPr>
          <w:rFonts w:ascii="Arial" w:cs="Arial" w:eastAsia="Arial" w:hAnsi="Arial"/>
          <w:sz w:val="15"/>
          <w:szCs w:val="15"/>
          <w:b w:val="1"/>
          <w:bCs w:val="1"/>
          <w:color w:val="000000"/>
          <w:vertAlign w:val="superscript"/>
        </w:rPr>
        <w:t>Expiration</w:t>
      </w:r>
      <w:r>
        <w:rPr>
          <w:rFonts w:ascii="Times New Roman" w:cs="Times New Roman" w:eastAsia="Times New Roman" w:hAnsi="Times New Roman"/>
          <w:sz w:val="10"/>
          <w:szCs w:val="10"/>
          <w:color w:val="008000"/>
        </w:rPr>
        <w:t>byThe Altschuler</w:t>
      </w:r>
      <w:r>
        <w:rPr>
          <w:rFonts w:ascii="Arial" w:cs="Arial" w:eastAsia="Arial" w:hAnsi="Arial"/>
          <w:sz w:val="15"/>
          <w:szCs w:val="15"/>
          <w:b w:val="1"/>
          <w:bCs w:val="1"/>
          <w:color w:val="000000"/>
          <w:vertAlign w:val="superscript"/>
        </w:rPr>
        <w:t>of</w:t>
      </w:r>
      <w:r>
        <w:rPr>
          <w:rFonts w:ascii="Times New Roman" w:cs="Times New Roman" w:eastAsia="Times New Roman" w:hAnsi="Times New Roman"/>
          <w:sz w:val="10"/>
          <w:szCs w:val="10"/>
          <w:color w:val="008000"/>
        </w:rPr>
        <w:t>Family Trust (2020) at least 14 days prior to the trading date.</w:t>
      </w:r>
    </w:p>
    <w:p>
      <w:pPr>
        <w:ind w:left="3840"/>
        <w:spacing w:after="0" w:line="216" w:lineRule="auto"/>
        <w:rPr>
          <w:rFonts w:ascii="Times New Roman" w:cs="Times New Roman" w:eastAsia="Times New Roman" w:hAnsi="Times New Roman"/>
          <w:sz w:val="10"/>
          <w:szCs w:val="10"/>
          <w:color w:val="008000"/>
        </w:rPr>
      </w:pPr>
      <w:r>
        <w:rPr>
          <w:rFonts w:ascii="Arial" w:cs="Arial" w:eastAsia="Arial" w:hAnsi="Arial"/>
          <w:sz w:val="8"/>
          <w:szCs w:val="8"/>
          <w:b w:val="1"/>
          <w:bCs w:val="1"/>
          <w:color w:val="auto"/>
        </w:rPr>
        <w:t>Code  V(A)   (D)   Exercisable  DateTitle  Shares</w:t>
      </w: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$33.32 to $33.86, inclusive.</w:t>
      </w:r>
    </w:p>
    <w:p>
      <w:pPr>
        <w:spacing w:after="0" w:line="36" w:lineRule="exact"/>
        <w:rPr>
          <w:sz w:val="20"/>
          <w:szCs w:val="20"/>
          <w:color w:val="auto"/>
        </w:rPr>
      </w:pPr>
    </w:p>
    <w:p>
      <w:pPr>
        <w:ind w:left="180" w:hanging="133"/>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$34.48 to $35.41,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2021 Tigers Trust at least 14 days prior to the trading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$34.48 to $35.40, inclusive.</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2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Matthew Sladkin Altschuler 2012 Trust at least 14 days prior to the trading date.</w:t>
      </w:r>
    </w:p>
    <w:p>
      <w:pPr>
        <w:spacing w:after="0" w:line="7"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$35.48 to $36.02, inclusive.</w:t>
      </w:r>
    </w:p>
    <w:p>
      <w:pPr>
        <w:spacing w:after="0" w:line="50"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2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Noah Sladkin Altschuler 2012 Trust Trust at least 14 days prior to the trading date.</w:t>
      </w:r>
    </w:p>
    <w:p>
      <w:pPr>
        <w:spacing w:after="0" w:line="7"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$34.335 to $35.30, inclusive.</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$35.335 to $36.02, inclusive.</w:t>
      </w:r>
    </w:p>
    <w:p>
      <w:pPr>
        <w:spacing w:after="0" w:line="5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2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Sasha Sladkin Altschuler 2012 Trust at least 14 days prior to the trading date.</w:t>
      </w:r>
    </w:p>
    <w:p>
      <w:pPr>
        <w:spacing w:after="0" w:line="7"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$34.48 to $35.16, inclusive.</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$35.48 to $36.12, inclusive.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06/13/2022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69814"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2022-06-13T16:07:08Z</dcterms:created>
  <dcterms:modified xsi:type="dcterms:W3CDTF">2022-06-13T16:07:08Z</dcterms:modified>
</cp:coreProperties>
</file>