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6"/>
        <w:gridCol w:w="917"/>
        <w:gridCol w:w="786"/>
        <w:gridCol w:w="661"/>
        <w:gridCol w:w="294"/>
        <w:gridCol w:w="836"/>
        <w:gridCol w:w="442"/>
        <w:gridCol w:w="985"/>
        <w:gridCol w:w="1149"/>
        <w:gridCol w:w="990"/>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04/02/2025</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r>
              <w:rPr/>
              <w:t xml:space="preserve"> </w:t>
            </w:r>
          </w:p>
        </w:tc>
        <w:tc>
          <w:tcPr>
            <w:tcW w:w="2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w:t>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25.1309</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144,713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$24.74 to $25.455, inclusive. The reporting person undertakes to provide to Xometry, Inc., any security holder of Xometry, Inc. or the staff of the Securities and Exchange Commission, upon request, full information regarding the number of shares sold at each separate price within this price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6790"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3737</Characters>
  <CharactersWithSpaces>4365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