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left="920" w:right="920"/>
        <w:spacing w:after="0" w:line="258" w:lineRule="auto"/>
        <w:rPr>
          <w:sz w:val="20"/>
          <w:szCs w:val="20"/>
          <w:color w:val="auto"/>
        </w:rPr>
      </w:pPr>
      <w:r>
        <w:rPr>
          <w:rFonts w:ascii="Arial" w:cs="Arial" w:eastAsia="Arial" w:hAnsi="Arial"/>
          <w:sz w:val="13"/>
          <w:szCs w:val="13"/>
          <w:b w:val="1"/>
          <w:bCs w:val="1"/>
          <w:color w:val="auto"/>
        </w:rPr>
        <w:t>As confidentially submitted to the Securities and Exchange Commission on May 18, 2021 as Amendment No. 1 to the draft registration statement submitted on April 14, 2021. This Amendment No. 1 to the draft registration statement has not been publicly filed with the Securities and Exchange Commission and all information herein remains strictly confidential.</w:t>
      </w:r>
    </w:p>
    <w:p>
      <w:pPr>
        <w:spacing w:after="0" w:line="66" w:lineRule="exact"/>
        <w:rPr>
          <w:sz w:val="24"/>
          <w:szCs w:val="24"/>
          <w:color w:val="auto"/>
        </w:rPr>
      </w:pPr>
    </w:p>
    <w:p>
      <w:pPr>
        <w:jc w:val="right"/>
        <w:ind w:right="4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Xometry,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0"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780" w:type="dxa"/>
            <w:vAlign w:val="bottom"/>
          </w:tcPr>
          <w:p>
            <w:pPr>
              <w:jc w:val="center"/>
              <w:ind w:right="916"/>
              <w:spacing w:after="0"/>
              <w:rPr>
                <w:sz w:val="20"/>
                <w:szCs w:val="20"/>
                <w:color w:val="auto"/>
              </w:rPr>
            </w:pPr>
            <w:r>
              <w:rPr>
                <w:rFonts w:ascii="Arial" w:cs="Arial" w:eastAsia="Arial" w:hAnsi="Arial"/>
                <w:sz w:val="13"/>
                <w:szCs w:val="13"/>
                <w:b w:val="1"/>
                <w:bCs w:val="1"/>
                <w:color w:val="auto"/>
              </w:rPr>
              <w:t>Delaware</w:t>
            </w:r>
          </w:p>
        </w:tc>
        <w:tc>
          <w:tcPr>
            <w:tcW w:w="3740" w:type="dxa"/>
            <w:vAlign w:val="bottom"/>
          </w:tcPr>
          <w:p>
            <w:pPr>
              <w:jc w:val="center"/>
              <w:ind w:right="16"/>
              <w:spacing w:after="0"/>
              <w:rPr>
                <w:sz w:val="20"/>
                <w:szCs w:val="20"/>
                <w:color w:val="auto"/>
              </w:rPr>
            </w:pPr>
            <w:r>
              <w:rPr>
                <w:rFonts w:ascii="Arial" w:cs="Arial" w:eastAsia="Arial" w:hAnsi="Arial"/>
                <w:sz w:val="13"/>
                <w:szCs w:val="13"/>
                <w:b w:val="1"/>
                <w:bCs w:val="1"/>
                <w:color w:val="auto"/>
              </w:rPr>
              <w:t>7389</w:t>
            </w:r>
          </w:p>
        </w:tc>
        <w:tc>
          <w:tcPr>
            <w:tcW w:w="2360" w:type="dxa"/>
            <w:vAlign w:val="bottom"/>
          </w:tcPr>
          <w:p>
            <w:pPr>
              <w:jc w:val="center"/>
              <w:ind w:left="976"/>
              <w:spacing w:after="0"/>
              <w:rPr>
                <w:sz w:val="20"/>
                <w:szCs w:val="20"/>
                <w:color w:val="auto"/>
              </w:rPr>
            </w:pPr>
            <w:r>
              <w:rPr>
                <w:rFonts w:ascii="Arial" w:cs="Arial" w:eastAsia="Arial" w:hAnsi="Arial"/>
                <w:sz w:val="13"/>
                <w:szCs w:val="13"/>
                <w:b w:val="1"/>
                <w:bCs w:val="1"/>
                <w:color w:val="auto"/>
              </w:rPr>
              <w:t>32-0415449</w:t>
            </w:r>
          </w:p>
        </w:tc>
      </w:tr>
      <w:tr>
        <w:trPr>
          <w:trHeight w:val="134"/>
        </w:trPr>
        <w:tc>
          <w:tcPr>
            <w:tcW w:w="2780" w:type="dxa"/>
            <w:vAlign w:val="bottom"/>
          </w:tcPr>
          <w:p>
            <w:pPr>
              <w:jc w:val="center"/>
              <w:ind w:right="916"/>
              <w:spacing w:after="0" w:line="134" w:lineRule="exact"/>
              <w:rPr>
                <w:sz w:val="20"/>
                <w:szCs w:val="20"/>
                <w:color w:val="auto"/>
              </w:rPr>
            </w:pPr>
            <w:r>
              <w:rPr>
                <w:rFonts w:ascii="Arial" w:cs="Arial" w:eastAsia="Arial" w:hAnsi="Arial"/>
                <w:sz w:val="12"/>
                <w:szCs w:val="12"/>
                <w:b w:val="1"/>
                <w:bCs w:val="1"/>
                <w:color w:val="auto"/>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(Primary Standard Industrial</w:t>
            </w:r>
          </w:p>
        </w:tc>
        <w:tc>
          <w:tcPr>
            <w:tcW w:w="2360" w:type="dxa"/>
            <w:vAlign w:val="bottom"/>
          </w:tcPr>
          <w:p>
            <w:pPr>
              <w:jc w:val="center"/>
              <w:ind w:left="976"/>
              <w:spacing w:after="0" w:line="134" w:lineRule="exact"/>
              <w:rPr>
                <w:sz w:val="20"/>
                <w:szCs w:val="20"/>
                <w:color w:val="auto"/>
              </w:rPr>
            </w:pPr>
            <w:r>
              <w:rPr>
                <w:rFonts w:ascii="Arial" w:cs="Arial" w:eastAsia="Arial" w:hAnsi="Arial"/>
                <w:sz w:val="12"/>
                <w:szCs w:val="12"/>
                <w:b w:val="1"/>
                <w:bCs w:val="1"/>
                <w:color w:val="auto"/>
              </w:rPr>
              <w:t>(I.R.S. Employer</w:t>
            </w:r>
          </w:p>
        </w:tc>
      </w:tr>
      <w:tr>
        <w:trPr>
          <w:trHeight w:val="163"/>
        </w:trPr>
        <w:tc>
          <w:tcPr>
            <w:tcW w:w="2780" w:type="dxa"/>
            <w:vAlign w:val="bottom"/>
          </w:tcPr>
          <w:p>
            <w:pPr>
              <w:jc w:val="center"/>
              <w:ind w:right="916"/>
              <w:spacing w:after="0"/>
              <w:rPr>
                <w:sz w:val="20"/>
                <w:szCs w:val="20"/>
                <w:color w:val="auto"/>
              </w:rPr>
            </w:pPr>
            <w:r>
              <w:rPr>
                <w:rFonts w:ascii="Arial" w:cs="Arial" w:eastAsia="Arial" w:hAnsi="Arial"/>
                <w:sz w:val="12"/>
                <w:szCs w:val="12"/>
                <w:b w:val="1"/>
                <w:bCs w:val="1"/>
                <w:color w:val="auto"/>
              </w:rPr>
              <w:t>incorporation or organization)</w:t>
            </w: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rPr>
              <w:t>Classification Code Number)</w:t>
            </w:r>
          </w:p>
        </w:tc>
        <w:tc>
          <w:tcPr>
            <w:tcW w:w="2360" w:type="dxa"/>
            <w:vAlign w:val="bottom"/>
          </w:tcPr>
          <w:p>
            <w:pPr>
              <w:jc w:val="center"/>
              <w:ind w:left="976"/>
              <w:spacing w:after="0"/>
              <w:rPr>
                <w:sz w:val="20"/>
                <w:szCs w:val="20"/>
                <w:color w:val="auto"/>
              </w:rPr>
            </w:pPr>
            <w:r>
              <w:rPr>
                <w:rFonts w:ascii="Arial" w:cs="Arial" w:eastAsia="Arial" w:hAnsi="Arial"/>
                <w:sz w:val="12"/>
                <w:szCs w:val="12"/>
                <w:b w:val="1"/>
                <w:bCs w:val="1"/>
                <w:color w:val="auto"/>
              </w:rPr>
              <w:t>Identification Number)</w:t>
            </w:r>
          </w:p>
        </w:tc>
      </w:tr>
    </w:tbl>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7529 Standish Place</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Suite 200</w:t>
      </w:r>
    </w:p>
    <w:p>
      <w:pPr>
        <w:jc w:val="center"/>
        <w:ind w:right="-17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79"/>
        <w:spacing w:after="0" w:line="227" w:lineRule="auto"/>
        <w:rPr>
          <w:sz w:val="20"/>
          <w:szCs w:val="20"/>
          <w:color w:val="auto"/>
        </w:rPr>
      </w:pPr>
      <w:r>
        <w:rPr>
          <w:rFonts w:ascii="Arial" w:cs="Arial" w:eastAsia="Arial" w:hAnsi="Arial"/>
          <w:sz w:val="13"/>
          <w:szCs w:val="13"/>
          <w:b w:val="1"/>
          <w:bCs w:val="1"/>
          <w:color w:val="auto"/>
        </w:rPr>
        <w:t>(240) 335-7914</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111760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Randolph Altschuler</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Chief Executive Officer</w:t>
      </w:r>
    </w:p>
    <w:p>
      <w:pPr>
        <w:jc w:val="center"/>
        <w:ind w:right="-179"/>
        <w:spacing w:after="0" w:line="236" w:lineRule="auto"/>
        <w:rPr>
          <w:sz w:val="20"/>
          <w:szCs w:val="20"/>
          <w:color w:val="auto"/>
        </w:rPr>
      </w:pPr>
      <w:r>
        <w:rPr>
          <w:rFonts w:ascii="Arial" w:cs="Arial" w:eastAsia="Arial" w:hAnsi="Arial"/>
          <w:sz w:val="13"/>
          <w:szCs w:val="13"/>
          <w:b w:val="1"/>
          <w:bCs w:val="1"/>
          <w:color w:val="auto"/>
        </w:rPr>
        <w:t>Xometry, Inc.</w:t>
      </w:r>
    </w:p>
    <w:p>
      <w:pPr>
        <w:jc w:val="center"/>
        <w:ind w:right="-179"/>
        <w:spacing w:after="0" w:line="236" w:lineRule="auto"/>
        <w:rPr>
          <w:sz w:val="20"/>
          <w:szCs w:val="20"/>
          <w:color w:val="auto"/>
        </w:rPr>
      </w:pPr>
      <w:r>
        <w:rPr>
          <w:rFonts w:ascii="Arial" w:cs="Arial" w:eastAsia="Arial" w:hAnsi="Arial"/>
          <w:sz w:val="13"/>
          <w:szCs w:val="13"/>
          <w:b w:val="1"/>
          <w:bCs w:val="1"/>
          <w:color w:val="auto"/>
        </w:rPr>
        <w:t>7529 Standish Place</w:t>
      </w:r>
    </w:p>
    <w:p>
      <w:pPr>
        <w:jc w:val="center"/>
        <w:ind w:right="-179"/>
        <w:spacing w:after="0" w:line="236" w:lineRule="auto"/>
        <w:rPr>
          <w:sz w:val="20"/>
          <w:szCs w:val="20"/>
          <w:color w:val="auto"/>
        </w:rPr>
      </w:pPr>
      <w:r>
        <w:rPr>
          <w:rFonts w:ascii="Arial" w:cs="Arial" w:eastAsia="Arial" w:hAnsi="Arial"/>
          <w:sz w:val="13"/>
          <w:szCs w:val="13"/>
          <w:b w:val="1"/>
          <w:bCs w:val="1"/>
          <w:color w:val="auto"/>
        </w:rPr>
        <w:t>Suite 200</w:t>
      </w:r>
    </w:p>
    <w:p>
      <w:pPr>
        <w:jc w:val="center"/>
        <w:ind w:right="-17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79"/>
        <w:spacing w:after="0" w:line="228" w:lineRule="auto"/>
        <w:rPr>
          <w:sz w:val="20"/>
          <w:szCs w:val="20"/>
          <w:color w:val="auto"/>
        </w:rPr>
      </w:pPr>
      <w:r>
        <w:rPr>
          <w:rFonts w:ascii="Arial" w:cs="Arial" w:eastAsia="Arial" w:hAnsi="Arial"/>
          <w:sz w:val="13"/>
          <w:szCs w:val="13"/>
          <w:b w:val="1"/>
          <w:bCs w:val="1"/>
          <w:color w:val="auto"/>
        </w:rPr>
        <w:t>(240) 335-7914</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Copies to:</w:t>
      </w:r>
    </w:p>
    <w:p>
      <w:pPr>
        <w:spacing w:after="0" w:line="59"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David Peinsipp</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James Rallo</w:t>
            </w:r>
          </w:p>
        </w:tc>
        <w:tc>
          <w:tcPr>
            <w:tcW w:w="2780" w:type="dxa"/>
            <w:vAlign w:val="bottom"/>
          </w:tcPr>
          <w:p>
            <w:pPr>
              <w:jc w:val="center"/>
              <w:ind w:left="993"/>
              <w:spacing w:after="0"/>
              <w:rPr>
                <w:sz w:val="20"/>
                <w:szCs w:val="20"/>
                <w:color w:val="auto"/>
              </w:rPr>
            </w:pPr>
            <w:r>
              <w:rPr>
                <w:rFonts w:ascii="Arial" w:cs="Arial" w:eastAsia="Arial" w:hAnsi="Arial"/>
                <w:sz w:val="13"/>
                <w:szCs w:val="13"/>
                <w:b w:val="1"/>
                <w:bCs w:val="1"/>
                <w:color w:val="auto"/>
              </w:rPr>
              <w:t>Alan F. Denenberg</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Eric Blanchard</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Laurence Zuriff</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Stephen Salmon</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Michael R. Lincoln</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Kristie Scott</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Davis Polk &amp; Wardwell LLP</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Derek O. Colla</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Xometry, Inc.</w:t>
            </w:r>
          </w:p>
        </w:tc>
        <w:tc>
          <w:tcPr>
            <w:tcW w:w="2780" w:type="dxa"/>
            <w:vAlign w:val="bottom"/>
          </w:tcPr>
          <w:p>
            <w:pPr>
              <w:jc w:val="center"/>
              <w:ind w:left="973"/>
              <w:spacing w:after="0" w:line="148" w:lineRule="exact"/>
              <w:rPr>
                <w:sz w:val="20"/>
                <w:szCs w:val="20"/>
                <w:color w:val="auto"/>
              </w:rPr>
            </w:pPr>
            <w:r>
              <w:rPr>
                <w:rFonts w:ascii="Arial" w:cs="Arial" w:eastAsia="Arial" w:hAnsi="Arial"/>
                <w:sz w:val="13"/>
                <w:szCs w:val="13"/>
                <w:b w:val="1"/>
                <w:bCs w:val="1"/>
                <w:color w:val="auto"/>
              </w:rPr>
              <w:t>1600 El Camino Real</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Cooley LLP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7529 Standish Place</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Menlo Park, CA 94025</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1299 Pennsylvania Ave. NW</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Suite 200</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(650) 752-2000</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Suite 700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Derwood, MD 20855</w:t>
            </w:r>
          </w:p>
        </w:tc>
        <w:tc>
          <w:tcPr>
            <w:tcW w:w="2780" w:type="dxa"/>
            <w:vAlign w:val="bottom"/>
          </w:tcPr>
          <w:p>
            <w:pPr>
              <w:spacing w:after="0"/>
              <w:rPr>
                <w:sz w:val="12"/>
                <w:szCs w:val="12"/>
                <w:color w:val="auto"/>
              </w:rPr>
            </w:pP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Washington, DC 20004-2400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(240) 335-7914</w:t>
            </w:r>
          </w:p>
        </w:tc>
        <w:tc>
          <w:tcPr>
            <w:tcW w:w="2780" w:type="dxa"/>
            <w:vAlign w:val="bottom"/>
          </w:tcPr>
          <w:p>
            <w:pPr>
              <w:spacing w:after="0"/>
              <w:rPr>
                <w:sz w:val="12"/>
                <w:szCs w:val="12"/>
                <w:color w:val="auto"/>
              </w:rPr>
            </w:pPr>
          </w:p>
        </w:tc>
      </w:tr>
      <w:tr>
        <w:trPr>
          <w:trHeight w:val="177"/>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(202) 842-7800</w:t>
            </w:r>
          </w:p>
        </w:tc>
        <w:tc>
          <w:tcPr>
            <w:tcW w:w="3420" w:type="dxa"/>
            <w:vAlign w:val="bottom"/>
          </w:tcPr>
          <w:p>
            <w:pPr>
              <w:spacing w:after="0"/>
              <w:rPr>
                <w:sz w:val="15"/>
                <w:szCs w:val="15"/>
                <w:color w:val="auto"/>
              </w:rPr>
            </w:pPr>
          </w:p>
        </w:tc>
        <w:tc>
          <w:tcPr>
            <w:tcW w:w="27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110490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p>
      <w:pPr>
        <w:spacing w:after="0" w:line="22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51" w:lineRule="exact"/>
        <w:rPr>
          <w:sz w:val="24"/>
          <w:szCs w:val="24"/>
          <w:color w:val="auto"/>
        </w:rPr>
      </w:pPr>
    </w:p>
    <w:p>
      <w:pPr>
        <w:ind w:left="160" w:right="40" w:firstLine="546"/>
        <w:spacing w:after="0" w:line="16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300" w:firstLine="546"/>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160" w:type="dxa"/>
        <w:tblCellMar>
          <w:top w:w="0" w:type="dxa"/>
          <w:left w:w="0" w:type="dxa"/>
          <w:bottom w:w="0" w:type="dxa"/>
          <w:right w:w="0" w:type="dxa"/>
        </w:tblCellMar>
      </w:tblPr>
      <w:tr>
        <w:trPr>
          <w:trHeight w:val="208"/>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Accelerated filer</w:t>
            </w:r>
          </w:p>
        </w:tc>
      </w:tr>
      <w:tr>
        <w:trPr>
          <w:trHeight w:val="227"/>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Smaller reporting company</w:t>
            </w:r>
          </w:p>
        </w:tc>
      </w:tr>
      <w:tr>
        <w:trPr>
          <w:trHeight w:val="214"/>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27" w:lineRule="exact"/>
        <w:rPr>
          <w:sz w:val="24"/>
          <w:szCs w:val="24"/>
          <w:color w:val="auto"/>
        </w:rPr>
      </w:pPr>
    </w:p>
    <w:p>
      <w:pPr>
        <w:sectPr>
          <w:pgSz w:w="11900" w:h="16838" w:orient="portrait"/>
          <w:cols w:equalWidth="0" w:num="2">
            <w:col w:w="10700" w:space="160"/>
            <w:col w:w="220"/>
          </w:cols>
          <w:pgMar w:left="320" w:top="229" w:right="499" w:bottom="1440" w:gutter="0" w:footer="0" w:header="0"/>
          <w:type w:val="continuous"/>
        </w:sectPr>
      </w:pPr>
    </w:p>
    <w:p>
      <w:pPr>
        <w:ind w:left="160" w:right="2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95885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78"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CALCULATION OF REGISTRATION FEE</w:t>
      </w:r>
    </w:p>
    <w:p>
      <w:pPr>
        <w:spacing w:after="0" w:line="7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8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85"/>
        </w:trPr>
        <w:tc>
          <w:tcPr>
            <w:tcW w:w="20" w:type="dxa"/>
            <w:vAlign w:val="bottom"/>
          </w:tcPr>
          <w:p>
            <w:pPr>
              <w:spacing w:after="0"/>
              <w:rPr>
                <w:sz w:val="7"/>
                <w:szCs w:val="7"/>
                <w:color w:val="auto"/>
              </w:rPr>
            </w:pPr>
          </w:p>
        </w:tc>
        <w:tc>
          <w:tcPr>
            <w:tcW w:w="788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jc w:val="center"/>
              <w:ind w:left="7"/>
              <w:spacing w:after="0" w:line="85" w:lineRule="exact"/>
              <w:rPr>
                <w:sz w:val="20"/>
                <w:szCs w:val="20"/>
                <w:color w:val="auto"/>
              </w:rPr>
            </w:pPr>
            <w:r>
              <w:rPr>
                <w:rFonts w:ascii="Arial" w:cs="Arial" w:eastAsia="Arial" w:hAnsi="Arial"/>
                <w:sz w:val="9"/>
                <w:szCs w:val="9"/>
                <w:b w:val="1"/>
                <w:bCs w:val="1"/>
                <w:color w:val="auto"/>
              </w:rPr>
              <w:t>Proposed Maximum</w:t>
            </w:r>
          </w:p>
        </w:tc>
        <w:tc>
          <w:tcPr>
            <w:tcW w:w="1580" w:type="dxa"/>
            <w:vAlign w:val="bottom"/>
          </w:tcPr>
          <w:p>
            <w:pPr>
              <w:spacing w:after="0"/>
              <w:rPr>
                <w:sz w:val="7"/>
                <w:szCs w:val="7"/>
                <w:color w:val="auto"/>
              </w:rPr>
            </w:pPr>
          </w:p>
        </w:tc>
      </w:tr>
      <w:tr>
        <w:trPr>
          <w:trHeight w:val="120"/>
        </w:trPr>
        <w:tc>
          <w:tcPr>
            <w:tcW w:w="20" w:type="dxa"/>
            <w:vAlign w:val="bottom"/>
          </w:tcPr>
          <w:p>
            <w:pPr>
              <w:spacing w:after="0"/>
              <w:rPr>
                <w:sz w:val="10"/>
                <w:szCs w:val="10"/>
                <w:color w:val="auto"/>
              </w:rPr>
            </w:pPr>
          </w:p>
        </w:tc>
        <w:tc>
          <w:tcPr>
            <w:tcW w:w="7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98"/>
              </w:rPr>
              <w:t>Title of each Class of</w:t>
            </w:r>
          </w:p>
        </w:tc>
        <w:tc>
          <w:tcPr>
            <w:tcW w:w="1440" w:type="dxa"/>
            <w:vAlign w:val="bottom"/>
            <w:tcBorders>
              <w:right w:val="single" w:sz="8" w:color="auto"/>
            </w:tcBorders>
          </w:tcPr>
          <w:p>
            <w:pPr>
              <w:jc w:val="center"/>
              <w:ind w:left="7"/>
              <w:spacing w:after="0" w:line="121" w:lineRule="exact"/>
              <w:rPr>
                <w:sz w:val="20"/>
                <w:szCs w:val="20"/>
                <w:color w:val="auto"/>
              </w:rPr>
            </w:pPr>
            <w:r>
              <w:rPr>
                <w:rFonts w:ascii="Arial" w:cs="Arial" w:eastAsia="Arial" w:hAnsi="Arial"/>
                <w:sz w:val="11"/>
                <w:szCs w:val="11"/>
                <w:b w:val="1"/>
                <w:bCs w:val="1"/>
                <w:color w:val="auto"/>
                <w:w w:val="97"/>
              </w:rPr>
              <w:t>Aggregate Offering</w:t>
            </w:r>
          </w:p>
        </w:tc>
        <w:tc>
          <w:tcPr>
            <w:tcW w:w="1580" w:type="dxa"/>
            <w:vAlign w:val="bottom"/>
          </w:tcPr>
          <w:p>
            <w:pPr>
              <w:jc w:val="center"/>
              <w:ind w:left="144"/>
              <w:spacing w:after="0" w:line="121" w:lineRule="exact"/>
              <w:rPr>
                <w:sz w:val="20"/>
                <w:szCs w:val="20"/>
                <w:color w:val="auto"/>
              </w:rPr>
            </w:pPr>
            <w:r>
              <w:rPr>
                <w:rFonts w:ascii="Arial" w:cs="Arial" w:eastAsia="Arial" w:hAnsi="Arial"/>
                <w:sz w:val="11"/>
                <w:szCs w:val="11"/>
                <w:b w:val="1"/>
                <w:bCs w:val="1"/>
                <w:color w:val="auto"/>
                <w:w w:val="98"/>
              </w:rPr>
              <w:t>Amount of</w:t>
            </w:r>
          </w:p>
        </w:tc>
      </w:tr>
      <w:tr>
        <w:trPr>
          <w:trHeight w:val="145"/>
        </w:trPr>
        <w:tc>
          <w:tcPr>
            <w:tcW w:w="20" w:type="dxa"/>
            <w:vAlign w:val="bottom"/>
          </w:tcPr>
          <w:p>
            <w:pPr>
              <w:spacing w:after="0"/>
              <w:rPr>
                <w:sz w:val="12"/>
                <w:szCs w:val="12"/>
                <w:color w:val="auto"/>
              </w:rPr>
            </w:pPr>
          </w:p>
        </w:tc>
        <w:tc>
          <w:tcPr>
            <w:tcW w:w="788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97"/>
              </w:rPr>
              <w:t>Securities to be Registered</w:t>
            </w:r>
          </w:p>
        </w:tc>
        <w:tc>
          <w:tcPr>
            <w:tcW w:w="14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1"/>
                <w:szCs w:val="11"/>
                <w:b w:val="1"/>
                <w:bCs w:val="1"/>
                <w:color w:val="auto"/>
                <w:w w:val="96"/>
              </w:rPr>
              <w:t>Price(1)(2)</w:t>
            </w:r>
          </w:p>
        </w:tc>
        <w:tc>
          <w:tcPr>
            <w:tcW w:w="1580" w:type="dxa"/>
            <w:vAlign w:val="bottom"/>
            <w:tcBorders>
              <w:bottom w:val="single" w:sz="8" w:color="auto"/>
            </w:tcBorders>
          </w:tcPr>
          <w:p>
            <w:pPr>
              <w:jc w:val="center"/>
              <w:ind w:left="144"/>
              <w:spacing w:after="0"/>
              <w:rPr>
                <w:sz w:val="20"/>
                <w:szCs w:val="20"/>
                <w:color w:val="auto"/>
              </w:rPr>
            </w:pPr>
            <w:r>
              <w:rPr>
                <w:rFonts w:ascii="Arial" w:cs="Arial" w:eastAsia="Arial" w:hAnsi="Arial"/>
                <w:sz w:val="11"/>
                <w:szCs w:val="11"/>
                <w:b w:val="1"/>
                <w:bCs w:val="1"/>
                <w:color w:val="auto"/>
                <w:w w:val="98"/>
              </w:rPr>
              <w:t>Registration Fee(3)</w:t>
            </w:r>
          </w:p>
        </w:tc>
      </w:tr>
      <w:tr>
        <w:trPr>
          <w:trHeight w:val="131"/>
        </w:trPr>
        <w:tc>
          <w:tcPr>
            <w:tcW w:w="2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line="132" w:lineRule="exact"/>
              <w:rPr>
                <w:sz w:val="20"/>
                <w:szCs w:val="20"/>
                <w:color w:val="auto"/>
              </w:rPr>
            </w:pPr>
            <w:r>
              <w:rPr>
                <w:rFonts w:ascii="Arial" w:cs="Arial" w:eastAsia="Arial" w:hAnsi="Arial"/>
                <w:sz w:val="12"/>
                <w:szCs w:val="12"/>
                <w:color w:val="auto"/>
              </w:rPr>
              <w:t>Common stock, par value $0.000001 per share</w:t>
            </w:r>
          </w:p>
        </w:tc>
        <w:tc>
          <w:tcPr>
            <w:tcW w:w="1440" w:type="dxa"/>
            <w:vAlign w:val="bottom"/>
            <w:tcBorders>
              <w:bottom w:val="single" w:sz="8" w:color="auto"/>
              <w:right w:val="single" w:sz="8" w:color="auto"/>
            </w:tcBorders>
          </w:tcPr>
          <w:p>
            <w:pPr>
              <w:jc w:val="right"/>
              <w:ind w:right="807"/>
              <w:spacing w:after="0" w:line="132" w:lineRule="exact"/>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ind w:right="804"/>
              <w:spacing w:after="0" w:line="132" w:lineRule="exact"/>
              <w:rPr>
                <w:sz w:val="20"/>
                <w:szCs w:val="20"/>
                <w:color w:val="auto"/>
              </w:rPr>
            </w:pPr>
            <w:r>
              <w:rPr>
                <w:rFonts w:ascii="Arial" w:cs="Arial" w:eastAsia="Arial" w:hAnsi="Arial"/>
                <w:sz w:val="12"/>
                <w:szCs w:val="12"/>
                <w:color w:val="auto"/>
              </w:rPr>
              <w:t>$</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457(o) of the Securities Act of 1933, as amended.</w:t>
      </w:r>
    </w:p>
    <w:p>
      <w:pPr>
        <w:ind w:left="700" w:hanging="533"/>
        <w:spacing w:after="0" w:line="232" w:lineRule="auto"/>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aggregate offering price of additional shares that the underwriters have the option to purchase, if any.</w:t>
      </w: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1" w:lineRule="exact"/>
        <w:rPr>
          <w:sz w:val="20"/>
          <w:szCs w:val="20"/>
          <w:color w:val="auto"/>
        </w:rPr>
      </w:pPr>
    </w:p>
    <w:tbl>
      <w:tblPr>
        <w:tblLayout w:type="fixed"/>
        <w:tblInd w:w="3800" w:type="dxa"/>
        <w:tblCellMar>
          <w:top w:w="0" w:type="dxa"/>
          <w:left w:w="0" w:type="dxa"/>
          <w:bottom w:w="0" w:type="dxa"/>
          <w:right w:w="0" w:type="dxa"/>
        </w:tblCellMar>
      </w:tblPr>
      <w:tr>
        <w:trPr>
          <w:trHeight w:val="213"/>
        </w:trPr>
        <w:tc>
          <w:tcPr>
            <w:tcW w:w="274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color w:val="DE1A1E"/>
              </w:rPr>
              <w:t>, 2021</w:t>
            </w:r>
          </w:p>
        </w:tc>
      </w:tr>
    </w:tbl>
    <w:p>
      <w:pPr>
        <w:spacing w:after="0" w:line="204" w:lineRule="exact"/>
        <w:rPr>
          <w:sz w:val="20"/>
          <w:szCs w:val="20"/>
          <w:color w:val="auto"/>
        </w:rPr>
      </w:pPr>
    </w:p>
    <w:p>
      <w:pPr>
        <w:ind w:left="61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156210</wp:posOffset>
            </wp:positionV>
            <wp:extent cx="2157095" cy="501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232410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is an initial public offering of shares of common stock of Xometry, Inc.</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160" w:right="200"/>
        <w:spacing w:after="0" w:line="239" w:lineRule="auto"/>
        <w:rPr>
          <w:sz w:val="20"/>
          <w:szCs w:val="20"/>
          <w:color w:val="auto"/>
        </w:rPr>
      </w:pPr>
      <w:r>
        <w:rPr>
          <w:rFonts w:ascii="Arial" w:cs="Arial" w:eastAsia="Arial" w:hAnsi="Arial"/>
          <w:sz w:val="18"/>
          <w:szCs w:val="18"/>
          <w:color w:val="auto"/>
        </w:rPr>
        <w:t>price for our common stock will be between $ and $ per share. We have applied to list our common stock on The Nasdaq Global Select Market under the symbol “XMTR”.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6"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197485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72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See “</w:t>
      </w:r>
      <w:hyperlink w:anchor="page18">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220345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60" w:right="40" w:firstLine="546"/>
        <w:spacing w:after="0" w:line="295"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167640</wp:posOffset>
            </wp:positionV>
            <wp:extent cx="1460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4"/>
        </w:trPr>
        <w:tc>
          <w:tcPr>
            <w:tcW w:w="6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Initial public offering price</w:t>
            </w:r>
          </w:p>
        </w:tc>
        <w:tc>
          <w:tcPr>
            <w:tcW w:w="26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71"/>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6140" w:type="dxa"/>
            <w:vAlign w:val="bottom"/>
          </w:tcPr>
          <w:p>
            <w:pPr>
              <w:spacing w:after="0" w:line="201" w:lineRule="exact"/>
              <w:rPr>
                <w:sz w:val="20"/>
                <w:szCs w:val="20"/>
                <w:color w:val="auto"/>
              </w:rPr>
            </w:pPr>
            <w:r>
              <w:rPr>
                <w:rFonts w:ascii="Arial" w:cs="Arial" w:eastAsia="Arial" w:hAnsi="Arial"/>
                <w:sz w:val="18"/>
                <w:szCs w:val="18"/>
                <w:color w:val="auto"/>
              </w:rPr>
              <w:t>Underwriting discounts and commissions(1)</w:t>
            </w:r>
          </w:p>
        </w:tc>
        <w:tc>
          <w:tcPr>
            <w:tcW w:w="3500" w:type="dxa"/>
            <w:vAlign w:val="bottom"/>
            <w:gridSpan w:val="2"/>
          </w:tcPr>
          <w:p>
            <w:pPr>
              <w:ind w:left="2680"/>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60" w:type="dxa"/>
            <w:vAlign w:val="bottom"/>
          </w:tcPr>
          <w:p>
            <w:pPr>
              <w:jc w:val="right"/>
              <w:ind w:right="571"/>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r>
      <w:tr>
        <w:trPr>
          <w:trHeight w:val="201"/>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before expenses, to us</w:t>
            </w:r>
          </w:p>
        </w:tc>
        <w:tc>
          <w:tcPr>
            <w:tcW w:w="3500" w:type="dxa"/>
            <w:vAlign w:val="bottom"/>
            <w:gridSpan w:val="2"/>
            <w:shd w:val="clear" w:color="auto" w:fill="CCEEFF"/>
          </w:tcPr>
          <w:p>
            <w:pPr>
              <w:ind w:left="268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700" w:hanging="5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additional information regarding compensation payable to the underwriters.</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760" w:type="dxa"/>
            <w:vAlign w:val="bottom"/>
            <w:gridSpan w:val="3"/>
          </w:tcPr>
          <w:p>
            <w:pPr>
              <w:ind w:left="560"/>
              <w:spacing w:after="0"/>
              <w:rPr>
                <w:sz w:val="20"/>
                <w:szCs w:val="20"/>
                <w:color w:val="auto"/>
              </w:rPr>
            </w:pPr>
            <w:r>
              <w:rPr>
                <w:rFonts w:ascii="Arial" w:cs="Arial" w:eastAsia="Arial" w:hAnsi="Arial"/>
                <w:sz w:val="18"/>
                <w:szCs w:val="18"/>
                <w:color w:val="auto"/>
              </w:rPr>
              <w:t>To the extent that the underwriters sell more than</w:t>
            </w:r>
          </w:p>
        </w:tc>
        <w:tc>
          <w:tcPr>
            <w:tcW w:w="6160" w:type="dxa"/>
            <w:vAlign w:val="bottom"/>
            <w:gridSpan w:val="4"/>
          </w:tcPr>
          <w:p>
            <w:pPr>
              <w:jc w:val="right"/>
              <w:spacing w:after="0"/>
              <w:rPr>
                <w:sz w:val="20"/>
                <w:szCs w:val="20"/>
                <w:color w:val="auto"/>
              </w:rPr>
            </w:pPr>
            <w:r>
              <w:rPr>
                <w:rFonts w:ascii="Arial" w:cs="Arial" w:eastAsia="Arial" w:hAnsi="Arial"/>
                <w:sz w:val="18"/>
                <w:szCs w:val="18"/>
                <w:color w:val="auto"/>
              </w:rPr>
              <w:t>shares of common stock, the underwriters have the option to purchase up</w:t>
            </w:r>
          </w:p>
        </w:tc>
      </w:tr>
      <w:tr>
        <w:trPr>
          <w:trHeight w:val="213"/>
        </w:trPr>
        <w:tc>
          <w:tcPr>
            <w:tcW w:w="1860" w:type="dxa"/>
            <w:vAlign w:val="bottom"/>
          </w:tcPr>
          <w:p>
            <w:pPr>
              <w:spacing w:after="0"/>
              <w:rPr>
                <w:sz w:val="20"/>
                <w:szCs w:val="20"/>
                <w:color w:val="auto"/>
              </w:rPr>
            </w:pPr>
            <w:r>
              <w:rPr>
                <w:rFonts w:ascii="Arial" w:cs="Arial" w:eastAsia="Arial" w:hAnsi="Arial"/>
                <w:sz w:val="18"/>
                <w:szCs w:val="18"/>
                <w:color w:val="auto"/>
              </w:rPr>
              <w:t>to an additional</w:t>
            </w:r>
          </w:p>
        </w:tc>
        <w:tc>
          <w:tcPr>
            <w:tcW w:w="9060" w:type="dxa"/>
            <w:vAlign w:val="bottom"/>
            <w:gridSpan w:val="6"/>
          </w:tcPr>
          <w:p>
            <w:pPr>
              <w:jc w:val="right"/>
              <w:ind w:right="1405"/>
              <w:spacing w:after="0"/>
              <w:rPr>
                <w:sz w:val="20"/>
                <w:szCs w:val="20"/>
                <w:color w:val="auto"/>
              </w:rPr>
            </w:pPr>
            <w:r>
              <w:rPr>
                <w:rFonts w:ascii="Arial" w:cs="Arial" w:eastAsia="Arial" w:hAnsi="Arial"/>
                <w:sz w:val="18"/>
                <w:szCs w:val="18"/>
                <w:color w:val="auto"/>
                <w:w w:val="98"/>
              </w:rPr>
              <w:t>shares of common stock from us at the initial public offering price less the underwriting discount.</w:t>
            </w:r>
          </w:p>
        </w:tc>
      </w:tr>
      <w:tr>
        <w:trPr>
          <w:trHeight w:val="309"/>
        </w:trPr>
        <w:tc>
          <w:tcPr>
            <w:tcW w:w="4320" w:type="dxa"/>
            <w:vAlign w:val="bottom"/>
            <w:gridSpan w:val="2"/>
          </w:tcPr>
          <w:p>
            <w:pPr>
              <w:spacing w:after="0"/>
              <w:rPr>
                <w:sz w:val="24"/>
                <w:szCs w:val="24"/>
                <w:color w:val="auto"/>
              </w:rPr>
            </w:pPr>
          </w:p>
        </w:tc>
        <w:tc>
          <w:tcPr>
            <w:tcW w:w="2300" w:type="dxa"/>
            <w:vAlign w:val="bottom"/>
            <w:tcBorders>
              <w:bottom w:val="single" w:sz="8" w:color="auto"/>
            </w:tcBorders>
            <w:gridSpan w:val="3"/>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93"/>
        </w:trPr>
        <w:tc>
          <w:tcPr>
            <w:tcW w:w="7780" w:type="dxa"/>
            <w:vAlign w:val="bottom"/>
            <w:gridSpan w:val="6"/>
          </w:tcPr>
          <w:p>
            <w:pPr>
              <w:ind w:left="56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3140" w:type="dxa"/>
            <w:vAlign w:val="bottom"/>
          </w:tcPr>
          <w:p>
            <w:pPr>
              <w:jc w:val="right"/>
              <w:ind w:right="2065"/>
              <w:spacing w:after="0"/>
              <w:rPr>
                <w:sz w:val="20"/>
                <w:szCs w:val="20"/>
                <w:color w:val="auto"/>
              </w:rPr>
            </w:pPr>
            <w:r>
              <w:rPr>
                <w:rFonts w:ascii="Arial" w:cs="Arial" w:eastAsia="Arial" w:hAnsi="Arial"/>
                <w:sz w:val="18"/>
                <w:szCs w:val="18"/>
                <w:color w:val="auto"/>
              </w:rPr>
              <w:t>, 2021.</w:t>
            </w:r>
          </w:p>
        </w:tc>
      </w:tr>
      <w:tr>
        <w:trPr>
          <w:trHeight w:val="453"/>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Goldman Sachs &amp; Co. LLC</w:t>
            </w:r>
          </w:p>
        </w:tc>
        <w:tc>
          <w:tcPr>
            <w:tcW w:w="3020" w:type="dxa"/>
            <w:vAlign w:val="bottom"/>
            <w:gridSpan w:val="3"/>
          </w:tcPr>
          <w:p>
            <w:pPr>
              <w:jc w:val="right"/>
              <w:ind w:right="1380"/>
              <w:spacing w:after="0"/>
              <w:rPr>
                <w:sz w:val="20"/>
                <w:szCs w:val="20"/>
                <w:color w:val="auto"/>
              </w:rPr>
            </w:pPr>
            <w:r>
              <w:rPr>
                <w:rFonts w:ascii="Arial" w:cs="Arial" w:eastAsia="Arial" w:hAnsi="Arial"/>
                <w:sz w:val="21"/>
                <w:szCs w:val="21"/>
                <w:b w:val="1"/>
                <w:bCs w:val="1"/>
                <w:color w:val="auto"/>
              </w:rPr>
              <w:t>J.P. Morgan</w:t>
            </w:r>
          </w:p>
        </w:tc>
        <w:tc>
          <w:tcPr>
            <w:tcW w:w="3140" w:type="dxa"/>
            <w:vAlign w:val="bottom"/>
          </w:tcPr>
          <w:p>
            <w:pPr>
              <w:jc w:val="right"/>
              <w:spacing w:after="0"/>
              <w:rPr>
                <w:sz w:val="20"/>
                <w:szCs w:val="20"/>
                <w:color w:val="auto"/>
              </w:rPr>
            </w:pPr>
            <w:r>
              <w:rPr>
                <w:rFonts w:ascii="Arial" w:cs="Arial" w:eastAsia="Arial" w:hAnsi="Arial"/>
                <w:sz w:val="21"/>
                <w:szCs w:val="21"/>
                <w:b w:val="1"/>
                <w:bCs w:val="1"/>
                <w:color w:val="auto"/>
              </w:rPr>
              <w:t>UBS Investment Bank</w:t>
            </w:r>
          </w:p>
        </w:tc>
      </w:tr>
      <w:tr>
        <w:trPr>
          <w:trHeight w:val="416"/>
        </w:trPr>
        <w:tc>
          <w:tcPr>
            <w:tcW w:w="1860" w:type="dxa"/>
            <w:vAlign w:val="bottom"/>
          </w:tcPr>
          <w:p>
            <w:pPr>
              <w:ind w:left="1060"/>
              <w:spacing w:after="0"/>
              <w:rPr>
                <w:sz w:val="20"/>
                <w:szCs w:val="20"/>
                <w:color w:val="auto"/>
              </w:rPr>
            </w:pPr>
            <w:r>
              <w:rPr>
                <w:rFonts w:ascii="Arial" w:cs="Arial" w:eastAsia="Arial" w:hAnsi="Arial"/>
                <w:sz w:val="18"/>
                <w:szCs w:val="18"/>
                <w:b w:val="1"/>
                <w:bCs w:val="1"/>
                <w:color w:val="auto"/>
                <w:w w:val="97"/>
              </w:rPr>
              <w:t>Citigroup</w:t>
            </w:r>
          </w:p>
        </w:tc>
        <w:tc>
          <w:tcPr>
            <w:tcW w:w="2900" w:type="dxa"/>
            <w:vAlign w:val="bottom"/>
            <w:gridSpan w:val="2"/>
          </w:tcPr>
          <w:p>
            <w:pPr>
              <w:ind w:left="1040"/>
              <w:spacing w:after="0"/>
              <w:rPr>
                <w:sz w:val="20"/>
                <w:szCs w:val="20"/>
                <w:color w:val="auto"/>
              </w:rPr>
            </w:pPr>
            <w:r>
              <w:rPr>
                <w:rFonts w:ascii="Arial" w:cs="Arial" w:eastAsia="Arial" w:hAnsi="Arial"/>
                <w:sz w:val="18"/>
                <w:szCs w:val="18"/>
                <w:b w:val="1"/>
                <w:bCs w:val="1"/>
                <w:color w:val="auto"/>
              </w:rPr>
              <w:t>BofA Securities</w:t>
            </w:r>
          </w:p>
        </w:tc>
        <w:tc>
          <w:tcPr>
            <w:tcW w:w="820" w:type="dxa"/>
            <w:vAlign w:val="bottom"/>
          </w:tcPr>
          <w:p>
            <w:pPr>
              <w:spacing w:after="0"/>
              <w:rPr>
                <w:sz w:val="24"/>
                <w:szCs w:val="24"/>
                <w:color w:val="auto"/>
              </w:rPr>
            </w:pP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William Blair</w:t>
            </w:r>
          </w:p>
        </w:tc>
        <w:tc>
          <w:tcPr>
            <w:tcW w:w="3140" w:type="dxa"/>
            <w:vAlign w:val="bottom"/>
          </w:tcPr>
          <w:p>
            <w:pPr>
              <w:jc w:val="right"/>
              <w:ind w:right="1085"/>
              <w:spacing w:after="0"/>
              <w:rPr>
                <w:sz w:val="20"/>
                <w:szCs w:val="20"/>
                <w:color w:val="auto"/>
              </w:rPr>
            </w:pPr>
            <w:r>
              <w:rPr>
                <w:rFonts w:ascii="Arial" w:cs="Arial" w:eastAsia="Arial" w:hAnsi="Arial"/>
                <w:sz w:val="18"/>
                <w:szCs w:val="18"/>
                <w:b w:val="1"/>
                <w:bCs w:val="1"/>
                <w:color w:val="auto"/>
              </w:rPr>
              <w:t>RBC Capital Markets</w:t>
            </w:r>
          </w:p>
        </w:tc>
      </w:tr>
      <w:tr>
        <w:trPr>
          <w:trHeight w:val="322"/>
        </w:trPr>
        <w:tc>
          <w:tcPr>
            <w:tcW w:w="1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80"/>
        </w:trPr>
        <w:tc>
          <w:tcPr>
            <w:tcW w:w="1860" w:type="dxa"/>
            <w:vAlign w:val="bottom"/>
          </w:tcPr>
          <w:p>
            <w:pPr>
              <w:spacing w:after="0"/>
              <w:rPr>
                <w:sz w:val="24"/>
                <w:szCs w:val="24"/>
                <w:color w:val="auto"/>
              </w:rPr>
            </w:pPr>
          </w:p>
        </w:tc>
        <w:tc>
          <w:tcPr>
            <w:tcW w:w="3720" w:type="dxa"/>
            <w:vAlign w:val="bottom"/>
            <w:gridSpan w:val="3"/>
          </w:tcPr>
          <w:p>
            <w:pPr>
              <w:ind w:left="2240"/>
              <w:spacing w:after="0"/>
              <w:rPr>
                <w:sz w:val="20"/>
                <w:szCs w:val="20"/>
                <w:color w:val="auto"/>
              </w:rPr>
            </w:pPr>
            <w:r>
              <w:rPr>
                <w:rFonts w:ascii="Arial" w:cs="Arial" w:eastAsia="Arial" w:hAnsi="Arial"/>
                <w:sz w:val="18"/>
                <w:szCs w:val="18"/>
                <w:color w:val="auto"/>
              </w:rPr>
              <w:t>Prospectus dated</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 2021.</w:t>
            </w:r>
          </w:p>
        </w:tc>
        <w:tc>
          <w:tcPr>
            <w:tcW w:w="31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PROSPECTUS SUMMARY</w:t>
              </w:r>
            </w:hyperlink>
          </w:p>
        </w:tc>
        <w:tc>
          <w:tcPr>
            <w:tcW w:w="1080" w:type="dxa"/>
            <w:vAlign w:val="bottom"/>
            <w:gridSpan w:val="4"/>
            <w:vMerge w:val="restart"/>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200" w:type="dxa"/>
            <w:vAlign w:val="bottom"/>
            <w:tcBorders>
              <w:bottom w:val="single" w:sz="8" w:color="0000EE"/>
            </w:tcBorders>
            <w:gridSpan w:val="11"/>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20" w:type="dxa"/>
            <w:vAlign w:val="bottom"/>
            <w:tcBorders>
              <w:bottom w:val="single" w:sz="8" w:color="0000EE"/>
            </w:tcBorders>
            <w:gridSpan w:val="5"/>
          </w:tcPr>
          <w:p>
            <w:pPr>
              <w:spacing w:after="0" w:line="194"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RISK FACTORS</w:t>
              </w:r>
            </w:hyperlink>
          </w:p>
        </w:tc>
        <w:tc>
          <w:tcPr>
            <w:tcW w:w="1960" w:type="dxa"/>
            <w:vAlign w:val="bottom"/>
            <w:gridSpan w:val="10"/>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1"/>
        </w:trPr>
        <w:tc>
          <w:tcPr>
            <w:tcW w:w="5480" w:type="dxa"/>
            <w:vAlign w:val="bottom"/>
            <w:tcBorders>
              <w:top w:val="single" w:sz="8" w:color="0000EE"/>
            </w:tcBorders>
            <w:gridSpan w:val="20"/>
          </w:tcPr>
          <w:p>
            <w:pPr>
              <w:spacing w:after="0" w:line="181" w:lineRule="exact"/>
              <w:rPr>
                <w:rFonts w:ascii="Arial" w:cs="Arial" w:eastAsia="Arial" w:hAnsi="Arial"/>
                <w:sz w:val="18"/>
                <w:szCs w:val="18"/>
                <w:color w:val="0000EE"/>
              </w:rPr>
            </w:pPr>
            <w:hyperlink w:anchor="page61">
              <w:r>
                <w:rPr>
                  <w:rFonts w:ascii="Arial" w:cs="Arial" w:eastAsia="Arial" w:hAnsi="Arial"/>
                  <w:sz w:val="18"/>
                  <w:szCs w:val="18"/>
                  <w:color w:val="0000EE"/>
                </w:rPr>
                <w:t>MARKET, INDUSTRY AND OTHER DATA</w:t>
              </w:r>
            </w:hyperlink>
          </w:p>
        </w:tc>
        <w:tc>
          <w:tcPr>
            <w:tcW w:w="5000" w:type="dxa"/>
            <w:vAlign w:val="bottom"/>
            <w:gridSpan w:val="6"/>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6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1"/>
        </w:trPr>
        <w:tc>
          <w:tcPr>
            <w:tcW w:w="1720" w:type="dxa"/>
            <w:vAlign w:val="bottom"/>
            <w:tcBorders>
              <w:top w:val="single" w:sz="8" w:color="0000EE"/>
            </w:tcBorders>
            <w:gridSpan w:val="10"/>
          </w:tcPr>
          <w:p>
            <w:pPr>
              <w:spacing w:after="0" w:line="181"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15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CAPITALIZATION</w:t>
              </w:r>
            </w:hyperlink>
          </w:p>
        </w:tc>
        <w:tc>
          <w:tcPr>
            <w:tcW w:w="120" w:type="dxa"/>
            <w:vAlign w:val="bottom"/>
            <w:tcBorders>
              <w:top w:val="single" w:sz="8" w:color="0000EE"/>
            </w:tcBorders>
            <w:gridSpan w:val="2"/>
          </w:tcPr>
          <w:p>
            <w:pPr>
              <w:spacing w:after="0"/>
              <w:rPr>
                <w:sz w:val="15"/>
                <w:szCs w:val="15"/>
                <w:color w:val="auto"/>
              </w:rPr>
            </w:pPr>
          </w:p>
        </w:tc>
        <w:tc>
          <w:tcPr>
            <w:tcW w:w="172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1"/>
        </w:trPr>
        <w:tc>
          <w:tcPr>
            <w:tcW w:w="860" w:type="dxa"/>
            <w:vAlign w:val="bottom"/>
            <w:tcBorders>
              <w:bottom w:val="single" w:sz="8" w:color="0000EE"/>
            </w:tcBorders>
            <w:gridSpan w:val="2"/>
          </w:tcPr>
          <w:p>
            <w:pPr>
              <w:spacing w:after="0" w:line="181"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2420" w:type="dxa"/>
            <w:vAlign w:val="bottom"/>
            <w:gridSpan w:val="13"/>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1"/>
        </w:trPr>
        <w:tc>
          <w:tcPr>
            <w:tcW w:w="9040" w:type="dxa"/>
            <w:vAlign w:val="bottom"/>
            <w:tcBorders>
              <w:top w:val="single" w:sz="8" w:color="0000EE"/>
            </w:tcBorders>
            <w:gridSpan w:val="24"/>
          </w:tcPr>
          <w:p>
            <w:pPr>
              <w:spacing w:after="0" w:line="181" w:lineRule="exact"/>
              <w:rPr>
                <w:rFonts w:ascii="Arial" w:cs="Arial" w:eastAsia="Arial" w:hAnsi="Arial"/>
                <w:sz w:val="18"/>
                <w:szCs w:val="18"/>
                <w:color w:val="0000EE"/>
              </w:rPr>
            </w:pPr>
            <w:hyperlink w:anchor="page93">
              <w:r>
                <w:rPr>
                  <w:rFonts w:ascii="Arial" w:cs="Arial" w:eastAsia="Arial" w:hAnsi="Arial"/>
                  <w:sz w:val="18"/>
                  <w:szCs w:val="18"/>
                  <w:color w:val="0000EE"/>
                </w:rPr>
                <w:t>LETTER FROM RANDOLPH ALTSCHULER AND LAURENCE ZURIFF, CO-FOUNDERS</w:t>
              </w:r>
            </w:hyperlink>
          </w:p>
        </w:tc>
        <w:tc>
          <w:tcPr>
            <w:tcW w:w="1440" w:type="dxa"/>
            <w:vAlign w:val="bottom"/>
            <w:gridSpan w:val="2"/>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22">
              <w:r>
                <w:rPr>
                  <w:rFonts w:ascii="Arial" w:cs="Arial" w:eastAsia="Arial" w:hAnsi="Arial"/>
                  <w:sz w:val="18"/>
                  <w:szCs w:val="18"/>
                  <w:color w:val="0000EE"/>
                </w:rPr>
                <w:t>MANAGEMENT</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00" w:type="dxa"/>
            <w:vAlign w:val="bottom"/>
            <w:tcBorders>
              <w:bottom w:val="single" w:sz="8" w:color="0000EE"/>
            </w:tcBorders>
            <w:gridSpan w:val="13"/>
          </w:tcPr>
          <w:p>
            <w:pPr>
              <w:spacing w:after="0" w:line="181" w:lineRule="exact"/>
              <w:rPr>
                <w:rFonts w:ascii="Arial" w:cs="Arial" w:eastAsia="Arial" w:hAnsi="Arial"/>
                <w:sz w:val="18"/>
                <w:szCs w:val="18"/>
                <w:color w:val="0000EE"/>
                <w:w w:val="97"/>
              </w:rPr>
            </w:pPr>
            <w:hyperlink w:anchor="page129">
              <w:r>
                <w:rPr>
                  <w:rFonts w:ascii="Arial" w:cs="Arial" w:eastAsia="Arial" w:hAnsi="Arial"/>
                  <w:sz w:val="18"/>
                  <w:szCs w:val="18"/>
                  <w:color w:val="0000EE"/>
                  <w:w w:val="97"/>
                </w:rPr>
                <w:t>EXECUTIVE COMPENSATION</w:t>
              </w:r>
            </w:hyperlink>
          </w:p>
        </w:tc>
        <w:tc>
          <w:tcPr>
            <w:tcW w:w="7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PARTY TRANSACTIONS</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0000EE"/>
              <w:bottom w:val="single" w:sz="8" w:color="0000EE"/>
            </w:tcBorders>
            <w:gridSpan w:val="12"/>
          </w:tcPr>
          <w:p>
            <w:pPr>
              <w:spacing w:after="0" w:line="181" w:lineRule="exact"/>
              <w:rPr>
                <w:rFonts w:ascii="Arial" w:cs="Arial" w:eastAsia="Arial" w:hAnsi="Arial"/>
                <w:sz w:val="18"/>
                <w:szCs w:val="18"/>
                <w:color w:val="0000EE"/>
                <w:w w:val="97"/>
              </w:rPr>
            </w:pPr>
            <w:hyperlink w:anchor="page142">
              <w:r>
                <w:rPr>
                  <w:rFonts w:ascii="Arial" w:cs="Arial" w:eastAsia="Arial" w:hAnsi="Arial"/>
                  <w:sz w:val="18"/>
                  <w:szCs w:val="18"/>
                  <w:color w:val="0000EE"/>
                  <w:w w:val="97"/>
                </w:rPr>
                <w:t>PRINCIPAL STOCKHOLDERS</w:t>
              </w:r>
            </w:hyperlink>
          </w:p>
        </w:tc>
        <w:tc>
          <w:tcPr>
            <w:tcW w:w="820" w:type="dxa"/>
            <w:vAlign w:val="bottom"/>
            <w:tcBorders>
              <w:top w:val="single" w:sz="8" w:color="0000EE"/>
            </w:tcBorders>
            <w:gridSpan w:val="3"/>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CAPITAL STOCK</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tcBorders>
              <w:bottom w:val="single" w:sz="8" w:color="0000EE"/>
            </w:tcBorders>
            <w:gridSpan w:val="15"/>
          </w:tcPr>
          <w:p>
            <w:pPr>
              <w:spacing w:after="0" w:line="181" w:lineRule="exact"/>
              <w:rPr>
                <w:rFonts w:ascii="Arial" w:cs="Arial" w:eastAsia="Arial" w:hAnsi="Arial"/>
                <w:sz w:val="18"/>
                <w:szCs w:val="18"/>
                <w:color w:val="0000EE"/>
                <w:w w:val="98"/>
              </w:rPr>
            </w:pPr>
            <w:hyperlink w:anchor="page149">
              <w:r>
                <w:rPr>
                  <w:rFonts w:ascii="Arial" w:cs="Arial" w:eastAsia="Arial" w:hAnsi="Arial"/>
                  <w:sz w:val="18"/>
                  <w:szCs w:val="18"/>
                  <w:color w:val="0000EE"/>
                  <w:w w:val="98"/>
                </w:rPr>
                <w:t>SHARES ELIGIBLE FOR FUTURE SALE</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52">
              <w:r>
                <w:rPr>
                  <w:rFonts w:ascii="Arial" w:cs="Arial" w:eastAsia="Arial" w:hAnsi="Arial"/>
                  <w:sz w:val="18"/>
                  <w:szCs w:val="18"/>
                  <w:color w:val="0000EE"/>
                </w:rPr>
                <w:t>MATERIAL U.S. FEDERAL INCOME TAX CONSEQUENCES TO NON-U.S. HOLDERS OF OUR COMMON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Borders>
              <w:top w:val="single" w:sz="8" w:color="0000EE"/>
              <w:bottom w:val="single" w:sz="8" w:color="0000EE"/>
            </w:tcBorders>
            <w:gridSpan w:val="6"/>
          </w:tcPr>
          <w:p>
            <w:pPr>
              <w:spacing w:after="0" w:line="181" w:lineRule="exact"/>
              <w:rPr>
                <w:rFonts w:ascii="Arial" w:cs="Arial" w:eastAsia="Arial" w:hAnsi="Arial"/>
                <w:sz w:val="18"/>
                <w:szCs w:val="18"/>
                <w:color w:val="0000EE"/>
                <w:w w:val="98"/>
              </w:rPr>
            </w:pPr>
            <w:hyperlink w:anchor="page156">
              <w:r>
                <w:rPr>
                  <w:rFonts w:ascii="Arial" w:cs="Arial" w:eastAsia="Arial" w:hAnsi="Arial"/>
                  <w:sz w:val="18"/>
                  <w:szCs w:val="18"/>
                  <w:color w:val="0000EE"/>
                  <w:w w:val="98"/>
                </w:rPr>
                <w:t>UNDERWRITING</w:t>
              </w:r>
            </w:hyperlink>
          </w:p>
        </w:tc>
        <w:tc>
          <w:tcPr>
            <w:tcW w:w="1860" w:type="dxa"/>
            <w:vAlign w:val="bottom"/>
            <w:tcBorders>
              <w:top w:val="single" w:sz="8" w:color="0000EE"/>
            </w:tcBorders>
            <w:gridSpan w:val="9"/>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Borders>
              <w:bottom w:val="single" w:sz="8" w:color="0000EE"/>
            </w:tcBorders>
            <w:gridSpan w:val="8"/>
          </w:tcPr>
          <w:p>
            <w:pPr>
              <w:spacing w:after="0" w:line="181"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LEGAL MATTERS</w:t>
              </w:r>
            </w:hyperlink>
          </w:p>
        </w:tc>
        <w:tc>
          <w:tcPr>
            <w:tcW w:w="18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0000EE"/>
            </w:tcBorders>
          </w:tcPr>
          <w:p>
            <w:pPr>
              <w:spacing w:after="0" w:line="181"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EXPERTS</w:t>
              </w:r>
            </w:hyperlink>
          </w:p>
        </w:tc>
        <w:tc>
          <w:tcPr>
            <w:tcW w:w="244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62">
              <w:r>
                <w:rPr>
                  <w:rFonts w:ascii="Arial" w:cs="Arial" w:eastAsia="Arial" w:hAnsi="Arial"/>
                  <w:sz w:val="18"/>
                  <w:szCs w:val="18"/>
                  <w:color w:val="0000EE"/>
                </w:rPr>
                <w:t>WHERE YOU CAN FIND ADDITIONAL INFORMATION</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gridSpan w:val="1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63">
              <w:r>
                <w:rPr>
                  <w:rFonts w:ascii="Arial" w:cs="Arial" w:eastAsia="Arial" w:hAnsi="Arial"/>
                  <w:sz w:val="18"/>
                  <w:szCs w:val="18"/>
                  <w:color w:val="0000EE"/>
                </w:rPr>
                <w:t>INDEX TO CONSOLIDATED FINANCIAL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68"/>
        </w:trPr>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80" w:type="dxa"/>
            <w:vAlign w:val="bottom"/>
            <w:gridSpan w:val="15"/>
          </w:tcPr>
          <w:p>
            <w:pPr>
              <w:ind w:left="560"/>
              <w:spacing w:after="0"/>
              <w:rPr>
                <w:sz w:val="20"/>
                <w:szCs w:val="20"/>
                <w:color w:val="auto"/>
              </w:rPr>
            </w:pPr>
            <w:r>
              <w:rPr>
                <w:rFonts w:ascii="Arial" w:cs="Arial" w:eastAsia="Arial" w:hAnsi="Arial"/>
                <w:sz w:val="18"/>
                <w:szCs w:val="18"/>
                <w:b w:val="1"/>
                <w:bCs w:val="1"/>
                <w:color w:val="auto"/>
              </w:rPr>
              <w:t>Through and including</w:t>
            </w:r>
          </w:p>
        </w:tc>
        <w:tc>
          <w:tcPr>
            <w:tcW w:w="7600" w:type="dxa"/>
            <w:vAlign w:val="bottom"/>
            <w:gridSpan w:val="13"/>
          </w:tcPr>
          <w:p>
            <w:pPr>
              <w:jc w:val="right"/>
              <w:ind w:right="40"/>
              <w:spacing w:after="0"/>
              <w:rPr>
                <w:sz w:val="20"/>
                <w:szCs w:val="20"/>
                <w:color w:val="auto"/>
              </w:rPr>
            </w:pPr>
            <w:r>
              <w:rPr>
                <w:rFonts w:ascii="Arial" w:cs="Arial" w:eastAsia="Arial" w:hAnsi="Arial"/>
                <w:sz w:val="18"/>
                <w:szCs w:val="18"/>
                <w:b w:val="1"/>
                <w:bCs w:val="1"/>
                <w:color w:val="auto"/>
                <w:w w:val="99"/>
              </w:rPr>
              <w:t>, 2021 (the 25</w:t>
            </w:r>
            <w:r>
              <w:rPr>
                <w:rFonts w:ascii="Arial" w:cs="Arial" w:eastAsia="Arial" w:hAnsi="Arial"/>
                <w:sz w:val="15"/>
                <w:szCs w:val="15"/>
                <w:b w:val="1"/>
                <w:bCs w:val="1"/>
                <w:color w:val="auto"/>
                <w:w w:val="99"/>
              </w:rPr>
              <w:t>th</w:t>
            </w:r>
            <w:r>
              <w:rPr>
                <w:rFonts w:ascii="Arial" w:cs="Arial" w:eastAsia="Arial" w:hAnsi="Arial"/>
                <w:sz w:val="18"/>
                <w:szCs w:val="18"/>
                <w:b w:val="1"/>
                <w:bCs w:val="1"/>
                <w:color w:val="auto"/>
                <w:w w:val="99"/>
              </w:rPr>
              <w:t xml:space="preserve"> day after the date of this prospectus), all dealers effecting transactions in</w:t>
            </w:r>
          </w:p>
        </w:tc>
        <w:tc>
          <w:tcPr>
            <w:tcW w:w="0" w:type="dxa"/>
            <w:vAlign w:val="bottom"/>
          </w:tcPr>
          <w:p>
            <w:pPr>
              <w:spacing w:after="0"/>
              <w:rPr>
                <w:sz w:val="1"/>
                <w:szCs w:val="1"/>
                <w:color w:val="auto"/>
              </w:rPr>
            </w:pPr>
          </w:p>
        </w:tc>
      </w:tr>
    </w:tbl>
    <w:p>
      <w:pPr>
        <w:ind w:left="160" w:right="320"/>
        <w:spacing w:after="0" w:line="237" w:lineRule="auto"/>
        <w:rPr>
          <w:sz w:val="20"/>
          <w:szCs w:val="20"/>
          <w:color w:val="auto"/>
        </w:rPr>
      </w:pPr>
      <w:r>
        <w:rPr>
          <w:rFonts w:ascii="Arial" w:cs="Arial" w:eastAsia="Arial" w:hAnsi="Arial"/>
          <w:sz w:val="18"/>
          <w:szCs w:val="18"/>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213995</wp:posOffset>
            </wp:positionV>
            <wp:extent cx="1460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possession and distribution of this prospectus outside of the United States.</w:t>
      </w:r>
    </w:p>
    <w:p>
      <w:pPr>
        <w:sectPr>
          <w:pgSz w:w="11900" w:h="16838" w:orient="portrait"/>
          <w:cols w:equalWidth="0" w:num="1">
            <w:col w:w="11040"/>
          </w:cols>
          <w:pgMar w:left="320" w:top="456"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12" w:lineRule="exact"/>
        <w:rPr>
          <w:sz w:val="20"/>
          <w:szCs w:val="20"/>
          <w:color w:val="auto"/>
        </w:rPr>
      </w:pPr>
    </w:p>
    <w:p>
      <w:pPr>
        <w:ind w:left="340" w:right="20" w:firstLine="527"/>
        <w:spacing w:after="0" w:line="238"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Mission</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accelerate innovation by providing real time, equitable access to global manufacturing capacity and demand.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drive efficiency, sustainability and innovation by lowering the barriers to entry to the manufacturing ecosystem.</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Company</w:t>
      </w:r>
    </w:p>
    <w:p>
      <w:pPr>
        <w:spacing w:after="0" w:line="230" w:lineRule="exact"/>
        <w:rPr>
          <w:sz w:val="20"/>
          <w:szCs w:val="20"/>
          <w:color w:val="auto"/>
        </w:rPr>
      </w:pPr>
    </w:p>
    <w:p>
      <w:pPr>
        <w:ind w:left="340" w:firstLine="527"/>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340" w:right="100" w:firstLine="527"/>
        <w:spacing w:after="0" w:line="250" w:lineRule="auto"/>
        <w:rPr>
          <w:sz w:val="20"/>
          <w:szCs w:val="20"/>
          <w:color w:val="auto"/>
        </w:rPr>
      </w:pPr>
      <w:r>
        <w:rPr>
          <w:rFonts w:ascii="Arial" w:cs="Arial" w:eastAsia="Arial" w:hAnsi="Arial"/>
          <w:sz w:val="17"/>
          <w:szCs w:val="17"/>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6"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340" w:right="360" w:firstLine="527"/>
        <w:spacing w:after="0" w:line="236" w:lineRule="auto"/>
        <w:rPr>
          <w:sz w:val="20"/>
          <w:szCs w:val="20"/>
          <w:color w:val="auto"/>
        </w:rPr>
      </w:pPr>
      <w:r>
        <w:rPr>
          <w:rFonts w:ascii="Arial" w:cs="Arial" w:eastAsia="Arial" w:hAnsi="Arial"/>
          <w:sz w:val="18"/>
          <w:szCs w:val="18"/>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 typically a computer-aided design, or a CAD file. Then, we price transactions through our proprietary,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4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55499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202"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203"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w:t>
      </w:r>
    </w:p>
    <w:p>
      <w:pPr>
        <w:spacing w:after="0" w:line="206" w:lineRule="exact"/>
        <w:rPr>
          <w:sz w:val="20"/>
          <w:szCs w:val="20"/>
          <w:color w:val="auto"/>
        </w:rPr>
      </w:pPr>
    </w:p>
    <w:p>
      <w:pPr>
        <w:ind w:left="340" w:right="380" w:firstLine="527"/>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Today, we are the largest on-demand manufacturing marketplace by revenue. We have connected over 43,000 unique buyers,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including nearly 30% of the Fortune 500, and nearly 5,000 unique sellers of all sizes. We have achieved rapid growth while improving</w:t>
      </w:r>
    </w:p>
    <w:p>
      <w:pPr>
        <w:ind w:left="340"/>
        <w:spacing w:after="0" w:line="238" w:lineRule="auto"/>
        <w:rPr>
          <w:sz w:val="20"/>
          <w:szCs w:val="20"/>
          <w:color w:val="auto"/>
        </w:rPr>
      </w:pPr>
      <w:r>
        <w:rPr>
          <w:rFonts w:ascii="Arial" w:cs="Arial" w:eastAsia="Arial" w:hAnsi="Arial"/>
          <w:sz w:val="18"/>
          <w:szCs w:val="18"/>
          <w:color w:val="auto"/>
        </w:rPr>
        <w:t>our margin profile. We generated revenue of $38.4 million in 2018, $80.2 million in 2019, and $141.4 million in 2020, representing</w:t>
      </w:r>
    </w:p>
    <w:p>
      <w:pPr>
        <w:ind w:left="340"/>
        <w:spacing w:after="0" w:line="233" w:lineRule="auto"/>
        <w:rPr>
          <w:sz w:val="20"/>
          <w:szCs w:val="20"/>
          <w:color w:val="auto"/>
        </w:rPr>
      </w:pPr>
      <w:r>
        <w:rPr>
          <w:rFonts w:ascii="Arial" w:cs="Arial" w:eastAsia="Arial" w:hAnsi="Arial"/>
          <w:sz w:val="18"/>
          <w:szCs w:val="18"/>
          <w:color w:val="auto"/>
        </w:rPr>
        <w:t>year-over-year growth of 109% in 2019 and 76% in 2020. Our gross profit was $6.5 million in 2018, $14.7 million in 2019, and</w:t>
      </w:r>
    </w:p>
    <w:p>
      <w:pPr>
        <w:ind w:left="340"/>
        <w:spacing w:after="0" w:line="232" w:lineRule="auto"/>
        <w:rPr>
          <w:sz w:val="20"/>
          <w:szCs w:val="20"/>
          <w:color w:val="auto"/>
        </w:rPr>
      </w:pPr>
      <w:r>
        <w:rPr>
          <w:rFonts w:ascii="Arial" w:cs="Arial" w:eastAsia="Arial" w:hAnsi="Arial"/>
          <w:sz w:val="18"/>
          <w:szCs w:val="18"/>
          <w:color w:val="auto"/>
        </w:rPr>
        <w:t>$33.3 million in 2020, representing a 17% gross margin in 2018, 18% gross margin in 2019, and 24% gross margin in 2020. Our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losses were $20.1 million in 2018, $31.0 million in 2019 and $31.1 million in 2020.</w:t>
      </w:r>
    </w:p>
    <w:p>
      <w:pPr>
        <w:spacing w:after="0" w:line="208" w:lineRule="exact"/>
        <w:rPr>
          <w:sz w:val="20"/>
          <w:szCs w:val="20"/>
          <w:color w:val="auto"/>
        </w:rPr>
      </w:pPr>
    </w:p>
    <w:p>
      <w:pPr>
        <w:ind w:left="340" w:right="120" w:firstLine="527"/>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quarter-over-quarter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our growth strategy to scale our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32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59321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Industry Overview</w:t>
      </w:r>
    </w:p>
    <w:p>
      <w:pPr>
        <w:spacing w:after="0" w:line="234" w:lineRule="exact"/>
        <w:rPr>
          <w:sz w:val="20"/>
          <w:szCs w:val="20"/>
          <w:color w:val="auto"/>
        </w:rPr>
      </w:pPr>
    </w:p>
    <w:p>
      <w:pPr>
        <w:ind w:left="1060" w:right="20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7" w:lineRule="exact"/>
        <w:rPr>
          <w:rFonts w:ascii="Arial" w:cs="Arial" w:eastAsia="Arial" w:hAnsi="Arial"/>
          <w:sz w:val="18"/>
          <w:szCs w:val="18"/>
          <w:color w:val="auto"/>
        </w:rPr>
      </w:pPr>
    </w:p>
    <w:p>
      <w:pPr>
        <w:ind w:left="1060" w:right="340" w:hanging="190"/>
        <w:spacing w:after="0" w:line="24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buyers and 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84"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Resilient, localized and compliant supply chains are imperative. </w:t>
      </w:r>
      <w:r>
        <w:rPr>
          <w:rFonts w:ascii="Arial" w:cs="Arial" w:eastAsia="Arial" w:hAnsi="Arial"/>
          <w:sz w:val="18"/>
          <w:szCs w:val="18"/>
          <w:color w:val="auto"/>
        </w:rPr>
        <w:t>We believe there is a significant opportunity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around 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87"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is increasing focus on the manufacturing industry to address ESG issues. </w:t>
      </w:r>
      <w:r>
        <w:rPr>
          <w:rFonts w:ascii="Arial" w:cs="Arial" w:eastAsia="Arial" w:hAnsi="Arial"/>
          <w:sz w:val="18"/>
          <w:szCs w:val="18"/>
          <w:color w:val="auto"/>
        </w:rPr>
        <w:t>Companies and investors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6" w:lineRule="exact"/>
        <w:rPr>
          <w:rFonts w:ascii="Arial" w:cs="Arial" w:eastAsia="Arial" w:hAnsi="Arial"/>
          <w:sz w:val="18"/>
          <w:szCs w:val="18"/>
          <w:color w:val="auto"/>
        </w:rPr>
      </w:pPr>
    </w:p>
    <w:p>
      <w:pPr>
        <w:ind w:left="1060" w:right="160" w:hanging="190"/>
        <w:spacing w:after="0" w:line="24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proliferation of new technologies, necessitates digital solutions that increase productivity, improve financial performance and allow them to compete sustainably.</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340" w:right="600" w:firstLine="527"/>
        <w:spacing w:after="0" w:line="257" w:lineRule="auto"/>
        <w:rPr>
          <w:sz w:val="20"/>
          <w:szCs w:val="20"/>
          <w:color w:val="auto"/>
        </w:rPr>
      </w:pPr>
      <w:r>
        <w:rPr>
          <w:rFonts w:ascii="Arial" w:cs="Arial" w:eastAsia="Arial" w:hAnsi="Arial"/>
          <w:sz w:val="17"/>
          <w:szCs w:val="17"/>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8" w:lineRule="exact"/>
        <w:rPr>
          <w:sz w:val="20"/>
          <w:szCs w:val="20"/>
          <w:color w:val="auto"/>
        </w:rPr>
      </w:pPr>
    </w:p>
    <w:p>
      <w:pPr>
        <w:ind w:left="340" w:right="100" w:firstLine="527"/>
        <w:spacing w:after="0" w:line="239"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36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200"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metal manufacturing, 3D printing (including fused deposition modeling, direct metal laser sintering, PolyJet, stereolithography, selective laser sintering, binder jetting, carbon digital light synthesis and multi jet fusion), die casting, injection molding and urethane casting. Our estimates are based on independent industry publications or other publicly available information, as well as our internal sources.</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340" w:right="240" w:firstLine="527"/>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340" w:right="320" w:firstLine="527"/>
        <w:spacing w:after="0" w:line="257" w:lineRule="auto"/>
        <w:rPr>
          <w:sz w:val="20"/>
          <w:szCs w:val="20"/>
          <w:color w:val="auto"/>
        </w:rPr>
      </w:pPr>
      <w:r>
        <w:rPr>
          <w:rFonts w:ascii="Arial" w:cs="Arial" w:eastAsia="Arial" w:hAnsi="Arial"/>
          <w:sz w:val="17"/>
          <w:szCs w:val="17"/>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8" w:lineRule="exact"/>
        <w:rPr>
          <w:sz w:val="20"/>
          <w:szCs w:val="20"/>
          <w:color w:val="auto"/>
        </w:rPr>
      </w:pPr>
    </w:p>
    <w:p>
      <w:pPr>
        <w:ind w:left="340" w:right="20" w:firstLine="527"/>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340" w:right="280" w:firstLine="527"/>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340" w:right="160" w:firstLine="527"/>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Additional Seller Offerings</w:t>
      </w:r>
    </w:p>
    <w:p>
      <w:pPr>
        <w:spacing w:after="0" w:line="234" w:lineRule="exact"/>
        <w:rPr>
          <w:sz w:val="20"/>
          <w:szCs w:val="20"/>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8" w:lineRule="exact"/>
        <w:rPr>
          <w:rFonts w:ascii="Arial" w:cs="Arial" w:eastAsia="Arial" w:hAnsi="Arial"/>
          <w:sz w:val="18"/>
          <w:szCs w:val="18"/>
          <w:color w:val="auto"/>
        </w:rPr>
      </w:pPr>
    </w:p>
    <w:p>
      <w:pPr>
        <w:ind w:left="1060" w:right="60" w:hanging="190"/>
        <w:spacing w:after="0" w:line="24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6"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Instant and Competitive Pricing and Lead Times. </w:t>
      </w:r>
      <w:r>
        <w:rPr>
          <w:rFonts w:ascii="Arial" w:cs="Arial" w:eastAsia="Arial" w:hAnsi="Arial"/>
          <w:sz w:val="18"/>
          <w:szCs w:val="18"/>
          <w:color w:val="auto"/>
        </w:rPr>
        <w:t>We create value for buyers through marketplace generation fueled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8" w:lineRule="exact"/>
        <w:rPr>
          <w:rFonts w:ascii="Arial" w:cs="Arial" w:eastAsia="Arial" w:hAnsi="Arial"/>
          <w:sz w:val="18"/>
          <w:szCs w:val="18"/>
          <w:color w:val="auto"/>
        </w:rPr>
      </w:pPr>
    </w:p>
    <w:p>
      <w:pPr>
        <w:ind w:left="1060" w:right="4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1060" w:right="12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8" w:lineRule="exact"/>
        <w:rPr>
          <w:rFonts w:ascii="Arial" w:cs="Arial" w:eastAsia="Arial" w:hAnsi="Arial"/>
          <w:sz w:val="18"/>
          <w:szCs w:val="18"/>
          <w:color w:val="auto"/>
        </w:rPr>
      </w:pPr>
    </w:p>
    <w:p>
      <w:pPr>
        <w:ind w:left="1060" w:right="2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1060" w:right="480" w:hanging="190"/>
        <w:spacing w:after="0" w:line="26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and Quality. </w:t>
      </w:r>
      <w:r>
        <w:rPr>
          <w:rFonts w:ascii="Arial" w:cs="Arial" w:eastAsia="Arial" w:hAnsi="Arial"/>
          <w:sz w:val="17"/>
          <w:szCs w:val="17"/>
          <w:color w:val="auto"/>
        </w:rPr>
        <w:t>We offer consistently high-quality products and certainty of order fulfillment for buyers.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69" w:lineRule="exact"/>
        <w:rPr>
          <w:rFonts w:ascii="Arial" w:cs="Arial" w:eastAsia="Arial" w:hAnsi="Arial"/>
          <w:sz w:val="17"/>
          <w:szCs w:val="17"/>
          <w:color w:val="auto"/>
        </w:rPr>
      </w:pPr>
    </w:p>
    <w:p>
      <w:pPr>
        <w:ind w:left="1060" w:right="20" w:hanging="190"/>
        <w:spacing w:after="0" w:line="24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7" w:lineRule="exact"/>
        <w:rPr>
          <w:rFonts w:ascii="Arial" w:cs="Arial" w:eastAsia="Arial" w:hAnsi="Arial"/>
          <w:sz w:val="18"/>
          <w:szCs w:val="18"/>
          <w:color w:val="auto"/>
        </w:rPr>
      </w:pPr>
    </w:p>
    <w:p>
      <w:pPr>
        <w:ind w:left="1060" w:right="14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1060" w:right="100" w:hanging="190"/>
        <w:spacing w:after="0" w:line="24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36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40" w:hanging="190"/>
        <w:spacing w:after="0" w:line="24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1060" w:right="10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84" w:lineRule="exact"/>
        <w:rPr>
          <w:rFonts w:ascii="Arial" w:cs="Arial" w:eastAsia="Arial" w:hAnsi="Arial"/>
          <w:sz w:val="18"/>
          <w:szCs w:val="18"/>
          <w:color w:val="auto"/>
        </w:rPr>
      </w:pPr>
    </w:p>
    <w:p>
      <w:pPr>
        <w:ind w:left="1060" w:right="4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8" w:lineRule="exact"/>
        <w:rPr>
          <w:rFonts w:ascii="Arial" w:cs="Arial" w:eastAsia="Arial" w:hAnsi="Arial"/>
          <w:sz w:val="18"/>
          <w:szCs w:val="18"/>
          <w:color w:val="auto"/>
        </w:rPr>
      </w:pPr>
    </w:p>
    <w:p>
      <w:pPr>
        <w:ind w:left="106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1060" w:right="120" w:hanging="190"/>
        <w:spacing w:after="0" w:line="23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1060" w:right="80" w:hanging="190"/>
        <w:spacing w:after="0" w:line="23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87" w:lineRule="exact"/>
        <w:rPr>
          <w:rFonts w:ascii="Arial" w:cs="Arial" w:eastAsia="Arial" w:hAnsi="Arial"/>
          <w:sz w:val="18"/>
          <w:szCs w:val="18"/>
          <w:color w:val="auto"/>
        </w:rPr>
      </w:pPr>
    </w:p>
    <w:p>
      <w:pPr>
        <w:ind w:left="1060" w:hanging="190"/>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58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060" w:hanging="190"/>
        <w:spacing w:after="0" w:line="24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saw a 34% year-over-year increase in accounts with at least $50,000 annual spend.</w:t>
      </w:r>
    </w:p>
    <w:p>
      <w:pPr>
        <w:spacing w:after="0" w:line="87" w:lineRule="exact"/>
        <w:rPr>
          <w:rFonts w:ascii="Arial" w:cs="Arial" w:eastAsia="Arial" w:hAnsi="Arial"/>
          <w:sz w:val="18"/>
          <w:szCs w:val="18"/>
          <w:color w:val="auto"/>
        </w:rPr>
      </w:pPr>
    </w:p>
    <w:p>
      <w:pPr>
        <w:ind w:left="1060" w:right="18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1060" w:right="20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060" w:right="4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84" w:lineRule="exact"/>
        <w:rPr>
          <w:rFonts w:ascii="Arial" w:cs="Arial" w:eastAsia="Arial" w:hAnsi="Arial"/>
          <w:sz w:val="18"/>
          <w:szCs w:val="18"/>
          <w:color w:val="auto"/>
        </w:rPr>
      </w:pPr>
    </w:p>
    <w:p>
      <w:pPr>
        <w:ind w:left="1060" w:right="10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our entire platform. We are focused on attracting new sellers, recognizing the massive opportunity still in front of us and the intrinsic benefit an active, diverse seller population brings to the overall platform.</w:t>
      </w:r>
    </w:p>
    <w:p>
      <w:pPr>
        <w:spacing w:after="0" w:line="77" w:lineRule="exact"/>
        <w:rPr>
          <w:rFonts w:ascii="Arial" w:cs="Arial" w:eastAsia="Arial" w:hAnsi="Arial"/>
          <w:sz w:val="18"/>
          <w:szCs w:val="18"/>
          <w:color w:val="auto"/>
        </w:rPr>
      </w:pPr>
    </w:p>
    <w:p>
      <w:pPr>
        <w:ind w:left="106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84" w:lineRule="exact"/>
        <w:rPr>
          <w:rFonts w:ascii="Arial" w:cs="Arial" w:eastAsia="Arial" w:hAnsi="Arial"/>
          <w:sz w:val="18"/>
          <w:szCs w:val="18"/>
          <w:color w:val="auto"/>
        </w:rPr>
      </w:pPr>
    </w:p>
    <w:p>
      <w:pPr>
        <w:ind w:left="1060" w:right="20" w:hanging="190"/>
        <w:spacing w:after="0" w:line="23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and increase engagement. During the year ended December 31, 2020, 40% of active sellers used our seller services. Although revenue from our seller services was approximately five percent of our total revenue for the year ended December 31, 2020, we expect revenue from seller services to grow over time. In 2020, we introduced a new suite of financial services for sellers that offer us attractive growth opportunities as we aggressively market the Xometry Pay platform to all U.S. sellers, enhance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features that allow quicker conversion of purchase orders to cash, and build toward a full-service digital wallet for sellers to use for payouts and purchases.</w:t>
      </w:r>
    </w:p>
    <w:p>
      <w:pPr>
        <w:spacing w:after="0" w:line="87" w:lineRule="exact"/>
        <w:rPr>
          <w:sz w:val="20"/>
          <w:szCs w:val="20"/>
          <w:color w:val="auto"/>
        </w:rPr>
      </w:pPr>
    </w:p>
    <w:p>
      <w:pPr>
        <w:ind w:left="1060" w:right="20" w:hanging="190"/>
        <w:spacing w:after="0" w:line="26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international expansion. </w:t>
      </w:r>
      <w:r>
        <w:rPr>
          <w:rFonts w:ascii="Arial" w:cs="Arial" w:eastAsia="Arial" w:hAnsi="Arial"/>
          <w:sz w:val="17"/>
          <w:szCs w:val="17"/>
          <w:color w:val="auto"/>
        </w:rPr>
        <w:t>We believe there is significant opportunity in the global manufacturing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69" w:lineRule="exact"/>
        <w:rPr>
          <w:rFonts w:ascii="Arial" w:cs="Arial" w:eastAsia="Arial" w:hAnsi="Arial"/>
          <w:sz w:val="17"/>
          <w:szCs w:val="17"/>
          <w:color w:val="auto"/>
        </w:rPr>
      </w:pPr>
    </w:p>
    <w:p>
      <w:pPr>
        <w:ind w:left="1060" w:right="100" w:hanging="190"/>
        <w:spacing w:after="0" w:line="26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targeted investments and acquisitions to strengthen our competitive position and processes.</w:t>
      </w:r>
    </w:p>
    <w:p>
      <w:pPr>
        <w:spacing w:after="0" w:line="2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 Summary</w:t>
      </w:r>
    </w:p>
    <w:p>
      <w:pPr>
        <w:spacing w:after="0" w:line="230" w:lineRule="exact"/>
        <w:rPr>
          <w:sz w:val="20"/>
          <w:szCs w:val="20"/>
          <w:color w:val="auto"/>
        </w:rPr>
      </w:pPr>
    </w:p>
    <w:p>
      <w:pPr>
        <w:jc w:val="both"/>
        <w:ind w:left="340" w:right="180" w:firstLine="527"/>
        <w:spacing w:after="0" w:line="237" w:lineRule="auto"/>
        <w:rPr>
          <w:sz w:val="20"/>
          <w:szCs w:val="20"/>
          <w:color w:val="auto"/>
        </w:rPr>
      </w:pPr>
      <w:r>
        <w:rPr>
          <w:rFonts w:ascii="Arial" w:cs="Arial" w:eastAsia="Arial" w:hAnsi="Arial"/>
          <w:sz w:val="18"/>
          <w:szCs w:val="18"/>
          <w:color w:val="auto"/>
        </w:rPr>
        <w:t>Investing in our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1" w:lineRule="exact"/>
        <w:rPr>
          <w:sz w:val="20"/>
          <w:szCs w:val="20"/>
          <w:color w:val="auto"/>
        </w:rPr>
      </w:pPr>
    </w:p>
    <w:p>
      <w:pPr>
        <w:ind w:left="1060" w:right="6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have incurred net losses in the past, expect to incur net losses in the future and may never achieve or maintain profitability.</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are unable to manage the anticipated growth of our business, our future revenue and operating results may be adversely affected.</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13" w:lineRule="exact"/>
        <w:rPr>
          <w:rFonts w:ascii="Arial" w:cs="Arial" w:eastAsia="Arial" w:hAnsi="Arial"/>
          <w:sz w:val="18"/>
          <w:szCs w:val="18"/>
          <w:i w:val="1"/>
          <w:iCs w:val="1"/>
          <w:color w:val="auto"/>
        </w:rPr>
      </w:pPr>
    </w:p>
    <w:p>
      <w:pPr>
        <w:ind w:left="1060" w:right="4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rFonts w:ascii="Arial" w:cs="Arial" w:eastAsia="Arial" w:hAnsi="Arial"/>
          <w:sz w:val="18"/>
          <w:szCs w:val="18"/>
          <w:color w:val="auto"/>
        </w:rPr>
      </w:pPr>
    </w:p>
    <w:p>
      <w:pPr>
        <w:ind w:left="1060" w:right="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13" w:lineRule="exact"/>
        <w:rPr>
          <w:rFonts w:ascii="Arial" w:cs="Arial" w:eastAsia="Arial" w:hAnsi="Arial"/>
          <w:sz w:val="18"/>
          <w:szCs w:val="18"/>
          <w:color w:val="auto"/>
        </w:rPr>
      </w:pPr>
    </w:p>
    <w:p>
      <w:pPr>
        <w:ind w:left="1060" w:right="4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a third-party payment processor to process payments made by buyers and payments made to sellers and suppliers.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320" w:top="456" w:right="8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15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59150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13" w:lineRule="exact"/>
        <w:rPr>
          <w:rFonts w:ascii="Arial" w:cs="Arial" w:eastAsia="Arial" w:hAnsi="Arial"/>
          <w:sz w:val="18"/>
          <w:szCs w:val="18"/>
          <w:color w:val="auto"/>
        </w:rPr>
      </w:pPr>
    </w:p>
    <w:p>
      <w:pPr>
        <w:ind w:left="1060" w:right="42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13" w:lineRule="exact"/>
        <w:rPr>
          <w:rFonts w:ascii="Arial" w:cs="Arial" w:eastAsia="Arial" w:hAnsi="Arial"/>
          <w:sz w:val="18"/>
          <w:szCs w:val="18"/>
          <w:color w:val="auto"/>
        </w:rPr>
      </w:pPr>
    </w:p>
    <w:p>
      <w:pPr>
        <w:ind w:left="1060" w:right="1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73" w:lineRule="exact"/>
        <w:rPr>
          <w:rFonts w:ascii="Arial" w:cs="Arial" w:eastAsia="Arial" w:hAnsi="Arial"/>
          <w:sz w:val="18"/>
          <w:szCs w:val="18"/>
          <w:color w:val="auto"/>
        </w:rPr>
      </w:pPr>
    </w:p>
    <w:p>
      <w:pPr>
        <w:ind w:left="1060" w:right="140" w:hanging="190"/>
        <w:spacing w:after="0" w:line="29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9" w:lineRule="exact"/>
        <w:rPr>
          <w:rFonts w:ascii="Arial" w:cs="Arial" w:eastAsia="Arial" w:hAnsi="Arial"/>
          <w:sz w:val="17"/>
          <w:szCs w:val="17"/>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113" w:lineRule="exact"/>
        <w:rPr>
          <w:rFonts w:ascii="Arial" w:cs="Arial" w:eastAsia="Arial" w:hAnsi="Arial"/>
          <w:sz w:val="18"/>
          <w:szCs w:val="18"/>
          <w:color w:val="auto"/>
        </w:rPr>
      </w:pPr>
    </w:p>
    <w:p>
      <w:pPr>
        <w:ind w:left="1060" w:right="3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rFonts w:ascii="Arial" w:cs="Arial" w:eastAsia="Arial" w:hAnsi="Arial"/>
          <w:sz w:val="18"/>
          <w:szCs w:val="18"/>
          <w:color w:val="auto"/>
        </w:rPr>
      </w:pPr>
    </w:p>
    <w:p>
      <w:pPr>
        <w:ind w:left="1060" w:right="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rFonts w:ascii="Arial" w:cs="Arial" w:eastAsia="Arial" w:hAnsi="Arial"/>
          <w:sz w:val="18"/>
          <w:szCs w:val="18"/>
          <w:color w:val="auto"/>
        </w:rPr>
      </w:pPr>
    </w:p>
    <w:p>
      <w:pPr>
        <w:ind w:left="1060" w:right="4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were incorporated in 2013 under the name NextLine Manufacturing Corp. We changed our name to Xometry, Inc. on</w:t>
      </w:r>
    </w:p>
    <w:p>
      <w:pPr>
        <w:ind w:left="340"/>
        <w:spacing w:after="0" w:line="235" w:lineRule="auto"/>
        <w:rPr>
          <w:sz w:val="20"/>
          <w:szCs w:val="20"/>
          <w:color w:val="auto"/>
        </w:rPr>
      </w:pPr>
      <w:r>
        <w:rPr>
          <w:rFonts w:ascii="Arial" w:cs="Arial" w:eastAsia="Arial" w:hAnsi="Arial"/>
          <w:sz w:val="18"/>
          <w:szCs w:val="18"/>
          <w:color w:val="auto"/>
        </w:rPr>
        <w:t>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common stock offered in this offering.</w:t>
      </w:r>
    </w:p>
    <w:p>
      <w:pPr>
        <w:spacing w:after="0" w:line="201" w:lineRule="exact"/>
        <w:rPr>
          <w:sz w:val="20"/>
          <w:szCs w:val="20"/>
          <w:color w:val="auto"/>
        </w:rPr>
      </w:pPr>
    </w:p>
    <w:p>
      <w:pPr>
        <w:ind w:left="340" w:right="140" w:firstLine="527"/>
        <w:spacing w:after="0" w:line="237"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 xml:space="preserve">TM </w:t>
      </w:r>
      <w:r>
        <w:rPr>
          <w:rFonts w:ascii="Arial" w:cs="Arial" w:eastAsia="Arial" w:hAnsi="Arial"/>
          <w:sz w:val="17"/>
          <w:szCs w:val="17"/>
          <w:color w:val="auto"/>
        </w:rPr>
        <w:t>symbols.</w:t>
      </w:r>
    </w:p>
    <w:p>
      <w:pPr>
        <w:spacing w:after="0" w:line="28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0" w:lineRule="exact"/>
        <w:rPr>
          <w:sz w:val="20"/>
          <w:szCs w:val="20"/>
          <w:color w:val="auto"/>
        </w:rPr>
      </w:pPr>
    </w:p>
    <w:p>
      <w:pPr>
        <w:ind w:left="340" w:right="100" w:firstLine="527"/>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4"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$ 1.0 billion in non-convertible debt securities; and (4) the last day of the fiscal year in which the market value of our common stock held by non-affiliates is more than $700 million as of June 30 of such fiscal year.</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6" w:right="679" w:bottom="1440" w:gutter="0" w:footer="0" w:header="0"/>
        </w:sect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3960"/>
        <w:spacing w:after="0"/>
        <w:rPr>
          <w:sz w:val="20"/>
          <w:szCs w:val="20"/>
          <w:color w:val="auto"/>
        </w:rPr>
      </w:pPr>
      <w:r>
        <w:rPr>
          <w:rFonts w:ascii="Arial" w:cs="Arial" w:eastAsia="Arial" w:hAnsi="Arial"/>
          <w:sz w:val="17"/>
          <w:szCs w:val="17"/>
          <w:color w:val="auto"/>
        </w:rPr>
        <w:t>shares</w:t>
      </w:r>
    </w:p>
    <w:p>
      <w:pPr>
        <w:spacing w:after="0" w:line="99" w:lineRule="exact"/>
        <w:rPr>
          <w:sz w:val="20"/>
          <w:szCs w:val="20"/>
          <w:color w:val="auto"/>
        </w:rPr>
      </w:pPr>
    </w:p>
    <w:p>
      <w:pPr>
        <w:sectPr>
          <w:pgSz w:w="11900" w:h="16838" w:orient="portrait"/>
          <w:cols w:equalWidth="0" w:num="2">
            <w:col w:w="5700" w:space="720"/>
            <w:col w:w="4480"/>
          </w:cols>
          <w:pgMar w:left="320" w:top="456" w:right="67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w:t>
      </w:r>
    </w:p>
    <w:p>
      <w:pPr>
        <w:spacing w:after="0" w:line="99" w:lineRule="exact"/>
        <w:rPr>
          <w:sz w:val="20"/>
          <w:szCs w:val="20"/>
          <w:color w:val="auto"/>
        </w:rPr>
      </w:pPr>
    </w:p>
    <w:p>
      <w:pPr>
        <w:sectPr>
          <w:pgSz w:w="11900" w:h="16838" w:orient="portrait"/>
          <w:cols w:equalWidth="0" w:num="2">
            <w:col w:w="5700" w:space="720"/>
            <w:col w:w="4480"/>
          </w:cols>
          <w:pgMar w:left="320" w:top="456" w:right="67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Option to purchase additional shares of 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w:t>
      </w:r>
    </w:p>
    <w:p>
      <w:pPr>
        <w:spacing w:after="0" w:line="99" w:lineRule="exact"/>
        <w:rPr>
          <w:sz w:val="20"/>
          <w:szCs w:val="20"/>
          <w:color w:val="auto"/>
        </w:rPr>
      </w:pPr>
    </w:p>
    <w:p>
      <w:pPr>
        <w:sectPr>
          <w:pgSz w:w="11900" w:h="16838" w:orient="portrait"/>
          <w:cols w:equalWidth="0" w:num="2">
            <w:col w:w="5720" w:space="700"/>
            <w:col w:w="4480"/>
          </w:cols>
          <w:pgMar w:left="320" w:top="456" w:right="67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estimate that our net proceeds from the sale of our common</w:t>
      </w:r>
    </w:p>
    <w:p>
      <w:pPr>
        <w:spacing w:after="0"/>
        <w:tabs>
          <w:tab w:leader="none" w:pos="4460" w:val="left"/>
        </w:tabs>
        <w:rPr>
          <w:sz w:val="20"/>
          <w:szCs w:val="20"/>
          <w:color w:val="auto"/>
        </w:rPr>
      </w:pPr>
      <w:r>
        <w:rPr>
          <w:rFonts w:ascii="Arial" w:cs="Arial" w:eastAsia="Arial" w:hAnsi="Arial"/>
          <w:sz w:val="18"/>
          <w:szCs w:val="18"/>
          <w:color w:val="auto"/>
        </w:rPr>
        <w:t>stock that we are offering will be approximately $</w:t>
      </w:r>
      <w:r>
        <w:rPr>
          <w:sz w:val="20"/>
          <w:szCs w:val="20"/>
          <w:color w:val="auto"/>
        </w:rPr>
        <w:tab/>
      </w:r>
      <w:r>
        <w:rPr>
          <w:rFonts w:ascii="Arial" w:cs="Arial" w:eastAsia="Arial" w:hAnsi="Arial"/>
          <w:sz w:val="17"/>
          <w:szCs w:val="17"/>
          <w:color w:val="auto"/>
        </w:rPr>
        <w:t>million</w:t>
      </w:r>
    </w:p>
    <w:p>
      <w:pPr>
        <w:spacing w:after="0"/>
        <w:tabs>
          <w:tab w:leader="none" w:pos="2100" w:val="left"/>
        </w:tabs>
        <w:rPr>
          <w:sz w:val="20"/>
          <w:szCs w:val="20"/>
          <w:color w:val="auto"/>
        </w:rPr>
      </w:pPr>
      <w:r>
        <w:rPr>
          <w:rFonts w:ascii="Arial" w:cs="Arial" w:eastAsia="Arial" w:hAnsi="Arial"/>
          <w:sz w:val="18"/>
          <w:szCs w:val="18"/>
          <w:color w:val="auto"/>
        </w:rPr>
        <w:t>(or approximately $</w:t>
      </w:r>
      <w:r>
        <w:rPr>
          <w:sz w:val="20"/>
          <w:szCs w:val="20"/>
          <w:color w:val="auto"/>
        </w:rPr>
        <w:tab/>
      </w:r>
      <w:r>
        <w:rPr>
          <w:rFonts w:ascii="Arial" w:cs="Arial" w:eastAsia="Arial" w:hAnsi="Arial"/>
          <w:sz w:val="17"/>
          <w:szCs w:val="17"/>
          <w:color w:val="auto"/>
        </w:rPr>
        <w:t>million if the underwriters’ option to</w:t>
      </w:r>
    </w:p>
    <w:p>
      <w:pPr>
        <w:spacing w:after="0" w:line="232" w:lineRule="auto"/>
        <w:rPr>
          <w:sz w:val="20"/>
          <w:szCs w:val="20"/>
          <w:color w:val="auto"/>
        </w:rPr>
      </w:pPr>
      <w:r>
        <w:rPr>
          <w:rFonts w:ascii="Arial" w:cs="Arial" w:eastAsia="Arial" w:hAnsi="Arial"/>
          <w:sz w:val="18"/>
          <w:szCs w:val="18"/>
          <w:color w:val="auto"/>
        </w:rPr>
        <w:t>purchase additional shares of our common stock from us is</w:t>
      </w:r>
    </w:p>
    <w:p>
      <w:pPr>
        <w:spacing w:after="0" w:line="233" w:lineRule="auto"/>
        <w:rPr>
          <w:sz w:val="20"/>
          <w:szCs w:val="20"/>
          <w:color w:val="auto"/>
        </w:rPr>
      </w:pPr>
      <w:r>
        <w:rPr>
          <w:rFonts w:ascii="Arial" w:cs="Arial" w:eastAsia="Arial" w:hAnsi="Arial"/>
          <w:sz w:val="18"/>
          <w:szCs w:val="18"/>
          <w:color w:val="auto"/>
        </w:rPr>
        <w:t>exercised in full), assuming an initial public offering price of</w:t>
      </w:r>
    </w:p>
    <w:p>
      <w:pPr>
        <w:spacing w:after="0"/>
        <w:tabs>
          <w:tab w:leader="none" w:pos="6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the midpoint of the estimated price range set</w:t>
      </w:r>
    </w:p>
    <w:p>
      <w:pPr>
        <w:spacing w:after="0" w:line="238" w:lineRule="auto"/>
        <w:rPr>
          <w:sz w:val="20"/>
          <w:szCs w:val="20"/>
          <w:color w:val="auto"/>
        </w:rPr>
      </w:pPr>
      <w:r>
        <w:rPr>
          <w:rFonts w:ascii="Arial" w:cs="Arial" w:eastAsia="Arial" w:hAnsi="Arial"/>
          <w:sz w:val="18"/>
          <w:szCs w:val="18"/>
          <w:color w:val="auto"/>
        </w:rPr>
        <w:t>forth on the cover page of this prospectus, and after deducting</w:t>
      </w:r>
    </w:p>
    <w:p>
      <w:pPr>
        <w:spacing w:after="0" w:line="233" w:lineRule="auto"/>
        <w:rPr>
          <w:sz w:val="20"/>
          <w:szCs w:val="20"/>
          <w:color w:val="auto"/>
        </w:rPr>
      </w:pPr>
      <w:r>
        <w:rPr>
          <w:rFonts w:ascii="Arial" w:cs="Arial" w:eastAsia="Arial" w:hAnsi="Arial"/>
          <w:sz w:val="18"/>
          <w:szCs w:val="18"/>
          <w:color w:val="auto"/>
        </w:rPr>
        <w:t>estimated underwriting discounts and commissions and</w:t>
      </w:r>
    </w:p>
    <w:p>
      <w:pPr>
        <w:spacing w:after="0"/>
        <w:rPr>
          <w:sz w:val="20"/>
          <w:szCs w:val="20"/>
          <w:color w:val="auto"/>
        </w:rPr>
      </w:pPr>
      <w:r>
        <w:rPr>
          <w:rFonts w:ascii="Arial" w:cs="Arial" w:eastAsia="Arial" w:hAnsi="Arial"/>
          <w:sz w:val="18"/>
          <w:szCs w:val="18"/>
          <w:color w:val="auto"/>
        </w:rPr>
        <w:t>estimated offering expenses.</w:t>
      </w:r>
    </w:p>
    <w:p>
      <w:pPr>
        <w:spacing w:after="0" w:line="67" w:lineRule="exact"/>
        <w:rPr>
          <w:sz w:val="20"/>
          <w:szCs w:val="20"/>
          <w:color w:val="auto"/>
        </w:rPr>
      </w:pPr>
    </w:p>
    <w:p>
      <w:pPr>
        <w:sectPr>
          <w:pgSz w:w="11900" w:h="16838" w:orient="portrait"/>
          <w:cols w:equalWidth="0" w:num="2">
            <w:col w:w="5100" w:space="720"/>
            <w:col w:w="5080"/>
          </w:cols>
          <w:pgMar w:left="320" w:top="456" w:right="679" w:bottom="1440" w:gutter="0" w:footer="0" w:header="0"/>
          <w:type w:val="continuous"/>
        </w:sectPr>
      </w:pPr>
    </w:p>
    <w:p>
      <w:pPr>
        <w:ind w:left="5820"/>
        <w:spacing w:after="0"/>
        <w:rPr>
          <w:sz w:val="20"/>
          <w:szCs w:val="20"/>
          <w:color w:val="auto"/>
        </w:rPr>
      </w:pPr>
      <w:r>
        <w:rPr>
          <w:rFonts w:ascii="Arial" w:cs="Arial" w:eastAsia="Arial" w:hAnsi="Arial"/>
          <w:sz w:val="18"/>
          <w:szCs w:val="18"/>
          <w:color w:val="auto"/>
        </w:rPr>
        <w:t>The principal purposes of this offering are to increase our</w:t>
      </w:r>
    </w:p>
    <w:p>
      <w:pPr>
        <w:ind w:left="5820"/>
        <w:spacing w:after="0" w:line="232" w:lineRule="auto"/>
        <w:rPr>
          <w:sz w:val="20"/>
          <w:szCs w:val="20"/>
          <w:color w:val="auto"/>
        </w:rPr>
      </w:pPr>
      <w:r>
        <w:rPr>
          <w:rFonts w:ascii="Arial" w:cs="Arial" w:eastAsia="Arial" w:hAnsi="Arial"/>
          <w:sz w:val="18"/>
          <w:szCs w:val="18"/>
          <w:color w:val="auto"/>
        </w:rPr>
        <w:t>capitalization and financial flexibility, and create a public market</w:t>
      </w:r>
    </w:p>
    <w:p>
      <w:pPr>
        <w:ind w:left="5820"/>
        <w:spacing w:after="0" w:line="233" w:lineRule="auto"/>
        <w:rPr>
          <w:sz w:val="20"/>
          <w:szCs w:val="20"/>
          <w:color w:val="auto"/>
        </w:rPr>
      </w:pPr>
      <w:r>
        <w:rPr>
          <w:rFonts w:ascii="Arial" w:cs="Arial" w:eastAsia="Arial" w:hAnsi="Arial"/>
          <w:sz w:val="18"/>
          <w:szCs w:val="18"/>
          <w:color w:val="auto"/>
        </w:rPr>
        <w:t>for our common stock. As of the date of this prospectus, we</w:t>
      </w:r>
    </w:p>
    <w:p>
      <w:pPr>
        <w:ind w:left="5820"/>
        <w:spacing w:after="0"/>
        <w:rPr>
          <w:sz w:val="20"/>
          <w:szCs w:val="20"/>
          <w:color w:val="auto"/>
        </w:rPr>
      </w:pPr>
      <w:r>
        <w:rPr>
          <w:rFonts w:ascii="Arial" w:cs="Arial" w:eastAsia="Arial" w:hAnsi="Arial"/>
          <w:sz w:val="17"/>
          <w:szCs w:val="17"/>
          <w:color w:val="auto"/>
        </w:rPr>
        <w:t>cannot specify with certainty all of the particular uses for the net</w:t>
      </w:r>
    </w:p>
    <w:p>
      <w:pPr>
        <w:ind w:left="5820"/>
        <w:spacing w:after="0" w:line="238" w:lineRule="auto"/>
        <w:rPr>
          <w:sz w:val="20"/>
          <w:szCs w:val="20"/>
          <w:color w:val="auto"/>
        </w:rPr>
      </w:pPr>
      <w:r>
        <w:rPr>
          <w:rFonts w:ascii="Arial" w:cs="Arial" w:eastAsia="Arial" w:hAnsi="Arial"/>
          <w:sz w:val="18"/>
          <w:szCs w:val="18"/>
          <w:color w:val="auto"/>
        </w:rPr>
        <w:t>proceeds to us from this offering. However, we currently intend</w:t>
      </w:r>
    </w:p>
    <w:p>
      <w:pPr>
        <w:ind w:left="5820"/>
        <w:spacing w:after="0"/>
        <w:rPr>
          <w:sz w:val="20"/>
          <w:szCs w:val="20"/>
          <w:color w:val="auto"/>
        </w:rPr>
      </w:pPr>
      <w:r>
        <w:rPr>
          <w:rFonts w:ascii="Arial" w:cs="Arial" w:eastAsia="Arial" w:hAnsi="Arial"/>
          <w:sz w:val="17"/>
          <w:szCs w:val="17"/>
          <w:color w:val="auto"/>
        </w:rPr>
        <w:t>to use the net proceeds we receive from this offering for general</w:t>
      </w:r>
    </w:p>
    <w:p>
      <w:pPr>
        <w:ind w:left="5820"/>
        <w:spacing w:after="0" w:line="238" w:lineRule="auto"/>
        <w:rPr>
          <w:sz w:val="20"/>
          <w:szCs w:val="20"/>
          <w:color w:val="auto"/>
        </w:rPr>
      </w:pPr>
      <w:r>
        <w:rPr>
          <w:rFonts w:ascii="Arial" w:cs="Arial" w:eastAsia="Arial" w:hAnsi="Arial"/>
          <w:sz w:val="18"/>
          <w:szCs w:val="18"/>
          <w:color w:val="auto"/>
        </w:rPr>
        <w:t>corporate purposes, including working capital, operating</w:t>
      </w:r>
    </w:p>
    <w:p>
      <w:pPr>
        <w:ind w:left="5820"/>
        <w:spacing w:after="0"/>
        <w:rPr>
          <w:sz w:val="20"/>
          <w:szCs w:val="20"/>
          <w:color w:val="auto"/>
        </w:rPr>
      </w:pPr>
      <w:r>
        <w:rPr>
          <w:rFonts w:ascii="Arial" w:cs="Arial" w:eastAsia="Arial" w:hAnsi="Arial"/>
          <w:sz w:val="17"/>
          <w:szCs w:val="17"/>
          <w:color w:val="auto"/>
        </w:rPr>
        <w:t>expenses and capital expenditures. We will also use a portion of</w:t>
      </w:r>
    </w:p>
    <w:p>
      <w:pPr>
        <w:ind w:left="5820"/>
        <w:spacing w:after="0" w:line="238" w:lineRule="auto"/>
        <w:rPr>
          <w:sz w:val="20"/>
          <w:szCs w:val="20"/>
          <w:color w:val="auto"/>
        </w:rPr>
      </w:pPr>
      <w:r>
        <w:rPr>
          <w:rFonts w:ascii="Arial" w:cs="Arial" w:eastAsia="Arial" w:hAnsi="Arial"/>
          <w:sz w:val="18"/>
          <w:szCs w:val="18"/>
          <w:color w:val="auto"/>
        </w:rPr>
        <w:t>the net proceeds from this offering to (i) repay our outstanding</w:t>
      </w:r>
    </w:p>
    <w:p>
      <w:pPr>
        <w:ind w:left="5820"/>
        <w:spacing w:after="0" w:line="233" w:lineRule="auto"/>
        <w:rPr>
          <w:sz w:val="20"/>
          <w:szCs w:val="20"/>
          <w:color w:val="auto"/>
        </w:rPr>
      </w:pPr>
      <w:r>
        <w:rPr>
          <w:rFonts w:ascii="Arial" w:cs="Arial" w:eastAsia="Arial" w:hAnsi="Arial"/>
          <w:sz w:val="18"/>
          <w:szCs w:val="18"/>
          <w:color w:val="auto"/>
        </w:rPr>
        <w:t>indebtedness under our Amended Loan and Security</w:t>
      </w:r>
    </w:p>
    <w:p>
      <w:pPr>
        <w:ind w:left="5820"/>
        <w:spacing w:after="0" w:line="232" w:lineRule="auto"/>
        <w:rPr>
          <w:sz w:val="20"/>
          <w:szCs w:val="20"/>
          <w:color w:val="auto"/>
        </w:rPr>
      </w:pPr>
      <w:r>
        <w:rPr>
          <w:rFonts w:ascii="Arial" w:cs="Arial" w:eastAsia="Arial" w:hAnsi="Arial"/>
          <w:sz w:val="18"/>
          <w:szCs w:val="18"/>
          <w:color w:val="auto"/>
        </w:rPr>
        <w:t>Agreement (as defined in the section titled “Management’s</w:t>
      </w:r>
    </w:p>
    <w:p>
      <w:pPr>
        <w:ind w:left="5820"/>
        <w:spacing w:after="0" w:line="233" w:lineRule="auto"/>
        <w:rPr>
          <w:sz w:val="20"/>
          <w:szCs w:val="20"/>
          <w:color w:val="auto"/>
        </w:rPr>
      </w:pPr>
      <w:r>
        <w:rPr>
          <w:rFonts w:ascii="Arial" w:cs="Arial" w:eastAsia="Arial" w:hAnsi="Arial"/>
          <w:sz w:val="18"/>
          <w:szCs w:val="18"/>
          <w:color w:val="auto"/>
        </w:rPr>
        <w:t>Discussion of Financial and Analysis of Financial Condition and</w:t>
      </w:r>
    </w:p>
    <w:p>
      <w:pPr>
        <w:ind w:left="5820"/>
        <w:spacing w:after="0"/>
        <w:rPr>
          <w:sz w:val="20"/>
          <w:szCs w:val="20"/>
          <w:color w:val="auto"/>
        </w:rPr>
      </w:pPr>
      <w:r>
        <w:rPr>
          <w:rFonts w:ascii="Arial" w:cs="Arial" w:eastAsia="Arial" w:hAnsi="Arial"/>
          <w:sz w:val="18"/>
          <w:szCs w:val="18"/>
          <w:color w:val="auto"/>
        </w:rPr>
        <w:t>Results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00"/>
          </w:cols>
          <w:pgMar w:left="320" w:top="456" w:right="6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17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5617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Operations—Liquidity and Capital Resources—Term Loan</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Facility”), which matures on May 1, 2022 under which</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9"/>
              </w:rPr>
              <w:t>$15.8 million was outstanding at an annual interest rate of 8.7%</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as of March 31, 2021 and/or (ii) acquire complementary</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w w:val="98"/>
              </w:rPr>
              <w:t>businesses, products, services or technologies. However, we do</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not have agreements or commitments to enter into any</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acquisitions at this time. See the section titled “Use of</w:t>
            </w:r>
          </w:p>
        </w:tc>
      </w:tr>
      <w:tr>
        <w:trPr>
          <w:trHeight w:val="213"/>
        </w:trPr>
        <w:tc>
          <w:tcPr>
            <w:tcW w:w="4040" w:type="dxa"/>
            <w:vAlign w:val="bottom"/>
          </w:tcPr>
          <w:p>
            <w:pPr>
              <w:spacing w:after="0"/>
              <w:rPr>
                <w:sz w:val="18"/>
                <w:szCs w:val="18"/>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Proceeds” for additional information.</w:t>
            </w: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6480" w:type="dxa"/>
            <w:vAlign w:val="bottom"/>
            <w:gridSpan w:val="3"/>
          </w:tcPr>
          <w:p>
            <w:pPr>
              <w:ind w:left="1420"/>
              <w:spacing w:after="0"/>
              <w:rPr>
                <w:rFonts w:ascii="Arial" w:cs="Arial" w:eastAsia="Arial" w:hAnsi="Arial"/>
                <w:sz w:val="18"/>
                <w:szCs w:val="18"/>
                <w:color w:val="auto"/>
              </w:rPr>
            </w:pPr>
            <w:r>
              <w:rPr>
                <w:rFonts w:ascii="Arial" w:cs="Arial" w:eastAsia="Arial" w:hAnsi="Arial"/>
                <w:sz w:val="18"/>
                <w:szCs w:val="18"/>
                <w:color w:val="auto"/>
              </w:rPr>
              <w:t>You should carefully read the section titled “</w:t>
            </w:r>
            <w:hyperlink w:anchor="page18">
              <w:r>
                <w:rPr>
                  <w:rFonts w:ascii="Arial" w:cs="Arial" w:eastAsia="Arial" w:hAnsi="Arial"/>
                  <w:sz w:val="18"/>
                  <w:szCs w:val="18"/>
                  <w:color w:val="0000EE"/>
                </w:rPr>
                <w:t>Risk Factors</w:t>
              </w:r>
            </w:hyperlink>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4040" w:type="dxa"/>
            <w:vAlign w:val="bottom"/>
          </w:tcPr>
          <w:p>
            <w:pPr>
              <w:spacing w:after="0"/>
              <w:rPr>
                <w:sz w:val="17"/>
                <w:szCs w:val="17"/>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beginning on page 15 and the other information included in this</w:t>
            </w:r>
          </w:p>
        </w:tc>
      </w:tr>
      <w:tr>
        <w:trPr>
          <w:trHeight w:val="201"/>
        </w:trPr>
        <w:tc>
          <w:tcPr>
            <w:tcW w:w="4040" w:type="dxa"/>
            <w:vAlign w:val="bottom"/>
          </w:tcPr>
          <w:p>
            <w:pPr>
              <w:spacing w:after="0"/>
              <w:rPr>
                <w:sz w:val="17"/>
                <w:szCs w:val="17"/>
                <w:color w:val="auto"/>
              </w:rPr>
            </w:pPr>
          </w:p>
        </w:tc>
        <w:tc>
          <w:tcPr>
            <w:tcW w:w="6480" w:type="dxa"/>
            <w:vAlign w:val="bottom"/>
            <w:gridSpan w:val="3"/>
          </w:tcPr>
          <w:p>
            <w:pPr>
              <w:ind w:left="1420"/>
              <w:spacing w:after="0" w:line="201" w:lineRule="exact"/>
              <w:rPr>
                <w:sz w:val="20"/>
                <w:szCs w:val="20"/>
                <w:color w:val="auto"/>
              </w:rPr>
            </w:pPr>
            <w:r>
              <w:rPr>
                <w:rFonts w:ascii="Arial" w:cs="Arial" w:eastAsia="Arial" w:hAnsi="Arial"/>
                <w:sz w:val="18"/>
                <w:szCs w:val="18"/>
                <w:color w:val="auto"/>
              </w:rPr>
              <w:t>prospectus for a discussion of facts that you should consider</w:t>
            </w:r>
          </w:p>
        </w:tc>
      </w:tr>
      <w:tr>
        <w:trPr>
          <w:trHeight w:val="213"/>
        </w:trPr>
        <w:tc>
          <w:tcPr>
            <w:tcW w:w="4040" w:type="dxa"/>
            <w:vAlign w:val="bottom"/>
          </w:tcPr>
          <w:p>
            <w:pPr>
              <w:spacing w:after="0"/>
              <w:rPr>
                <w:sz w:val="18"/>
                <w:szCs w:val="18"/>
                <w:color w:val="auto"/>
              </w:rPr>
            </w:pP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before deciding to invest in shares of our common stock.</w:t>
            </w:r>
          </w:p>
        </w:tc>
      </w:tr>
      <w:tr>
        <w:trPr>
          <w:trHeight w:val="281"/>
        </w:trPr>
        <w:tc>
          <w:tcPr>
            <w:tcW w:w="404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6480" w:type="dxa"/>
            <w:vAlign w:val="bottom"/>
            <w:gridSpan w:val="3"/>
          </w:tcPr>
          <w:p>
            <w:pPr>
              <w:ind w:left="1420"/>
              <w:spacing w:after="0"/>
              <w:rPr>
                <w:sz w:val="20"/>
                <w:szCs w:val="20"/>
                <w:color w:val="auto"/>
              </w:rPr>
            </w:pPr>
            <w:r>
              <w:rPr>
                <w:rFonts w:ascii="Arial" w:cs="Arial" w:eastAsia="Arial" w:hAnsi="Arial"/>
                <w:sz w:val="18"/>
                <w:szCs w:val="18"/>
                <w:color w:val="auto"/>
              </w:rPr>
              <w:t>“XMTR”</w:t>
            </w:r>
          </w:p>
        </w:tc>
      </w:tr>
    </w:tbl>
    <w:p>
      <w:pPr>
        <w:spacing w:after="0" w:line="200" w:lineRule="exact"/>
        <w:rPr>
          <w:sz w:val="20"/>
          <w:szCs w:val="20"/>
          <w:color w:val="auto"/>
        </w:rPr>
      </w:pPr>
    </w:p>
    <w:p>
      <w:pPr>
        <w:sectPr>
          <w:pgSz w:w="11900" w:h="16838" w:orient="portrait"/>
          <w:cols w:equalWidth="0" w:num="1">
            <w:col w:w="11080"/>
          </w:cols>
          <w:pgMar w:left="320" w:top="456" w:right="499" w:bottom="1440" w:gutter="0" w:footer="0" w:header="0"/>
        </w:sectPr>
      </w:pPr>
    </w:p>
    <w:p>
      <w:pPr>
        <w:spacing w:after="0" w:line="15" w:lineRule="exact"/>
        <w:rPr>
          <w:sz w:val="20"/>
          <w:szCs w:val="20"/>
          <w:color w:val="auto"/>
        </w:rPr>
      </w:pPr>
    </w:p>
    <w:p>
      <w:pPr>
        <w:ind w:left="340" w:right="120" w:firstLine="527"/>
        <w:spacing w:after="0" w:line="239" w:lineRule="auto"/>
        <w:rPr>
          <w:sz w:val="20"/>
          <w:szCs w:val="20"/>
          <w:color w:val="auto"/>
        </w:rPr>
      </w:pPr>
      <w:r>
        <w:rPr>
          <w:rFonts w:ascii="Arial" w:cs="Arial" w:eastAsia="Arial" w:hAnsi="Arial"/>
          <w:sz w:val="18"/>
          <w:szCs w:val="18"/>
          <w:color w:val="auto"/>
        </w:rPr>
        <w:t>The number of shares of common stock that will be outstanding after this offering is based on stock outstanding as of , and excludes: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common</w:t>
      </w:r>
    </w:p>
    <w:p>
      <w:pPr>
        <w:spacing w:after="0" w:line="325" w:lineRule="exact"/>
        <w:rPr>
          <w:sz w:val="20"/>
          <w:szCs w:val="20"/>
          <w:color w:val="auto"/>
        </w:rPr>
      </w:pPr>
    </w:p>
    <w:p>
      <w:pPr>
        <w:sectPr>
          <w:pgSz w:w="11900" w:h="16838" w:orient="portrait"/>
          <w:cols w:equalWidth="0" w:num="2">
            <w:col w:w="8340" w:space="720"/>
            <w:col w:w="2020"/>
          </w:cols>
          <w:pgMar w:left="320" w:top="456" w:right="499" w:bottom="1440" w:gutter="0" w:footer="0" w:header="0"/>
          <w:type w:val="continuous"/>
        </w:sectPr>
      </w:pPr>
    </w:p>
    <w:p>
      <w:pPr>
        <w:jc w:val="right"/>
        <w:ind w:left="860" w:right="80"/>
        <w:spacing w:after="0" w:line="239" w:lineRule="auto"/>
        <w:rPr>
          <w:sz w:val="20"/>
          <w:szCs w:val="20"/>
          <w:color w:val="auto"/>
        </w:rPr>
      </w:pPr>
      <w:r>
        <w:rPr>
          <w:rFonts w:ascii="Arial" w:cs="Arial" w:eastAsia="Arial" w:hAnsi="Arial"/>
          <w:sz w:val="18"/>
          <w:szCs w:val="18"/>
          <w:color w:val="auto"/>
        </w:rPr>
        <w:t>•        shares of common stock issuable on the exercise of stock options outstanding as of Incentive Plan, or 2016 Plan, with a weighted-average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under our 2016 Equity</w:t>
      </w:r>
    </w:p>
    <w:p>
      <w:pPr>
        <w:spacing w:after="0" w:line="325" w:lineRule="exact"/>
        <w:rPr>
          <w:sz w:val="20"/>
          <w:szCs w:val="20"/>
          <w:color w:val="auto"/>
        </w:rPr>
      </w:pPr>
    </w:p>
    <w:p>
      <w:pPr>
        <w:sectPr>
          <w:pgSz w:w="11900" w:h="16838" w:orient="portrait"/>
          <w:cols w:equalWidth="0" w:num="2">
            <w:col w:w="8320" w:space="720"/>
            <w:col w:w="2040"/>
          </w:cols>
          <w:pgMar w:left="320" w:top="456" w:right="499" w:bottom="1440" w:gutter="0" w:footer="0" w:header="0"/>
          <w:type w:val="continuous"/>
        </w:sectPr>
      </w:pPr>
    </w:p>
    <w:p>
      <w:pPr>
        <w:ind w:left="860"/>
        <w:spacing w:after="0"/>
        <w:tabs>
          <w:tab w:leader="none" w:pos="1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upon the exercise of warrants outstanding as of</w:t>
      </w:r>
    </w:p>
    <w:p>
      <w:pPr>
        <w:spacing w:after="0" w:line="5" w:lineRule="exact"/>
        <w:rPr>
          <w:sz w:val="20"/>
          <w:szCs w:val="20"/>
          <w:color w:val="auto"/>
        </w:rPr>
      </w:pPr>
    </w:p>
    <w:p>
      <w:pPr>
        <w:ind w:left="1060"/>
        <w:spacing w:after="0"/>
        <w:tabs>
          <w:tab w:leader="none" w:pos="328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with a weighted-average</w:t>
      </w:r>
    </w:p>
    <w:p>
      <w:pPr>
        <w:spacing w:after="0" w:line="320" w:lineRule="exact"/>
        <w:rPr>
          <w:sz w:val="20"/>
          <w:szCs w:val="20"/>
          <w:color w:val="auto"/>
        </w:rPr>
      </w:pPr>
    </w:p>
    <w:p>
      <w:pPr>
        <w:sectPr>
          <w:pgSz w:w="11900" w:h="16838" w:orient="portrait"/>
          <w:cols w:equalWidth="0" w:num="2">
            <w:col w:w="8200" w:space="720"/>
            <w:col w:w="2160"/>
          </w:cols>
          <w:pgMar w:left="320" w:top="456" w:right="499" w:bottom="1440" w:gutter="0" w:footer="0" w:header="0"/>
          <w:type w:val="continuous"/>
        </w:sectPr>
      </w:pPr>
    </w:p>
    <w:p>
      <w:pPr>
        <w:ind w:left="1900" w:hanging="1030"/>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Equity Incentive Plan, or 2021 Plan, which</w:t>
      </w:r>
    </w:p>
    <w:p>
      <w:pPr>
        <w:ind w:left="1060" w:right="220"/>
        <w:spacing w:after="0" w:line="236" w:lineRule="auto"/>
        <w:rPr>
          <w:sz w:val="20"/>
          <w:szCs w:val="20"/>
          <w:color w:val="auto"/>
        </w:rPr>
      </w:pPr>
      <w:r>
        <w:rPr>
          <w:rFonts w:ascii="Arial" w:cs="Arial" w:eastAsia="Arial" w:hAnsi="Arial"/>
          <w:sz w:val="18"/>
          <w:szCs w:val="18"/>
          <w:color w:val="auto"/>
        </w:rPr>
        <w:t>will become effective on , 2021, as well as any future increases, including annual automatic evergreen increases, in the number of shares of common stock reserved for issuance under our 2021 Plan and any shares underlying outstanding stock awards granted under our 2016 Plan that expire or are repurchased, forfeited, cancelled or withheld, as more fully described in the section titled “Executive Compensation—Equity Incentive Plans”.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14" w:lineRule="exact"/>
        <w:rPr>
          <w:sz w:val="20"/>
          <w:szCs w:val="20"/>
          <w:color w:val="auto"/>
        </w:rPr>
      </w:pPr>
    </w:p>
    <w:p>
      <w:pPr>
        <w:ind w:left="860"/>
        <w:spacing w:after="0"/>
        <w:tabs>
          <w:tab w:leader="none" w:pos="1740" w:val="left"/>
          <w:tab w:leader="none" w:pos="2540" w:val="left"/>
        </w:tabs>
        <w:rPr>
          <w:sz w:val="20"/>
          <w:szCs w:val="20"/>
          <w:color w:val="auto"/>
        </w:rPr>
      </w:pP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7"/>
          <w:szCs w:val="17"/>
          <w:color w:val="auto"/>
        </w:rPr>
        <w:t>stock split of our common stock to be effected prior to the completion of this offering;</w:t>
      </w:r>
    </w:p>
    <w:p>
      <w:pPr>
        <w:spacing w:after="0" w:line="114" w:lineRule="exact"/>
        <w:rPr>
          <w:sz w:val="20"/>
          <w:szCs w:val="20"/>
          <w:color w:val="auto"/>
        </w:rPr>
      </w:pPr>
    </w:p>
    <w:p>
      <w:pPr>
        <w:ind w:left="1060" w:hanging="1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w:t>
      </w:r>
    </w:p>
    <w:p>
      <w:pPr>
        <w:spacing w:after="0" w:line="113" w:lineRule="exact"/>
        <w:rPr>
          <w:rFonts w:ascii="Arial" w:cs="Arial" w:eastAsia="Arial" w:hAnsi="Arial"/>
          <w:sz w:val="18"/>
          <w:szCs w:val="18"/>
          <w:color w:val="auto"/>
        </w:rPr>
      </w:pPr>
    </w:p>
    <w:p>
      <w:pPr>
        <w:ind w:left="1060" w:right="560" w:hanging="190"/>
        <w:spacing w:after="0" w:line="23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common stock, which will occur immediately prior to on the completion of this offering;</w:t>
      </w:r>
    </w:p>
    <w:p>
      <w:pPr>
        <w:spacing w:after="0" w:line="109" w:lineRule="exact"/>
        <w:rPr>
          <w:rFonts w:ascii="Arial" w:cs="Arial" w:eastAsia="Arial" w:hAnsi="Arial"/>
          <w:sz w:val="18"/>
          <w:szCs w:val="18"/>
          <w:color w:val="auto"/>
        </w:rPr>
      </w:pPr>
    </w:p>
    <w:p>
      <w:pPr>
        <w:jc w:val="both"/>
        <w:ind w:left="1060" w:right="600" w:hanging="190"/>
        <w:spacing w:after="0" w:line="23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common stock issuable upon exercise of warrants, which will occur immediately prior to on the completion of this offering; and</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840" w:type="dxa"/>
            <w:vAlign w:val="bottom"/>
          </w:tcPr>
          <w:p>
            <w:pPr>
              <w:jc w:val="right"/>
              <w:ind w:right="351"/>
              <w:spacing w:after="0"/>
              <w:rPr>
                <w:sz w:val="20"/>
                <w:szCs w:val="20"/>
                <w:color w:val="auto"/>
              </w:rPr>
            </w:pPr>
            <w:r>
              <w:rPr>
                <w:rFonts w:ascii="Arial" w:cs="Arial" w:eastAsia="Arial" w:hAnsi="Arial"/>
                <w:sz w:val="18"/>
                <w:szCs w:val="18"/>
                <w:color w:val="auto"/>
              </w:rPr>
              <w:t>•  no exercise of the underwriters’ option to purchase up to an additional</w:t>
            </w:r>
          </w:p>
        </w:tc>
        <w:tc>
          <w:tcPr>
            <w:tcW w:w="4080" w:type="dxa"/>
            <w:vAlign w:val="bottom"/>
          </w:tcPr>
          <w:p>
            <w:pPr>
              <w:ind w:left="440"/>
              <w:spacing w:after="0"/>
              <w:rPr>
                <w:sz w:val="20"/>
                <w:szCs w:val="20"/>
                <w:color w:val="auto"/>
              </w:rPr>
            </w:pPr>
            <w:r>
              <w:rPr>
                <w:rFonts w:ascii="Arial" w:cs="Arial" w:eastAsia="Arial" w:hAnsi="Arial"/>
                <w:sz w:val="18"/>
                <w:szCs w:val="18"/>
                <w:color w:val="auto"/>
              </w:rPr>
              <w:t>shares of common stock from us in this</w:t>
            </w:r>
          </w:p>
        </w:tc>
      </w:tr>
      <w:tr>
        <w:trPr>
          <w:trHeight w:val="213"/>
        </w:trPr>
        <w:tc>
          <w:tcPr>
            <w:tcW w:w="6840" w:type="dxa"/>
            <w:vAlign w:val="bottom"/>
          </w:tcPr>
          <w:p>
            <w:pPr>
              <w:jc w:val="right"/>
              <w:ind w:right="5211"/>
              <w:spacing w:after="0"/>
              <w:rPr>
                <w:sz w:val="20"/>
                <w:szCs w:val="20"/>
                <w:color w:val="auto"/>
              </w:rPr>
            </w:pPr>
            <w:r>
              <w:rPr>
                <w:rFonts w:ascii="Arial" w:cs="Arial" w:eastAsia="Arial" w:hAnsi="Arial"/>
                <w:sz w:val="18"/>
                <w:szCs w:val="18"/>
                <w:color w:val="auto"/>
              </w:rPr>
              <w:t>offering.</w:t>
            </w:r>
          </w:p>
        </w:tc>
        <w:tc>
          <w:tcPr>
            <w:tcW w:w="4080" w:type="dxa"/>
            <w:vAlign w:val="bottom"/>
          </w:tcPr>
          <w:p>
            <w:pPr>
              <w:spacing w:after="0"/>
              <w:rPr>
                <w:sz w:val="18"/>
                <w:szCs w:val="18"/>
                <w:color w:val="auto"/>
              </w:rPr>
            </w:pPr>
          </w:p>
        </w:tc>
      </w:tr>
      <w:tr>
        <w:trPr>
          <w:trHeight w:val="226"/>
        </w:trPr>
        <w:tc>
          <w:tcPr>
            <w:tcW w:w="684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r>
      <w:tr>
        <w:trPr>
          <w:trHeight w:val="597"/>
        </w:trPr>
        <w:tc>
          <w:tcPr>
            <w:tcW w:w="6840" w:type="dxa"/>
            <w:vAlign w:val="bottom"/>
          </w:tcPr>
          <w:p>
            <w:pPr>
              <w:jc w:val="right"/>
              <w:ind w:right="1191"/>
              <w:spacing w:after="0"/>
              <w:rPr>
                <w:sz w:val="20"/>
                <w:szCs w:val="20"/>
                <w:color w:val="auto"/>
              </w:rPr>
            </w:pPr>
            <w:r>
              <w:rPr>
                <w:rFonts w:ascii="Arial" w:cs="Arial" w:eastAsia="Arial" w:hAnsi="Arial"/>
                <w:sz w:val="18"/>
                <w:szCs w:val="18"/>
                <w:color w:val="auto"/>
              </w:rPr>
              <w:t>11</w:t>
            </w:r>
          </w:p>
        </w:tc>
        <w:tc>
          <w:tcPr>
            <w:tcW w:w="408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2" w:lineRule="exact"/>
        <w:rPr>
          <w:sz w:val="20"/>
          <w:szCs w:val="20"/>
          <w:color w:val="auto"/>
        </w:rPr>
      </w:pPr>
    </w:p>
    <w:p>
      <w:pPr>
        <w:ind w:left="340" w:firstLine="527"/>
        <w:spacing w:after="0" w:line="245" w:lineRule="auto"/>
        <w:rPr>
          <w:sz w:val="20"/>
          <w:szCs w:val="20"/>
          <w:color w:val="auto"/>
        </w:rPr>
      </w:pPr>
      <w:r>
        <w:rPr>
          <w:rFonts w:ascii="Arial" w:cs="Arial" w:eastAsia="Arial" w:hAnsi="Arial"/>
          <w:sz w:val="16"/>
          <w:szCs w:val="16"/>
          <w:color w:val="auto"/>
        </w:rPr>
        <w:t>The summary consolidated statement of operations data for the years ended December 31, 2019 and December 31, 2020 have been derived from our audited consolidated financial statements included elsewhere in this prospectus. We have derived the summary consolidated statements of operations data for the three months ended March 31, 2020 and 2021 and the consolidated balance sheet data as of March 31, 2021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management’s opinion, are necessary to state fairly the information set forth in those consolidated financial statements. Our historical results are not necessarily indicative of the results that may be expected in the future and our results for the three months ended March 31, 2021 are not necessarily indicative of the results that may be expected for the full year ending December 31, 2021 or any other period.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w:t>
      </w:r>
    </w:p>
    <w:p>
      <w:pPr>
        <w:sectPr>
          <w:pgSz w:w="11900" w:h="16838" w:orient="portrait"/>
          <w:cols w:equalWidth="0" w:num="1">
            <w:col w:w="10900"/>
          </w:cols>
          <w:pgMar w:left="320" w:top="456" w:right="679" w:bottom="1440" w:gutter="0" w:footer="0" w:header="0"/>
        </w:sect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p>
      <w:pPr>
        <w:ind w:left="5760"/>
        <w:spacing w:after="0"/>
        <w:tabs>
          <w:tab w:leader="none" w:pos="7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Quarter Ended March 31,</w:t>
      </w:r>
    </w:p>
    <w:p>
      <w:pPr>
        <w:spacing w:after="0" w:line="26"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960" w:space="720"/>
            <w:col w:w="2220"/>
          </w:cols>
          <w:pgMar w:left="320" w:top="456" w:right="679" w:bottom="1440" w:gutter="0" w:footer="0" w:header="0"/>
          <w:type w:val="continuous"/>
        </w:sectPr>
      </w:pPr>
    </w:p>
    <w:tbl>
      <w:tblPr>
        <w:tblLayout w:type="fixed"/>
        <w:tblInd w:w="36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80"/>
              <w:spacing w:after="0" w:line="141" w:lineRule="exact"/>
              <w:rPr>
                <w:sz w:val="20"/>
                <w:szCs w:val="20"/>
                <w:color w:val="auto"/>
              </w:rPr>
            </w:pPr>
            <w:r>
              <w:rPr>
                <w:rFonts w:ascii="Arial" w:cs="Arial" w:eastAsia="Arial" w:hAnsi="Arial"/>
                <w:sz w:val="14"/>
                <w:szCs w:val="14"/>
                <w:b w:val="1"/>
                <w:bCs w:val="1"/>
                <w:color w:val="auto"/>
              </w:rPr>
              <w:t>(unaudited)</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80,228</w:t>
            </w: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141,406</w:t>
            </w:r>
          </w:p>
        </w:tc>
        <w:tc>
          <w:tcPr>
            <w:tcW w:w="2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26,689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21,324</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33,286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5,365</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4,730</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 and support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12,186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2,958</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60" w:type="dxa"/>
            <w:vAlign w:val="bottom"/>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62,502</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13,717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(30,549)</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(29,216)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(8,352)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(10,049)</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(241)</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Total other expenses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(445)</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(255)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(31,085)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Deemed dividend to preferred stockholders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(8,801)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(39,886)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60" w:type="dxa"/>
            <w:vAlign w:val="bottom"/>
          </w:tcPr>
          <w:p>
            <w:pPr>
              <w:spacing w:after="0" w:line="154"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(4.88)</w:t>
            </w:r>
          </w:p>
        </w:tc>
        <w:tc>
          <w:tcPr>
            <w:tcW w:w="6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(1.17)</w:t>
            </w:r>
          </w:p>
        </w:tc>
        <w:tc>
          <w:tcPr>
            <w:tcW w:w="28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Weighted-average shares used to compute net loss per share attributable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to common stockholders, basic and diluted(1)</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6,345,498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7,492,876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7,354,673</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7,924,848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Pro forma earnings per share attributable to common stockholders, basic</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6" w:lineRule="exact"/>
              <w:rPr>
                <w:sz w:val="20"/>
                <w:szCs w:val="20"/>
                <w:color w:val="auto"/>
              </w:rPr>
            </w:pPr>
            <w:r>
              <w:rPr>
                <w:rFonts w:ascii="Arial" w:cs="Arial" w:eastAsia="Arial" w:hAnsi="Arial"/>
                <w:sz w:val="14"/>
                <w:szCs w:val="14"/>
                <w:color w:val="auto"/>
              </w:rPr>
              <w:t>and diluted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Weighted-average shares used to compute pro forma earnings per share</w:t>
      </w:r>
    </w:p>
    <w:p>
      <w:pPr>
        <w:ind w:left="500"/>
        <w:spacing w:after="0"/>
        <w:rPr>
          <w:sz w:val="20"/>
          <w:szCs w:val="20"/>
          <w:color w:val="auto"/>
        </w:rPr>
      </w:pPr>
      <w:r>
        <w:rPr>
          <w:rFonts w:ascii="Arial" w:cs="Arial" w:eastAsia="Arial" w:hAnsi="Arial"/>
          <w:sz w:val="14"/>
          <w:szCs w:val="14"/>
          <w:color w:val="auto"/>
        </w:rPr>
        <w:t>attributable to common stockholders, basic and diluted(1)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68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606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40" w:hanging="312"/>
        <w:spacing w:after="0" w:line="24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4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jc w:val="center"/>
              <w:ind w:right="66"/>
              <w:spacing w:after="0" w:line="141" w:lineRule="exact"/>
              <w:rPr>
                <w:sz w:val="20"/>
                <w:szCs w:val="20"/>
                <w:color w:val="auto"/>
              </w:rPr>
            </w:pPr>
            <w:r>
              <w:rPr>
                <w:rFonts w:ascii="Arial" w:cs="Arial" w:eastAsia="Arial" w:hAnsi="Arial"/>
                <w:sz w:val="14"/>
                <w:szCs w:val="14"/>
                <w:b w:val="1"/>
                <w:bCs w:val="1"/>
                <w:color w:val="auto"/>
              </w:rPr>
              <w:t>Pro</w:t>
            </w:r>
          </w:p>
        </w:tc>
        <w:tc>
          <w:tcPr>
            <w:tcW w:w="1300" w:type="dxa"/>
            <w:vAlign w:val="bottom"/>
          </w:tcPr>
          <w:p>
            <w:pPr>
              <w:jc w:val="center"/>
              <w:ind w:left="43"/>
              <w:spacing w:after="0" w:line="141" w:lineRule="exact"/>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2"/>
                <w:szCs w:val="12"/>
                <w:color w:val="auto"/>
              </w:rPr>
            </w:pPr>
          </w:p>
        </w:tc>
      </w:tr>
      <w:tr>
        <w:trPr>
          <w:trHeight w:val="174"/>
        </w:trPr>
        <w:tc>
          <w:tcPr>
            <w:tcW w:w="4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Actual</w:t>
            </w:r>
          </w:p>
        </w:tc>
        <w:tc>
          <w:tcPr>
            <w:tcW w:w="1420" w:type="dxa"/>
            <w:vAlign w:val="bottom"/>
          </w:tcPr>
          <w:p>
            <w:pPr>
              <w:jc w:val="center"/>
              <w:ind w:right="66"/>
              <w:spacing w:after="0"/>
              <w:rPr>
                <w:sz w:val="20"/>
                <w:szCs w:val="20"/>
                <w:color w:val="auto"/>
              </w:rPr>
            </w:pPr>
            <w:r>
              <w:rPr>
                <w:rFonts w:ascii="Arial" w:cs="Arial" w:eastAsia="Arial" w:hAnsi="Arial"/>
                <w:sz w:val="14"/>
                <w:szCs w:val="14"/>
                <w:b w:val="1"/>
                <w:bCs w:val="1"/>
                <w:color w:val="auto"/>
              </w:rPr>
              <w:t>Forma(1)</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Adjusted(2)(3)</w:t>
            </w:r>
          </w:p>
        </w:tc>
      </w:tr>
      <w:tr>
        <w:trPr>
          <w:trHeight w:val="141"/>
        </w:trPr>
        <w:tc>
          <w:tcPr>
            <w:tcW w:w="4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ind w:left="300"/>
              <w:spacing w:after="0" w:line="141" w:lineRule="exact"/>
              <w:rPr>
                <w:sz w:val="20"/>
                <w:szCs w:val="20"/>
                <w:color w:val="auto"/>
              </w:rPr>
            </w:pPr>
            <w:r>
              <w:rPr>
                <w:rFonts w:ascii="Arial" w:cs="Arial" w:eastAsia="Arial" w:hAnsi="Arial"/>
                <w:sz w:val="14"/>
                <w:szCs w:val="14"/>
                <w:b w:val="1"/>
                <w:bCs w:val="1"/>
                <w:color w:val="auto"/>
              </w:rPr>
              <w:t>(in thousands)</w:t>
            </w:r>
          </w:p>
        </w:tc>
        <w:tc>
          <w:tcPr>
            <w:tcW w:w="1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ind w:left="400"/>
              <w:spacing w:after="0"/>
              <w:rPr>
                <w:sz w:val="20"/>
                <w:szCs w:val="20"/>
                <w:color w:val="auto"/>
              </w:rPr>
            </w:pPr>
            <w:r>
              <w:rPr>
                <w:rFonts w:ascii="Arial" w:cs="Arial" w:eastAsia="Arial" w:hAnsi="Arial"/>
                <w:sz w:val="14"/>
                <w:szCs w:val="14"/>
                <w:b w:val="1"/>
                <w:bCs w:val="1"/>
                <w:color w:val="auto"/>
              </w:rPr>
              <w:t>(unaudited)</w:t>
            </w: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1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76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3000" w:type="dxa"/>
            <w:vAlign w:val="bottom"/>
            <w:gridSpan w:val="2"/>
          </w:tcPr>
          <w:p>
            <w:pPr>
              <w:jc w:val="right"/>
              <w:ind w:right="249"/>
              <w:spacing w:after="0" w:line="201" w:lineRule="exact"/>
              <w:rPr>
                <w:sz w:val="20"/>
                <w:szCs w:val="20"/>
                <w:color w:val="auto"/>
              </w:rPr>
            </w:pPr>
            <w:r>
              <w:rPr>
                <w:rFonts w:ascii="Arial" w:cs="Arial" w:eastAsia="Arial" w:hAnsi="Arial"/>
                <w:sz w:val="18"/>
                <w:szCs w:val="18"/>
                <w:color w:val="auto"/>
              </w:rPr>
              <w:t>$  49,512</w:t>
            </w:r>
          </w:p>
        </w:tc>
        <w:tc>
          <w:tcPr>
            <w:tcW w:w="142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23"/>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assets</w:t>
            </w:r>
          </w:p>
        </w:tc>
        <w:tc>
          <w:tcPr>
            <w:tcW w:w="300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color w:val="auto"/>
              </w:rPr>
              <w:t>84,612</w:t>
            </w: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760" w:type="dxa"/>
            <w:vAlign w:val="bottom"/>
          </w:tcPr>
          <w:p>
            <w:pPr>
              <w:spacing w:after="0" w:line="201" w:lineRule="exact"/>
              <w:rPr>
                <w:sz w:val="20"/>
                <w:szCs w:val="20"/>
                <w:color w:val="auto"/>
              </w:rPr>
            </w:pPr>
            <w:r>
              <w:rPr>
                <w:rFonts w:ascii="Arial" w:cs="Arial" w:eastAsia="Arial" w:hAnsi="Arial"/>
                <w:sz w:val="18"/>
                <w:szCs w:val="18"/>
                <w:color w:val="auto"/>
              </w:rPr>
              <w:t>Working capital(4)</w:t>
            </w:r>
          </w:p>
        </w:tc>
        <w:tc>
          <w:tcPr>
            <w:tcW w:w="3000" w:type="dxa"/>
            <w:vAlign w:val="bottom"/>
            <w:gridSpan w:val="2"/>
          </w:tcPr>
          <w:p>
            <w:pPr>
              <w:jc w:val="right"/>
              <w:ind w:right="249"/>
              <w:spacing w:after="0" w:line="201" w:lineRule="exact"/>
              <w:rPr>
                <w:sz w:val="20"/>
                <w:szCs w:val="20"/>
                <w:color w:val="auto"/>
              </w:rPr>
            </w:pPr>
            <w:r>
              <w:rPr>
                <w:rFonts w:ascii="Arial" w:cs="Arial" w:eastAsia="Arial" w:hAnsi="Arial"/>
                <w:sz w:val="18"/>
                <w:szCs w:val="18"/>
                <w:color w:val="auto"/>
              </w:rPr>
              <w:t>30,319</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3000" w:type="dxa"/>
            <w:vAlign w:val="bottom"/>
            <w:gridSpan w:val="2"/>
            <w:shd w:val="clear" w:color="auto" w:fill="CCEEFF"/>
          </w:tcPr>
          <w:p>
            <w:pPr>
              <w:jc w:val="right"/>
              <w:ind w:right="249"/>
              <w:spacing w:after="0" w:line="201" w:lineRule="exact"/>
              <w:rPr>
                <w:sz w:val="20"/>
                <w:szCs w:val="20"/>
                <w:color w:val="auto"/>
              </w:rPr>
            </w:pPr>
            <w:r>
              <w:rPr>
                <w:rFonts w:ascii="Arial" w:cs="Arial" w:eastAsia="Arial" w:hAnsi="Arial"/>
                <w:sz w:val="18"/>
                <w:szCs w:val="18"/>
                <w:color w:val="auto"/>
              </w:rPr>
              <w:t>160,713</w:t>
            </w: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000" w:type="dxa"/>
            <w:vAlign w:val="bottom"/>
            <w:gridSpan w:val="2"/>
          </w:tcPr>
          <w:p>
            <w:pPr>
              <w:jc w:val="right"/>
              <w:ind w:right="209"/>
              <w:spacing w:after="0"/>
              <w:rPr>
                <w:sz w:val="20"/>
                <w:szCs w:val="20"/>
                <w:color w:val="auto"/>
              </w:rPr>
            </w:pPr>
            <w:r>
              <w:rPr>
                <w:rFonts w:ascii="Arial" w:cs="Arial" w:eastAsia="Arial" w:hAnsi="Arial"/>
                <w:sz w:val="18"/>
                <w:szCs w:val="18"/>
                <w:color w:val="auto"/>
              </w:rPr>
              <w:t>(120,369)</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54" w:lineRule="exact"/>
        <w:rPr>
          <w:sz w:val="20"/>
          <w:szCs w:val="20"/>
          <w:color w:val="auto"/>
        </w:rPr>
      </w:pPr>
    </w:p>
    <w:p>
      <w:pPr>
        <w:ind w:left="860" w:hanging="512"/>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(a) the automatic conversion of all of our outstanding shares of</w:t>
      </w:r>
    </w:p>
    <w:p>
      <w:pPr>
        <w:ind w:left="860" w:right="320"/>
        <w:spacing w:after="0" w:line="246" w:lineRule="auto"/>
        <w:rPr>
          <w:sz w:val="20"/>
          <w:szCs w:val="20"/>
          <w:color w:val="auto"/>
        </w:rPr>
      </w:pPr>
      <w:r>
        <w:rPr>
          <w:rFonts w:ascii="Arial" w:cs="Arial" w:eastAsia="Arial" w:hAnsi="Arial"/>
          <w:sz w:val="17"/>
          <w:szCs w:val="17"/>
          <w:color w:val="auto"/>
        </w:rPr>
        <w:t>convertible preferred stock into shares of common stock in connection with this offering, and (b) the filing and effectiveness of our amended and restated certificate of incorporation that will be in effect on the completion of this offering.</w:t>
      </w:r>
    </w:p>
    <w:p>
      <w:pPr>
        <w:ind w:left="860" w:right="260" w:hanging="512"/>
        <w:spacing w:after="0" w:line="24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as adjusted consolidated balance sheet data reflects (a) the items described in footnote (1) above and (b) our receipt of estimated net proceeds from the sale of shares of common stock that we are offering at an assumed initial public</w:t>
      </w:r>
    </w:p>
    <w:tbl>
      <w:tblPr>
        <w:tblLayout w:type="fixed"/>
        <w:tblInd w:w="340" w:type="dxa"/>
        <w:tblCellMar>
          <w:top w:w="0" w:type="dxa"/>
          <w:left w:w="0" w:type="dxa"/>
          <w:bottom w:w="0" w:type="dxa"/>
          <w:right w:w="0" w:type="dxa"/>
        </w:tblCellMar>
      </w:tblPr>
      <w:tr>
        <w:trPr>
          <w:trHeight w:val="201"/>
        </w:trPr>
        <w:tc>
          <w:tcPr>
            <w:tcW w:w="380" w:type="dxa"/>
            <w:vAlign w:val="bottom"/>
          </w:tcPr>
          <w:p>
            <w:pPr>
              <w:spacing w:after="0"/>
              <w:rPr>
                <w:sz w:val="17"/>
                <w:szCs w:val="17"/>
                <w:color w:val="auto"/>
              </w:rPr>
            </w:pPr>
          </w:p>
        </w:tc>
        <w:tc>
          <w:tcPr>
            <w:tcW w:w="1920" w:type="dxa"/>
            <w:vAlign w:val="bottom"/>
          </w:tcPr>
          <w:p>
            <w:pPr>
              <w:ind w:left="140"/>
              <w:spacing w:after="0" w:line="201" w:lineRule="exact"/>
              <w:rPr>
                <w:sz w:val="20"/>
                <w:szCs w:val="20"/>
                <w:color w:val="auto"/>
              </w:rPr>
            </w:pPr>
            <w:r>
              <w:rPr>
                <w:rFonts w:ascii="Arial" w:cs="Arial" w:eastAsia="Arial" w:hAnsi="Arial"/>
                <w:sz w:val="18"/>
                <w:szCs w:val="18"/>
                <w:color w:val="auto"/>
              </w:rPr>
              <w:t>offering price of $</w:t>
            </w:r>
          </w:p>
        </w:tc>
        <w:tc>
          <w:tcPr>
            <w:tcW w:w="8160" w:type="dxa"/>
            <w:vAlign w:val="bottom"/>
            <w:gridSpan w:val="4"/>
          </w:tcPr>
          <w:p>
            <w:pPr>
              <w:ind w:left="400"/>
              <w:spacing w:after="0" w:line="201" w:lineRule="exact"/>
              <w:rPr>
                <w:sz w:val="20"/>
                <w:szCs w:val="20"/>
                <w:color w:val="auto"/>
              </w:rPr>
            </w:pPr>
            <w:r>
              <w:rPr>
                <w:rFonts w:ascii="Arial" w:cs="Arial" w:eastAsia="Arial" w:hAnsi="Arial"/>
                <w:sz w:val="18"/>
                <w:szCs w:val="18"/>
                <w:color w:val="auto"/>
                <w:w w:val="98"/>
              </w:rPr>
              <w:t>per share, the midpoint of the estimated price range set forth on the cover page of this prospectus,</w:t>
            </w:r>
          </w:p>
        </w:tc>
      </w:tr>
      <w:tr>
        <w:trPr>
          <w:trHeight w:val="201"/>
        </w:trPr>
        <w:tc>
          <w:tcPr>
            <w:tcW w:w="380" w:type="dxa"/>
            <w:vAlign w:val="bottom"/>
          </w:tcPr>
          <w:p>
            <w:pPr>
              <w:spacing w:after="0"/>
              <w:rPr>
                <w:sz w:val="17"/>
                <w:szCs w:val="17"/>
                <w:color w:val="auto"/>
              </w:rPr>
            </w:pPr>
          </w:p>
        </w:tc>
        <w:tc>
          <w:tcPr>
            <w:tcW w:w="980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after deducting the estimated underwriting discounts and commissions and estimated offering expenses.</w:t>
            </w:r>
          </w:p>
        </w:tc>
        <w:tc>
          <w:tcPr>
            <w:tcW w:w="280" w:type="dxa"/>
            <w:vAlign w:val="bottom"/>
          </w:tcPr>
          <w:p>
            <w:pPr>
              <w:spacing w:after="0"/>
              <w:rPr>
                <w:sz w:val="17"/>
                <w:szCs w:val="17"/>
                <w:color w:val="auto"/>
              </w:rPr>
            </w:pPr>
          </w:p>
        </w:tc>
      </w:tr>
      <w:tr>
        <w:trPr>
          <w:trHeight w:val="201"/>
        </w:trPr>
        <w:tc>
          <w:tcPr>
            <w:tcW w:w="380" w:type="dxa"/>
            <w:vAlign w:val="bottom"/>
          </w:tcPr>
          <w:p>
            <w:pPr>
              <w:jc w:val="right"/>
              <w:ind w:right="71"/>
              <w:spacing w:after="0" w:line="201" w:lineRule="exact"/>
              <w:rPr>
                <w:sz w:val="20"/>
                <w:szCs w:val="20"/>
                <w:color w:val="auto"/>
              </w:rPr>
            </w:pPr>
            <w:r>
              <w:rPr>
                <w:rFonts w:ascii="Arial" w:cs="Arial" w:eastAsia="Arial" w:hAnsi="Arial"/>
                <w:sz w:val="18"/>
                <w:szCs w:val="18"/>
                <w:color w:val="auto"/>
                <w:w w:val="90"/>
              </w:rPr>
              <w:t>(3)</w:t>
            </w:r>
          </w:p>
        </w:tc>
        <w:tc>
          <w:tcPr>
            <w:tcW w:w="644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A $1.00 increase (decrease) in the assumed initial public offering price of $</w:t>
            </w:r>
          </w:p>
        </w:tc>
        <w:tc>
          <w:tcPr>
            <w:tcW w:w="36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per share, the midpoint of the estimated</w:t>
            </w:r>
          </w:p>
        </w:tc>
      </w:tr>
      <w:tr>
        <w:trPr>
          <w:trHeight w:val="201"/>
        </w:trPr>
        <w:tc>
          <w:tcPr>
            <w:tcW w:w="380" w:type="dxa"/>
            <w:vAlign w:val="bottom"/>
          </w:tcPr>
          <w:p>
            <w:pPr>
              <w:spacing w:after="0"/>
              <w:rPr>
                <w:sz w:val="17"/>
                <w:szCs w:val="17"/>
                <w:color w:val="auto"/>
              </w:rPr>
            </w:pPr>
          </w:p>
        </w:tc>
        <w:tc>
          <w:tcPr>
            <w:tcW w:w="980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price range set forth on the cover page of this prospectus, would increase (decrease) each of cash, total assets, working</w:t>
            </w:r>
          </w:p>
        </w:tc>
        <w:tc>
          <w:tcPr>
            <w:tcW w:w="28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38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capital and total stockholders’ equity by $</w:t>
            </w:r>
          </w:p>
        </w:tc>
        <w:tc>
          <w:tcPr>
            <w:tcW w:w="628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million, assuming that the number of shares offered by us, as set forth on</w:t>
            </w:r>
          </w:p>
        </w:tc>
      </w:tr>
      <w:tr>
        <w:trPr>
          <w:trHeight w:val="201"/>
        </w:trPr>
        <w:tc>
          <w:tcPr>
            <w:tcW w:w="380" w:type="dxa"/>
            <w:vAlign w:val="bottom"/>
          </w:tcPr>
          <w:p>
            <w:pPr>
              <w:spacing w:after="0"/>
              <w:rPr>
                <w:sz w:val="17"/>
                <w:szCs w:val="17"/>
                <w:color w:val="auto"/>
              </w:rPr>
            </w:pPr>
          </w:p>
        </w:tc>
        <w:tc>
          <w:tcPr>
            <w:tcW w:w="980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the cover page of this prospectus, remains the same, and after deducting the estimated underwriting discounts and</w:t>
            </w:r>
          </w:p>
        </w:tc>
        <w:tc>
          <w:tcPr>
            <w:tcW w:w="28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9800" w:type="dxa"/>
            <w:vAlign w:val="bottom"/>
            <w:gridSpan w:val="4"/>
          </w:tcPr>
          <w:p>
            <w:pPr>
              <w:ind w:left="140"/>
              <w:spacing w:after="0" w:line="201" w:lineRule="exact"/>
              <w:rPr>
                <w:sz w:val="20"/>
                <w:szCs w:val="20"/>
                <w:color w:val="auto"/>
              </w:rPr>
            </w:pPr>
            <w:r>
              <w:rPr>
                <w:rFonts w:ascii="Arial" w:cs="Arial" w:eastAsia="Arial" w:hAnsi="Arial"/>
                <w:sz w:val="18"/>
                <w:szCs w:val="18"/>
                <w:color w:val="auto"/>
              </w:rPr>
              <w:t>commissions and estimated offering expenses. Similarly, each increase (decrease) of 1,000,000 shares in the number of</w:t>
            </w:r>
          </w:p>
        </w:tc>
        <w:tc>
          <w:tcPr>
            <w:tcW w:w="28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9800" w:type="dxa"/>
            <w:vAlign w:val="bottom"/>
            <w:gridSpan w:val="4"/>
          </w:tcPr>
          <w:p>
            <w:pPr>
              <w:ind w:left="140"/>
              <w:spacing w:after="0" w:line="201" w:lineRule="exact"/>
              <w:rPr>
                <w:sz w:val="20"/>
                <w:szCs w:val="20"/>
                <w:color w:val="auto"/>
              </w:rPr>
            </w:pPr>
            <w:r>
              <w:rPr>
                <w:rFonts w:ascii="Arial" w:cs="Arial" w:eastAsia="Arial" w:hAnsi="Arial"/>
                <w:sz w:val="18"/>
                <w:szCs w:val="18"/>
                <w:color w:val="auto"/>
                <w:w w:val="98"/>
              </w:rPr>
              <w:t>shares of common stock offered by us would increase (decrease) each of cash and cash equivalents, total assets, working</w:t>
            </w:r>
          </w:p>
        </w:tc>
        <w:tc>
          <w:tcPr>
            <w:tcW w:w="28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38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capital and total stockholders’ equity by $</w:t>
            </w:r>
          </w:p>
        </w:tc>
        <w:tc>
          <w:tcPr>
            <w:tcW w:w="60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million, assuming the assumed initial public offering price of $</w:t>
            </w:r>
          </w:p>
        </w:tc>
        <w:tc>
          <w:tcPr>
            <w:tcW w:w="280" w:type="dxa"/>
            <w:vAlign w:val="bottom"/>
          </w:tcPr>
          <w:p>
            <w:pPr>
              <w:ind w:left="20"/>
              <w:spacing w:after="0" w:line="201" w:lineRule="exact"/>
              <w:rPr>
                <w:sz w:val="20"/>
                <w:szCs w:val="20"/>
                <w:color w:val="auto"/>
              </w:rPr>
            </w:pPr>
            <w:r>
              <w:rPr>
                <w:rFonts w:ascii="Arial" w:cs="Arial" w:eastAsia="Arial" w:hAnsi="Arial"/>
                <w:sz w:val="18"/>
                <w:szCs w:val="18"/>
                <w:color w:val="auto"/>
                <w:w w:val="92"/>
              </w:rPr>
              <w:t>per</w:t>
            </w:r>
          </w:p>
        </w:tc>
      </w:tr>
    </w:tbl>
    <w:p>
      <w:pPr>
        <w:ind w:left="860" w:right="380"/>
        <w:spacing w:after="0" w:line="232" w:lineRule="auto"/>
        <w:rPr>
          <w:sz w:val="20"/>
          <w:szCs w:val="20"/>
          <w:color w:val="auto"/>
        </w:rPr>
      </w:pPr>
      <w:r>
        <w:rPr>
          <w:rFonts w:ascii="Arial" w:cs="Arial" w:eastAsia="Arial" w:hAnsi="Arial"/>
          <w:sz w:val="18"/>
          <w:szCs w:val="18"/>
          <w:color w:val="auto"/>
        </w:rPr>
        <w:t>share of common stock remains the same, and after deducting the estimated underwriting discounts and commissions and estimated offering expenses.</w:t>
      </w:r>
    </w:p>
    <w:p>
      <w:pPr>
        <w:spacing w:after="0" w:line="1" w:lineRule="exact"/>
        <w:rPr>
          <w:sz w:val="20"/>
          <w:szCs w:val="20"/>
          <w:color w:val="auto"/>
        </w:rPr>
      </w:pPr>
    </w:p>
    <w:p>
      <w:pPr>
        <w:ind w:left="860" w:hanging="512"/>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r>
      <w:tr>
        <w:trPr>
          <w:trHeight w:val="154"/>
        </w:trPr>
        <w:tc>
          <w:tcPr>
            <w:tcW w:w="5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80" w:type="dxa"/>
            <w:vAlign w:val="bottom"/>
            <w:gridSpan w:val="2"/>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81"/>
        </w:trPr>
        <w:tc>
          <w:tcPr>
            <w:tcW w:w="58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Key Operational and Business Metrics(1):</w:t>
            </w:r>
          </w:p>
        </w:tc>
        <w:tc>
          <w:tcPr>
            <w:tcW w:w="1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Active Buyers</w:t>
            </w:r>
          </w:p>
        </w:tc>
        <w:tc>
          <w:tcPr>
            <w:tcW w:w="224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11,527</w:t>
            </w:r>
          </w:p>
        </w:tc>
        <w:tc>
          <w:tcPr>
            <w:tcW w:w="132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21,128</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24,160</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from Existing Accounts</w:t>
            </w:r>
          </w:p>
        </w:tc>
        <w:tc>
          <w:tcPr>
            <w:tcW w:w="224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w:t>
            </w:r>
          </w:p>
        </w:tc>
        <w:tc>
          <w:tcPr>
            <w:tcW w:w="132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95%</w:t>
            </w:r>
          </w:p>
        </w:tc>
        <w:tc>
          <w:tcPr>
            <w:tcW w:w="11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w:t>
            </w: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Accounts with Last Twelve-Month Spend of at least $50,000</w:t>
            </w:r>
          </w:p>
        </w:tc>
        <w:tc>
          <w:tcPr>
            <w:tcW w:w="1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266</w:t>
            </w:r>
          </w:p>
        </w:tc>
        <w:tc>
          <w:tcPr>
            <w:tcW w:w="36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389</w:t>
            </w:r>
          </w:p>
        </w:tc>
        <w:tc>
          <w:tcPr>
            <w:tcW w:w="38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EBITDA(2)</w:t>
            </w:r>
          </w:p>
        </w:tc>
        <w:tc>
          <w:tcPr>
            <w:tcW w:w="224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$(26,439)</w:t>
            </w:r>
          </w:p>
        </w:tc>
        <w:tc>
          <w:tcPr>
            <w:tcW w:w="132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$(23,498)</w:t>
            </w:r>
          </w:p>
        </w:tc>
        <w:tc>
          <w:tcPr>
            <w:tcW w:w="11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(8,810)</w:t>
            </w:r>
          </w:p>
        </w:tc>
      </w:tr>
    </w:tbl>
    <w:p>
      <w:pPr>
        <w:spacing w:after="0" w:line="186" w:lineRule="exact"/>
        <w:rPr>
          <w:sz w:val="20"/>
          <w:szCs w:val="20"/>
          <w:color w:val="auto"/>
        </w:rPr>
      </w:pPr>
    </w:p>
    <w:p>
      <w:pPr>
        <w:ind w:left="860" w:right="180" w:hanging="512"/>
        <w:spacing w:after="0" w:line="236"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shown for Active Buyers and Accounts with Last Twelve-Month Spend of at least $50,000 are as of the years ended December 31 and March 31, and Percentage of Revenue from Existing Accounts is presented for the quarters ended December 31 and March 31. Adjusted EBITDA is presented for the years ended December 31 and the quarter ended March 31. See the section titled “Management’s Discussion and Analysis of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105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41059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Operations—Key Operational and Business Metrics” included elsewhere in this prospectus for our definitions of these metrics.</w:t>
      </w:r>
    </w:p>
    <w:p>
      <w:pPr>
        <w:ind w:left="860" w:right="300" w:hanging="512"/>
        <w:spacing w:after="0" w:line="236"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is a non-GAAP financial measure. We define Adjusted EBITDA as net income (loss), adjusted to exclude interest and other expense, depreciation and amortization, stock-based compensation expense and goodwill and intangible asset impairment charges. Adjusted EBITDA is a performance measure that we use to assess our operating performance and the operating leverage in our business.</w:t>
      </w:r>
    </w:p>
    <w:p>
      <w:pPr>
        <w:spacing w:after="0" w:line="95" w:lineRule="exact"/>
        <w:rPr>
          <w:rFonts w:ascii="Arial" w:cs="Arial" w:eastAsia="Arial" w:hAnsi="Arial"/>
          <w:sz w:val="18"/>
          <w:szCs w:val="18"/>
          <w:color w:val="auto"/>
        </w:rPr>
      </w:pPr>
    </w:p>
    <w:p>
      <w:pPr>
        <w:ind w:left="880" w:right="280"/>
        <w:spacing w:after="0" w:line="234" w:lineRule="auto"/>
        <w:rPr>
          <w:rFonts w:ascii="Arial" w:cs="Arial" w:eastAsia="Arial" w:hAnsi="Arial"/>
          <w:sz w:val="18"/>
          <w:szCs w:val="18"/>
          <w:color w:val="auto"/>
        </w:rPr>
      </w:pPr>
      <w:r>
        <w:rPr>
          <w:rFonts w:ascii="Arial" w:cs="Arial" w:eastAsia="Arial" w:hAnsi="Arial"/>
          <w:sz w:val="18"/>
          <w:szCs w:val="18"/>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98" w:lineRule="exact"/>
        <w:rPr>
          <w:rFonts w:ascii="Arial" w:cs="Arial" w:eastAsia="Arial" w:hAnsi="Arial"/>
          <w:sz w:val="18"/>
          <w:szCs w:val="18"/>
          <w:color w:val="auto"/>
        </w:rPr>
      </w:pPr>
    </w:p>
    <w:p>
      <w:pPr>
        <w:ind w:left="880" w:right="340"/>
        <w:spacing w:after="0" w:line="246" w:lineRule="auto"/>
        <w:rPr>
          <w:rFonts w:ascii="Arial" w:cs="Arial" w:eastAsia="Arial" w:hAnsi="Arial"/>
          <w:sz w:val="18"/>
          <w:szCs w:val="18"/>
          <w:color w:val="auto"/>
        </w:rPr>
      </w:pPr>
      <w:r>
        <w:rPr>
          <w:rFonts w:ascii="Arial" w:cs="Arial" w:eastAsia="Arial" w:hAnsi="Arial"/>
          <w:sz w:val="17"/>
          <w:szCs w:val="17"/>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w:t>
      </w:r>
    </w:p>
    <w:p>
      <w:pPr>
        <w:ind w:left="880"/>
        <w:spacing w:after="0"/>
        <w:rPr>
          <w:rFonts w:ascii="Arial" w:cs="Arial" w:eastAsia="Arial" w:hAnsi="Arial"/>
          <w:sz w:val="18"/>
          <w:szCs w:val="18"/>
          <w:color w:val="auto"/>
        </w:rPr>
      </w:pPr>
      <w:r>
        <w:rPr>
          <w:rFonts w:ascii="Arial" w:cs="Arial" w:eastAsia="Arial" w:hAnsi="Arial"/>
          <w:sz w:val="18"/>
          <w:szCs w:val="18"/>
          <w:color w:val="auto"/>
        </w:rPr>
        <w:t>EBITDA: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7"/>
          </w:tcPr>
          <w:p>
            <w:pPr>
              <w:ind w:left="1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54"/>
        </w:trPr>
        <w:tc>
          <w:tcPr>
            <w:tcW w:w="2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5"/>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8"/>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Adjusted EBITDA Reconciliation: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(31,085)</w:t>
            </w:r>
          </w:p>
        </w:tc>
        <w:tc>
          <w:tcPr>
            <w:tcW w:w="5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(8,607)</w:t>
            </w:r>
          </w:p>
        </w:tc>
        <w:tc>
          <w:tcPr>
            <w:tcW w:w="4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(10,501)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(deduct):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tcPr>
          <w:p>
            <w:pPr>
              <w:ind w:left="360"/>
              <w:spacing w:after="0" w:line="201" w:lineRule="exact"/>
              <w:rPr>
                <w:sz w:val="20"/>
                <w:szCs w:val="20"/>
                <w:color w:val="auto"/>
              </w:rPr>
            </w:pPr>
            <w:r>
              <w:rPr>
                <w:rFonts w:ascii="Arial" w:cs="Arial" w:eastAsia="Arial" w:hAnsi="Arial"/>
                <w:sz w:val="18"/>
                <w:szCs w:val="18"/>
                <w:color w:val="auto"/>
              </w:rPr>
              <w:t>Interest and other expense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445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1,869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255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1,847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tcPr>
          <w:p>
            <w:pPr>
              <w:ind w:left="360"/>
              <w:spacing w:after="0" w:line="201" w:lineRule="exact"/>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544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1,006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148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Impairment of goodwill and intangible assets</w:t>
            </w:r>
          </w:p>
        </w:tc>
        <w:tc>
          <w:tcPr>
            <w:tcW w:w="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1,719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1,592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Adjusted EBITDA</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(26,439)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(23,498)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(7,515)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475"/>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Our Business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have incurred net losses since our inception in 2013. We incurred a net loss of $31.1 million in 2020 and $31.0 million in 2019, and a net loss of $10.5 million for the three months ended March 31, 2021, and we expect to incur net losses for the foreseeable future. As a result of these losses, as of March 31, 2021, we had an accumulated deficit of $122.5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During the three months ended March 31, 2021 and March 31, 2020, our revenue was $43.9 million and $26.7 million, respectively, representing a growth rate of 65%.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common stock could be adversely affected.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adversely affected.</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2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09" w:lineRule="exact"/>
        <w:rPr>
          <w:sz w:val="20"/>
          <w:szCs w:val="20"/>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25" w:lineRule="exact"/>
        <w:rPr>
          <w:rFonts w:ascii="Arial" w:cs="Arial" w:eastAsia="Arial" w:hAnsi="Arial"/>
          <w:sz w:val="17"/>
          <w:szCs w:val="17"/>
          <w:color w:val="auto"/>
        </w:rPr>
      </w:pPr>
    </w:p>
    <w:p>
      <w:pPr>
        <w:ind w:left="920" w:right="12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109" w:lineRule="exact"/>
        <w:rPr>
          <w:rFonts w:ascii="Arial" w:cs="Arial" w:eastAsia="Arial" w:hAnsi="Arial"/>
          <w:sz w:val="18"/>
          <w:szCs w:val="18"/>
          <w:color w:val="auto"/>
        </w:rPr>
      </w:pPr>
    </w:p>
    <w:p>
      <w:pPr>
        <w:ind w:left="5520" w:right="120" w:hanging="4818"/>
        <w:spacing w:after="0" w:line="410" w:lineRule="auto"/>
        <w:tabs>
          <w:tab w:leader="none" w:pos="9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 16</w:t>
      </w:r>
    </w:p>
    <w:p>
      <w:pPr>
        <w:sectPr>
          <w:pgSz w:w="11900" w:h="16838" w:orient="portrait"/>
          <w:cols w:equalWidth="0" w:num="1">
            <w:col w:w="11020"/>
          </w:cols>
          <w:pgMar w:left="320" w:top="456"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4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3" w:lineRule="exact"/>
        <w:rPr>
          <w:rFonts w:ascii="Arial" w:cs="Arial" w:eastAsia="Arial" w:hAnsi="Arial"/>
          <w:sz w:val="18"/>
          <w:szCs w:val="18"/>
          <w:color w:val="auto"/>
        </w:rPr>
      </w:pPr>
    </w:p>
    <w:p>
      <w:pPr>
        <w:ind w:left="920" w:right="42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109" w:lineRule="exact"/>
        <w:rPr>
          <w:rFonts w:ascii="Arial" w:cs="Arial" w:eastAsia="Arial" w:hAnsi="Arial"/>
          <w:sz w:val="18"/>
          <w:szCs w:val="18"/>
          <w:color w:val="auto"/>
        </w:rPr>
      </w:pPr>
    </w:p>
    <w:p>
      <w:pPr>
        <w:ind w:left="920" w:right="20" w:hanging="218"/>
        <w:spacing w:after="0" w:line="236"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0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87"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96"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89"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20" w:firstLine="546"/>
        <w:spacing w:after="0" w:line="237" w:lineRule="auto"/>
        <w:rPr>
          <w:sz w:val="20"/>
          <w:szCs w:val="20"/>
          <w:color w:val="auto"/>
        </w:rPr>
      </w:pPr>
      <w:r>
        <w:rPr>
          <w:rFonts w:ascii="Arial" w:cs="Arial" w:eastAsia="Arial" w:hAnsi="Arial"/>
          <w:sz w:val="18"/>
          <w:szCs w:val="18"/>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210" w:lineRule="exact"/>
        <w:rPr>
          <w:sz w:val="20"/>
          <w:szCs w:val="20"/>
          <w:color w:val="auto"/>
        </w:rPr>
      </w:pPr>
    </w:p>
    <w:p>
      <w:pPr>
        <w:ind w:left="160" w:right="20" w:firstLine="546"/>
        <w:spacing w:after="0" w:line="249" w:lineRule="auto"/>
        <w:rPr>
          <w:sz w:val="20"/>
          <w:szCs w:val="20"/>
          <w:color w:val="auto"/>
        </w:rPr>
      </w:pPr>
      <w:r>
        <w:rPr>
          <w:rFonts w:ascii="Arial" w:cs="Arial" w:eastAsia="Arial" w:hAnsi="Arial"/>
          <w:sz w:val="17"/>
          <w:szCs w:val="17"/>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4"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5"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9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87"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20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320" w:top="456"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209" w:lineRule="exact"/>
        <w:rPr>
          <w:sz w:val="20"/>
          <w:szCs w:val="20"/>
          <w:color w:val="auto"/>
        </w:rPr>
      </w:pPr>
    </w:p>
    <w:p>
      <w:pPr>
        <w:ind w:left="160" w:right="120" w:firstLine="546"/>
        <w:spacing w:after="0" w:line="233" w:lineRule="auto"/>
        <w:rPr>
          <w:sz w:val="20"/>
          <w:szCs w:val="20"/>
          <w:color w:val="auto"/>
        </w:rPr>
      </w:pPr>
      <w:r>
        <w:rPr>
          <w:rFonts w:ascii="Arial" w:cs="Arial" w:eastAsia="Arial" w:hAnsi="Arial"/>
          <w:sz w:val="18"/>
          <w:szCs w:val="18"/>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88"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7"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200"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202" w:lineRule="exact"/>
        <w:rPr>
          <w:sz w:val="20"/>
          <w:szCs w:val="20"/>
          <w:color w:val="auto"/>
        </w:rPr>
      </w:pPr>
    </w:p>
    <w:p>
      <w:pPr>
        <w:ind w:left="160" w:right="40" w:firstLine="546"/>
        <w:spacing w:after="0" w:line="232" w:lineRule="auto"/>
        <w:rPr>
          <w:sz w:val="20"/>
          <w:szCs w:val="20"/>
          <w:color w:val="auto"/>
        </w:rPr>
      </w:pPr>
      <w:r>
        <w:rPr>
          <w:rFonts w:ascii="Arial" w:cs="Arial" w:eastAsia="Arial" w:hAnsi="Arial"/>
          <w:sz w:val="18"/>
          <w:szCs w:val="18"/>
          <w:color w:val="auto"/>
        </w:rPr>
        <w:t>Additionally, our third-party payment processor requires us to comply with payment card network operating rules, which are set and interpreted by the payment card networks. The payment card networks could adopt new operating rules or</w:t>
      </w:r>
    </w:p>
    <w:p>
      <w:pPr>
        <w:spacing w:after="0" w:line="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289"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97"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80"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11" w:lineRule="exact"/>
        <w:rPr>
          <w:sz w:val="20"/>
          <w:szCs w:val="20"/>
          <w:color w:val="auto"/>
        </w:rPr>
      </w:pPr>
    </w:p>
    <w:p>
      <w:pPr>
        <w:ind w:left="920" w:right="18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109" w:lineRule="exact"/>
        <w:rPr>
          <w:rFonts w:ascii="Arial" w:cs="Arial" w:eastAsia="Arial" w:hAnsi="Arial"/>
          <w:sz w:val="18"/>
          <w:szCs w:val="18"/>
          <w:color w:val="auto"/>
        </w:rPr>
      </w:pPr>
    </w:p>
    <w:p>
      <w:pPr>
        <w:ind w:left="920" w:right="240" w:hanging="218"/>
        <w:spacing w:after="0" w:line="268"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5" w:lineRule="exact"/>
        <w:rPr>
          <w:rFonts w:ascii="Arial" w:cs="Arial" w:eastAsia="Arial" w:hAnsi="Arial"/>
          <w:sz w:val="17"/>
          <w:szCs w:val="17"/>
          <w:color w:val="auto"/>
        </w:rPr>
      </w:pPr>
    </w:p>
    <w:p>
      <w:pPr>
        <w:ind w:left="920" w:right="620" w:hanging="218"/>
        <w:spacing w:after="0" w:line="23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108"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109" w:lineRule="exact"/>
        <w:rPr>
          <w:rFonts w:ascii="Arial" w:cs="Arial" w:eastAsia="Arial" w:hAnsi="Arial"/>
          <w:sz w:val="18"/>
          <w:szCs w:val="18"/>
          <w:color w:val="auto"/>
        </w:rPr>
      </w:pPr>
    </w:p>
    <w:p>
      <w:pPr>
        <w:ind w:left="920" w:right="120" w:hanging="218"/>
        <w:spacing w:after="0" w:line="23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87" w:lineRule="exact"/>
        <w:rPr>
          <w:sz w:val="20"/>
          <w:szCs w:val="20"/>
          <w:color w:val="auto"/>
        </w:rPr>
      </w:pPr>
    </w:p>
    <w:p>
      <w:pPr>
        <w:ind w:left="160" w:right="200"/>
        <w:spacing w:after="0" w:line="270"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71"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206"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2"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210"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8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87"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203" w:lineRule="exact"/>
        <w:rPr>
          <w:sz w:val="20"/>
          <w:szCs w:val="20"/>
          <w:color w:val="auto"/>
        </w:rPr>
      </w:pPr>
    </w:p>
    <w:p>
      <w:pPr>
        <w:ind w:left="160" w:right="180" w:firstLine="546"/>
        <w:spacing w:after="0" w:line="248"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6"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the exit of the United Kingdom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210"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Additionally, California passed the California Consumer Privacy Act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201"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6" w:right="5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6"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87"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10"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109" w:lineRule="exact"/>
        <w:rPr>
          <w:sz w:val="20"/>
          <w:szCs w:val="20"/>
          <w:color w:val="auto"/>
        </w:rPr>
      </w:pPr>
    </w:p>
    <w:p>
      <w:pPr>
        <w:ind w:left="920" w:right="16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fraud;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3" w:lineRule="exact"/>
        <w:rPr>
          <w:rFonts w:ascii="Arial" w:cs="Arial" w:eastAsia="Arial" w:hAnsi="Arial"/>
          <w:sz w:val="18"/>
          <w:szCs w:val="18"/>
          <w:color w:val="auto"/>
        </w:rPr>
      </w:pPr>
    </w:p>
    <w:p>
      <w:pPr>
        <w:ind w:left="920" w:right="380" w:hanging="218"/>
        <w:spacing w:after="0" w:line="23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13" w:lineRule="exact"/>
        <w:rPr>
          <w:rFonts w:ascii="Arial" w:cs="Arial" w:eastAsia="Arial" w:hAnsi="Arial"/>
          <w:sz w:val="18"/>
          <w:szCs w:val="18"/>
          <w:color w:val="auto"/>
        </w:rPr>
      </w:pPr>
    </w:p>
    <w:p>
      <w:pPr>
        <w:ind w:left="920" w:right="4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6"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109" w:lineRule="exact"/>
        <w:rPr>
          <w:rFonts w:ascii="Arial" w:cs="Arial" w:eastAsia="Arial" w:hAnsi="Arial"/>
          <w:sz w:val="18"/>
          <w:szCs w:val="18"/>
          <w:color w:val="auto"/>
        </w:rPr>
      </w:pPr>
    </w:p>
    <w:p>
      <w:pPr>
        <w:ind w:left="920" w:right="70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109" w:lineRule="exact"/>
        <w:rPr>
          <w:sz w:val="20"/>
          <w:szCs w:val="20"/>
          <w:color w:val="auto"/>
        </w:rPr>
      </w:pPr>
    </w:p>
    <w:p>
      <w:pPr>
        <w:ind w:left="920" w:right="40" w:hanging="218"/>
        <w:spacing w:after="0" w:line="23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6"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288"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United States and internationally, many of which are evolving.</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21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9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8"/>
          <w:szCs w:val="18"/>
          <w:b w:val="1"/>
          <w:bCs w:val="1"/>
          <w:color w:val="auto"/>
        </w:rPr>
        <w:t>.</w:t>
      </w:r>
    </w:p>
    <w:p>
      <w:pPr>
        <w:spacing w:after="0" w:line="87"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w:t>
      </w:r>
    </w:p>
    <w:p>
      <w:pPr>
        <w:ind w:left="160"/>
        <w:spacing w:after="0" w:line="232" w:lineRule="auto"/>
        <w:rPr>
          <w:sz w:val="20"/>
          <w:szCs w:val="20"/>
          <w:color w:val="auto"/>
        </w:rPr>
      </w:pPr>
      <w:r>
        <w:rPr>
          <w:rFonts w:ascii="Arial" w:cs="Arial" w:eastAsia="Arial" w:hAnsi="Arial"/>
          <w:sz w:val="18"/>
          <w:szCs w:val="18"/>
          <w:color w:val="auto"/>
        </w:rPr>
        <w:t>Foreign Corrupt Practices Act (“FCPA”), export controls and economic sanctions programs, including those administered by the</w:t>
      </w:r>
    </w:p>
    <w:p>
      <w:pPr>
        <w:ind w:left="160"/>
        <w:spacing w:after="0" w:line="233" w:lineRule="auto"/>
        <w:rPr>
          <w:sz w:val="20"/>
          <w:szCs w:val="20"/>
          <w:color w:val="auto"/>
        </w:rPr>
      </w:pPr>
      <w:r>
        <w:rPr>
          <w:rFonts w:ascii="Arial" w:cs="Arial" w:eastAsia="Arial" w:hAnsi="Arial"/>
          <w:sz w:val="18"/>
          <w:szCs w:val="18"/>
          <w:color w:val="auto"/>
        </w:rPr>
        <w:t>U.S. Treasury Department’s Office of Foreign Assets Control (“OFAC”), the State Department’s Directorate of Defense Trade Controls</w:t>
      </w:r>
    </w:p>
    <w:p>
      <w:pPr>
        <w:ind w:left="160"/>
        <w:spacing w:after="0" w:line="232" w:lineRule="auto"/>
        <w:rPr>
          <w:sz w:val="20"/>
          <w:szCs w:val="20"/>
          <w:color w:val="auto"/>
        </w:rPr>
      </w:pPr>
      <w:r>
        <w:rPr>
          <w:rFonts w:ascii="Arial" w:cs="Arial" w:eastAsia="Arial" w:hAnsi="Arial"/>
          <w:sz w:val="18"/>
          <w:szCs w:val="18"/>
          <w:color w:val="auto"/>
        </w:rPr>
        <w:t>(“DDTC”) and the Bureau of Industry and Security (“BIS”) of the Department of Commerce. As a result of doing business in foreign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countries and with foreign customers, we are exposed to a heightened risk of violating anti-corruption and trade control laws and sanctions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regulations.</w:t>
      </w:r>
    </w:p>
    <w:p>
      <w:pPr>
        <w:spacing w:after="0" w:line="208" w:lineRule="exact"/>
        <w:rPr>
          <w:sz w:val="20"/>
          <w:szCs w:val="20"/>
          <w:color w:val="auto"/>
        </w:rPr>
      </w:pPr>
    </w:p>
    <w:p>
      <w:pPr>
        <w:ind w:left="160" w:right="580" w:firstLine="546"/>
        <w:spacing w:after="0" w:line="239"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202"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20"/>
        <w:spacing w:after="0" w:line="237" w:lineRule="auto"/>
        <w:rPr>
          <w:sz w:val="20"/>
          <w:szCs w:val="20"/>
          <w:color w:val="auto"/>
        </w:rPr>
      </w:pPr>
      <w:r>
        <w:rPr>
          <w:rFonts w:ascii="Arial" w:cs="Arial" w:eastAsia="Arial" w:hAnsi="Arial"/>
          <w:sz w:val="18"/>
          <w:szCs w:val="18"/>
          <w:color w:val="auto"/>
        </w:rPr>
        <w:t>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1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48" w:lineRule="auto"/>
        <w:rPr>
          <w:sz w:val="20"/>
          <w:szCs w:val="20"/>
          <w:color w:val="auto"/>
        </w:rPr>
      </w:pPr>
      <w:r>
        <w:rPr>
          <w:rFonts w:ascii="Arial" w:cs="Arial" w:eastAsia="Arial" w:hAnsi="Arial"/>
          <w:sz w:val="17"/>
          <w:szCs w:val="17"/>
          <w:color w:val="auto"/>
        </w:rPr>
        <w:t>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If we fail to maintain, protect and enhance our intellectual property rights, our business may be harmed and the market price of our common stock could decline.</w:t>
      </w:r>
    </w:p>
    <w:p>
      <w:pPr>
        <w:spacing w:after="0" w:line="19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0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technologically advanced features, which could seriously reduce demand for our products and services.</w:t>
      </w:r>
    </w:p>
    <w:p>
      <w:pPr>
        <w:spacing w:after="0" w:line="208"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88"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09" w:lineRule="exact"/>
        <w:rPr>
          <w:sz w:val="20"/>
          <w:szCs w:val="20"/>
          <w:color w:val="auto"/>
        </w:rPr>
      </w:pPr>
    </w:p>
    <w:p>
      <w:pPr>
        <w:ind w:left="920" w:right="420" w:hanging="218"/>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109" w:lineRule="exact"/>
        <w:rPr>
          <w:rFonts w:ascii="Arial" w:cs="Arial" w:eastAsia="Arial" w:hAnsi="Arial"/>
          <w:sz w:val="18"/>
          <w:szCs w:val="18"/>
          <w:color w:val="auto"/>
        </w:rPr>
      </w:pPr>
    </w:p>
    <w:p>
      <w:pPr>
        <w:ind w:left="920" w:right="60" w:hanging="218"/>
        <w:spacing w:after="0" w:line="23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0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21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2"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88"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14" w:lineRule="exact"/>
        <w:rPr>
          <w:sz w:val="20"/>
          <w:szCs w:val="20"/>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4" w:lineRule="exact"/>
        <w:rPr>
          <w:sz w:val="20"/>
          <w:szCs w:val="20"/>
          <w:color w:val="auto"/>
        </w:rPr>
      </w:pPr>
    </w:p>
    <w:p>
      <w:pPr>
        <w:ind w:left="92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0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8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202"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attention from our senior management and could divert their attention away from the day-to-day management of our business, which could adversely affect our business, prospects,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202" w:lineRule="exact"/>
        <w:rPr>
          <w:sz w:val="20"/>
          <w:szCs w:val="20"/>
          <w:color w:val="auto"/>
        </w:rPr>
      </w:pPr>
    </w:p>
    <w:p>
      <w:pPr>
        <w:ind w:left="160" w:right="100" w:firstLine="546"/>
        <w:spacing w:after="0" w:line="257"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3" w:lineRule="exact"/>
        <w:rPr>
          <w:sz w:val="20"/>
          <w:szCs w:val="20"/>
          <w:color w:val="auto"/>
        </w:rPr>
      </w:pPr>
    </w:p>
    <w:p>
      <w:pPr>
        <w:ind w:left="160" w:right="60" w:firstLine="546"/>
        <w:spacing w:after="0" w:line="246" w:lineRule="auto"/>
        <w:rPr>
          <w:sz w:val="20"/>
          <w:szCs w:val="20"/>
          <w:color w:val="auto"/>
        </w:rPr>
      </w:pPr>
      <w:r>
        <w:rPr>
          <w:rFonts w:ascii="Arial" w:cs="Arial" w:eastAsia="Arial" w:hAnsi="Arial"/>
          <w:sz w:val="17"/>
          <w:szCs w:val="17"/>
          <w:color w:val="auto"/>
        </w:rPr>
        <w:t>As of December 31, 2020, the Company has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 percent stockholders” that exceeds 50 percentage points over a rolling three-year period. Similar rules may apply under state tax laws.</w:t>
      </w:r>
    </w:p>
    <w:p>
      <w:pPr>
        <w:spacing w:after="0" w:line="20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20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spacing w:after="0" w:line="237" w:lineRule="auto"/>
        <w:rPr>
          <w:sz w:val="20"/>
          <w:szCs w:val="20"/>
          <w:color w:val="auto"/>
        </w:rPr>
      </w:pPr>
      <w:r>
        <w:rPr>
          <w:rFonts w:ascii="Arial" w:cs="Arial" w:eastAsia="Arial" w:hAnsi="Arial"/>
          <w:sz w:val="18"/>
          <w:szCs w:val="18"/>
          <w:color w:val="auto"/>
        </w:rPr>
        <w:t>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8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87"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7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40"/>
        <w:spacing w:after="0" w:line="237" w:lineRule="auto"/>
        <w:rPr>
          <w:sz w:val="20"/>
          <w:szCs w:val="20"/>
          <w:color w:val="auto"/>
        </w:rPr>
      </w:pPr>
      <w:r>
        <w:rPr>
          <w:rFonts w:ascii="Arial" w:cs="Arial" w:eastAsia="Arial" w:hAnsi="Arial"/>
          <w:sz w:val="18"/>
          <w:szCs w:val="18"/>
          <w:color w:val="auto"/>
        </w:rPr>
        <w:t>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88"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73" w:lineRule="exact"/>
        <w:rPr>
          <w:sz w:val="20"/>
          <w:szCs w:val="20"/>
          <w:color w:val="auto"/>
        </w:rPr>
      </w:pPr>
    </w:p>
    <w:p>
      <w:pPr>
        <w:jc w:val="both"/>
        <w:ind w:left="160" w:right="40" w:firstLine="546"/>
        <w:spacing w:after="0" w:line="251"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23" w:lineRule="exact"/>
        <w:rPr>
          <w:sz w:val="20"/>
          <w:szCs w:val="20"/>
          <w:color w:val="auto"/>
        </w:rPr>
      </w:pPr>
    </w:p>
    <w:p>
      <w:pPr>
        <w:jc w:val="both"/>
        <w:ind w:left="160" w:right="80" w:firstLine="546"/>
        <w:spacing w:after="0" w:line="250"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the Company changed its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1"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73"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28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87"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party to the Amended Loan and Security Agreement. Under the Amended Loan and Security Agreement, we can borrow up to $15.0 million under a term loan, or the term loan facility, all</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60"/>
        <w:spacing w:after="0" w:line="239" w:lineRule="auto"/>
        <w:rPr>
          <w:sz w:val="20"/>
          <w:szCs w:val="20"/>
          <w:color w:val="auto"/>
        </w:rPr>
      </w:pPr>
      <w:r>
        <w:rPr>
          <w:rFonts w:ascii="Arial" w:cs="Arial" w:eastAsia="Arial" w:hAnsi="Arial"/>
          <w:sz w:val="18"/>
          <w:szCs w:val="18"/>
          <w:color w:val="auto"/>
        </w:rPr>
        <w:t>of which became available to us immediately on the agreement date. As of March 31, 2021, we had $15.8 million of outstanding borrowings under the term loan facility. We could also incur additional indebtedness in the future.</w:t>
      </w:r>
    </w:p>
    <w:p>
      <w:pPr>
        <w:spacing w:after="0" w:line="203" w:lineRule="exact"/>
        <w:rPr>
          <w:sz w:val="20"/>
          <w:szCs w:val="20"/>
          <w:color w:val="auto"/>
        </w:rPr>
      </w:pPr>
    </w:p>
    <w:p>
      <w:pPr>
        <w:ind w:left="160" w:right="200" w:firstLine="546"/>
        <w:spacing w:after="0" w:line="253"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product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92"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19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202"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Our outstanding indebtedness and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2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8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Risks Related to Ownership of Our Common Stock and this Offering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2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w:t>
      </w:r>
    </w:p>
    <w:p>
      <w:pPr>
        <w:spacing w:after="0" w:line="109" w:lineRule="exact"/>
        <w:rPr>
          <w:sz w:val="20"/>
          <w:szCs w:val="20"/>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 as well as the anticipation of lock-up releases;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8"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9"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7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No public market for our common stock currently exists. An active public trading market for our common stock may not develop following the completion of this offering or, if developed, it may not be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7"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88"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Future sales of our common stock in the public market following the offering, including sales of a substantial number of shares of our common stock by our existing stockholders, could cause the market price of our common stock to decline.</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common stock.</w:t>
      </w:r>
    </w:p>
    <w:p>
      <w:pPr>
        <w:spacing w:after="0" w:line="202" w:lineRule="exact"/>
        <w:rPr>
          <w:sz w:val="20"/>
          <w:szCs w:val="20"/>
          <w:color w:val="auto"/>
        </w:rPr>
      </w:pPr>
    </w:p>
    <w:p>
      <w:pPr>
        <w:ind w:left="160" w:right="220" w:firstLine="546"/>
        <w:spacing w:after="0" w:line="246" w:lineRule="auto"/>
        <w:rPr>
          <w:sz w:val="20"/>
          <w:szCs w:val="20"/>
          <w:color w:val="auto"/>
        </w:rPr>
      </w:pPr>
      <w:r>
        <w:rPr>
          <w:rFonts w:ascii="Arial" w:cs="Arial" w:eastAsia="Arial" w:hAnsi="Arial"/>
          <w:sz w:val="17"/>
          <w:szCs w:val="17"/>
          <w:color w:val="auto"/>
        </w:rPr>
        <w:t>All of our directors and officers and the holders of substantially all of our capital stock and securities convertible into our capital stock are subject to lock-up agreements that restrict their ability to transfer shares of our capital stock for days from the date of this prospectus. These lock-up agreements limit the number of shares of capital stock that may be sold immediately following this offering. Goldman Sachs &amp; Co. LLC and J.P. Morgan Securities LLC may, subject to certain exceptions, in their sole discretion, permit our stockholders who are subject to these lock-up agreements to sell shares prior to the expiration of the lock-up agreements, subject to applicable notice requirements. If not earlier released, all of the shares of common stock sold in this offering will become eligible for sale</w:t>
      </w:r>
    </w:p>
    <w:p>
      <w:pPr>
        <w:spacing w:after="0" w:line="1" w:lineRule="exact"/>
        <w:rPr>
          <w:sz w:val="20"/>
          <w:szCs w:val="20"/>
          <w:color w:val="auto"/>
        </w:rPr>
      </w:pPr>
    </w:p>
    <w:p>
      <w:pPr>
        <w:ind w:left="160" w:right="780"/>
        <w:spacing w:after="0" w:line="239" w:lineRule="auto"/>
        <w:rPr>
          <w:sz w:val="20"/>
          <w:szCs w:val="20"/>
          <w:color w:val="auto"/>
        </w:rPr>
      </w:pPr>
      <w:r>
        <w:rPr>
          <w:rFonts w:ascii="Arial" w:cs="Arial" w:eastAsia="Arial" w:hAnsi="Arial"/>
          <w:sz w:val="18"/>
          <w:szCs w:val="18"/>
          <w:color w:val="auto"/>
        </w:rPr>
        <w:t>upon expiration of the -day lock-up period, except for any shares held by our affiliates as defined in Rule 144 under the Securities Act of 1933, as amended, or the Securities Act.</w:t>
      </w:r>
    </w:p>
    <w:p>
      <w:pPr>
        <w:spacing w:after="0" w:line="20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In addition, there were shares of common stock issuable upon the exercise of options outstanding as of , 2021. We intend to register all of the shares of common stock issuable upon exercise of outstanding options or other equity incentives we may grant in the future, for public resale under the Securities Act. The shares of common stock will become eligible for sale in the public market to the extent such options are exercised, subject to the lock-up agreements described above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6" w:right="4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514"/>
        </w:trPr>
        <w:tc>
          <w:tcPr>
            <w:tcW w:w="7080" w:type="dxa"/>
            <w:vAlign w:val="bottom"/>
            <w:gridSpan w:val="4"/>
          </w:tcPr>
          <w:p>
            <w:pPr>
              <w:ind w:left="160"/>
              <w:spacing w:after="0"/>
              <w:rPr>
                <w:sz w:val="20"/>
                <w:szCs w:val="20"/>
                <w:color w:val="auto"/>
              </w:rPr>
            </w:pPr>
            <w:r>
              <w:rPr>
                <w:rFonts w:ascii="Arial" w:cs="Arial" w:eastAsia="Arial" w:hAnsi="Arial"/>
                <w:sz w:val="18"/>
                <w:szCs w:val="18"/>
                <w:color w:val="auto"/>
              </w:rPr>
              <w:t>and compliance with applicable securities laws. Based on shares outstanding as of</w:t>
            </w:r>
          </w:p>
        </w:tc>
        <w:tc>
          <w:tcPr>
            <w:tcW w:w="3520" w:type="dxa"/>
            <w:vAlign w:val="bottom"/>
          </w:tcPr>
          <w:p>
            <w:pPr>
              <w:jc w:val="right"/>
              <w:spacing w:after="0"/>
              <w:rPr>
                <w:sz w:val="20"/>
                <w:szCs w:val="20"/>
                <w:color w:val="auto"/>
              </w:rPr>
            </w:pPr>
            <w:r>
              <w:rPr>
                <w:rFonts w:ascii="Arial" w:cs="Arial" w:eastAsia="Arial" w:hAnsi="Arial"/>
                <w:sz w:val="18"/>
                <w:szCs w:val="18"/>
                <w:color w:val="auto"/>
              </w:rPr>
              <w:t>, 2021, upon completion of this offering,</w:t>
            </w:r>
          </w:p>
        </w:tc>
      </w:tr>
      <w:tr>
        <w:trPr>
          <w:trHeight w:val="201"/>
        </w:trPr>
        <w:tc>
          <w:tcPr>
            <w:tcW w:w="29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holders of up to approximately</w:t>
            </w:r>
          </w:p>
        </w:tc>
        <w:tc>
          <w:tcPr>
            <w:tcW w:w="1640" w:type="dxa"/>
            <w:vAlign w:val="bottom"/>
          </w:tcPr>
          <w:p>
            <w:pPr>
              <w:ind w:left="420"/>
              <w:spacing w:after="0" w:line="201" w:lineRule="exact"/>
              <w:rPr>
                <w:sz w:val="20"/>
                <w:szCs w:val="20"/>
                <w:color w:val="auto"/>
              </w:rPr>
            </w:pPr>
            <w:r>
              <w:rPr>
                <w:rFonts w:ascii="Arial" w:cs="Arial" w:eastAsia="Arial" w:hAnsi="Arial"/>
                <w:sz w:val="18"/>
                <w:szCs w:val="18"/>
                <w:color w:val="auto"/>
              </w:rPr>
              <w:t>shares, or</w:t>
            </w:r>
          </w:p>
        </w:tc>
        <w:tc>
          <w:tcPr>
            <w:tcW w:w="5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of our common stock will have rights, subject to some conditions, to</w:t>
            </w:r>
          </w:p>
        </w:tc>
      </w:tr>
    </w:tbl>
    <w:p>
      <w:pPr>
        <w:ind w:left="160" w:right="1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require us to file registration statements covering the sale of their shares or to include their shares in registration statements that we may file for ourselves or other stockholders.</w:t>
      </w:r>
    </w:p>
    <w:p>
      <w:pPr>
        <w:spacing w:after="0" w:line="203"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288"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7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9"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common stock may decline.</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common stock may decline as well. Even if we do issue public guidance, there can be no assurance that we will continue to do so in the future.</w:t>
      </w:r>
    </w:p>
    <w:p>
      <w:pPr>
        <w:spacing w:after="0" w:line="289"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73"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41"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common stock you purchase in this offering.</w:t>
      </w:r>
    </w:p>
    <w:p>
      <w:pPr>
        <w:spacing w:after="0" w:line="73" w:lineRule="exact"/>
        <w:rPr>
          <w:sz w:val="20"/>
          <w:szCs w:val="20"/>
          <w:color w:val="auto"/>
        </w:rPr>
      </w:pPr>
    </w:p>
    <w:p>
      <w:pPr>
        <w:ind w:left="160" w:right="440" w:firstLine="546"/>
        <w:spacing w:after="0" w:line="246" w:lineRule="auto"/>
        <w:rPr>
          <w:sz w:val="20"/>
          <w:szCs w:val="20"/>
          <w:color w:val="auto"/>
        </w:rPr>
      </w:pPr>
      <w:r>
        <w:rPr>
          <w:rFonts w:ascii="Arial" w:cs="Arial" w:eastAsia="Arial" w:hAnsi="Arial"/>
          <w:sz w:val="17"/>
          <w:szCs w:val="17"/>
          <w:color w:val="auto"/>
        </w:rPr>
        <w:t>The initial public offering price of our common stock will be substantially higher than the pro forma net tangible book value per share of our common stock immediately after this offering. If you purchase shares of our common stock in this offering, you will suffer</w:t>
      </w:r>
    </w:p>
    <w:p>
      <w:pPr>
        <w:ind w:left="160" w:right="120"/>
        <w:spacing w:after="0" w:line="232" w:lineRule="auto"/>
        <w:rPr>
          <w:sz w:val="20"/>
          <w:szCs w:val="20"/>
          <w:color w:val="auto"/>
        </w:rPr>
      </w:pPr>
      <w:r>
        <w:rPr>
          <w:rFonts w:ascii="Arial" w:cs="Arial" w:eastAsia="Arial" w:hAnsi="Arial"/>
          <w:sz w:val="18"/>
          <w:szCs w:val="18"/>
          <w:color w:val="auto"/>
        </w:rPr>
        <w:t>immediate dilution of $ per share, or $ per share if the underwriters exercise their option to purchase additional shares from us in full, representing the difference between our pro forma as adjusted net tangible book value per share and the assumed public</w:t>
      </w:r>
    </w:p>
    <w:p>
      <w:pPr>
        <w:spacing w:after="0" w:line="1"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See “Dilution.” If outstanding options or warrants to purchase our common stock are exercised in the future, you will experience additional dilution.</w:t>
      </w:r>
    </w:p>
    <w:p>
      <w:pPr>
        <w:spacing w:after="0" w:line="288"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9"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1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As of March 31, 2021, we had $49.5 million in cash and cash equivalents. While we believe the net proceeds from this offering, together with our existing cash and cash equivalents, will be 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our control, could cause us to consume capital significantly faster than we currently anticipate, and we may need to seek additional funds sooner than planned.</w:t>
      </w:r>
    </w:p>
    <w:p>
      <w:pPr>
        <w:spacing w:after="0" w:line="288"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73" w:lineRule="exact"/>
        <w:rPr>
          <w:sz w:val="20"/>
          <w:szCs w:val="20"/>
          <w:color w:val="auto"/>
        </w:rPr>
      </w:pPr>
    </w:p>
    <w:p>
      <w:pPr>
        <w:ind w:left="160" w:right="300" w:firstLine="546"/>
        <w:spacing w:after="0" w:line="232" w:lineRule="auto"/>
        <w:rPr>
          <w:sz w:val="20"/>
          <w:szCs w:val="20"/>
          <w:color w:val="auto"/>
        </w:rPr>
      </w:pPr>
      <w:r>
        <w:rPr>
          <w:rFonts w:ascii="Arial" w:cs="Arial" w:eastAsia="Arial" w:hAnsi="Arial"/>
          <w:sz w:val="18"/>
          <w:szCs w:val="18"/>
          <w:color w:val="auto"/>
        </w:rPr>
        <w:t>Based upon shares outstanding as of , 2021, upon the completion of this offering, our executive officers, directors, and current beneficial owners of 5% or more of our common stock will, in the aggregate, beneficially own approximately % of our</w:t>
      </w:r>
    </w:p>
    <w:p>
      <w:pPr>
        <w:spacing w:after="0" w:line="1"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288"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06"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6" w:lineRule="exact"/>
        <w:rPr>
          <w:sz w:val="20"/>
          <w:szCs w:val="20"/>
          <w:color w:val="auto"/>
        </w:rPr>
      </w:pPr>
    </w:p>
    <w:p>
      <w:pPr>
        <w:ind w:left="160" w:right="360" w:firstLine="546"/>
        <w:spacing w:after="0" w:line="237"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20"/>
        <w:spacing w:after="0" w:line="239" w:lineRule="auto"/>
        <w:rPr>
          <w:sz w:val="20"/>
          <w:szCs w:val="20"/>
          <w:color w:val="auto"/>
        </w:rPr>
      </w:pPr>
      <w:r>
        <w:rPr>
          <w:rFonts w:ascii="Arial" w:cs="Arial" w:eastAsia="Arial" w:hAnsi="Arial"/>
          <w:sz w:val="18"/>
          <w:szCs w:val="18"/>
          <w:color w:val="auto"/>
        </w:rPr>
        <w:t>also make it more difficult for us to attract and retain qualified executive officers and members of our board of directors, particularly to serve on our audit and compensation committees.</w:t>
      </w:r>
    </w:p>
    <w:p>
      <w:pPr>
        <w:spacing w:after="0" w:line="20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88" w:lineRule="exact"/>
        <w:rPr>
          <w:sz w:val="20"/>
          <w:szCs w:val="20"/>
          <w:color w:val="auto"/>
        </w:rPr>
      </w:pPr>
    </w:p>
    <w:p>
      <w:pPr>
        <w:ind w:left="160" w:right="380"/>
        <w:spacing w:after="0" w:line="24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87"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09" w:lineRule="exact"/>
        <w:rPr>
          <w:sz w:val="20"/>
          <w:szCs w:val="20"/>
          <w:color w:val="auto"/>
        </w:rPr>
      </w:pPr>
    </w:p>
    <w:p>
      <w:pPr>
        <w:ind w:left="920" w:right="10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09" w:lineRule="exact"/>
        <w:rPr>
          <w:rFonts w:ascii="Arial" w:cs="Arial" w:eastAsia="Arial" w:hAnsi="Arial"/>
          <w:sz w:val="18"/>
          <w:szCs w:val="18"/>
          <w:color w:val="auto"/>
        </w:rPr>
      </w:pPr>
    </w:p>
    <w:p>
      <w:pPr>
        <w:ind w:left="920" w:right="32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9" w:lineRule="exact"/>
        <w:rPr>
          <w:rFonts w:ascii="Arial" w:cs="Arial" w:eastAsia="Arial" w:hAnsi="Arial"/>
          <w:sz w:val="18"/>
          <w:szCs w:val="18"/>
          <w:color w:val="auto"/>
        </w:rPr>
      </w:pPr>
    </w:p>
    <w:p>
      <w:pPr>
        <w:ind w:left="920" w:right="28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common stock;</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09" w:lineRule="exact"/>
        <w:rPr>
          <w:rFonts w:ascii="Arial" w:cs="Arial" w:eastAsia="Arial" w:hAnsi="Arial"/>
          <w:sz w:val="18"/>
          <w:szCs w:val="18"/>
          <w:color w:val="auto"/>
        </w:rPr>
      </w:pPr>
    </w:p>
    <w:p>
      <w:pPr>
        <w:ind w:left="920" w:right="840" w:hanging="218"/>
        <w:spacing w:after="0" w:line="268"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93"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Our amended and restated certificate of incorporation to be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w:t>
      </w:r>
    </w:p>
    <w:p>
      <w:pPr>
        <w:spacing w:after="0" w:line="1" w:lineRule="exact"/>
        <w:rPr>
          <w:sz w:val="20"/>
          <w:szCs w:val="20"/>
          <w:color w:val="auto"/>
        </w:rPr>
      </w:pPr>
    </w:p>
    <w:p>
      <w:pPr>
        <w:ind w:left="160" w:right="20" w:firstLine="7"/>
        <w:spacing w:after="0" w:line="235" w:lineRule="auto"/>
        <w:tabs>
          <w:tab w:leader="none" w:pos="4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2"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Risk Factors</w:t>
      </w:r>
    </w:p>
    <w:p>
      <w:pPr>
        <w:spacing w:after="0" w:line="208"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7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57" w:lineRule="auto"/>
        <w:rPr>
          <w:sz w:val="20"/>
          <w:szCs w:val="20"/>
          <w:color w:val="auto"/>
        </w:rPr>
      </w:pPr>
      <w:r>
        <w:rPr>
          <w:rFonts w:ascii="Arial" w:cs="Arial" w:eastAsia="Arial" w:hAnsi="Arial"/>
          <w:sz w:val="17"/>
          <w:szCs w:val="17"/>
          <w:color w:val="auto"/>
        </w:rPr>
        <w:t>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273"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7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04"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(the “IRS”) with respect to the Tax Act may affect us, and certain aspects of the Tax Act could be repealed or modified in future legislation. The Coronavirus Aid, Relief, and Economic Security Act (the “CARES Act”) has already modified certain provisions of the Tax Act. In addition, it is uncertain if and to what extent various states will conform to the Tax Act, the CARES Act or any newly enacted federal tax legislation.</w:t>
      </w:r>
    </w:p>
    <w:p>
      <w:pPr>
        <w:spacing w:after="0" w:line="291"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1"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56"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1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287" w:lineRule="exact"/>
        <w:rPr>
          <w:sz w:val="20"/>
          <w:szCs w:val="20"/>
          <w:color w:val="auto"/>
        </w:rPr>
      </w:pPr>
    </w:p>
    <w:p>
      <w:pPr>
        <w:ind w:left="160" w:right="680"/>
        <w:spacing w:after="0" w:line="26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202"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9"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common stock.</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12" w:lineRule="exact"/>
        <w:rPr>
          <w:sz w:val="20"/>
          <w:szCs w:val="20"/>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3"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or other proprietary rights and any costs associated therewith;</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6"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6"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INDUSTRY AND OTHER DATA</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320" w:top="456" w:right="5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3" w:lineRule="exact"/>
        <w:rPr>
          <w:sz w:val="20"/>
          <w:szCs w:val="20"/>
          <w:color w:val="auto"/>
        </w:rPr>
      </w:pPr>
    </w:p>
    <w:p>
      <w:pPr>
        <w:ind w:left="720"/>
        <w:spacing w:after="0"/>
        <w:tabs>
          <w:tab w:leader="none" w:pos="798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7"/>
          <w:szCs w:val="17"/>
          <w:color w:val="auto"/>
        </w:rPr>
        <w:t>million (or approximately</w:t>
      </w:r>
    </w:p>
    <w:p>
      <w:pPr>
        <w:ind w:left="1060" w:hanging="893"/>
        <w:spacing w:after="0" w:line="232"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in full) based on an</w:t>
      </w:r>
    </w:p>
    <w:p>
      <w:pPr>
        <w:spacing w:after="0" w:line="1"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assumed initial public offering price of $ per share of common stock, the midpoint of the estimated price range set forth on the cover page of this prospectus, after deducting estimated underwriting discounts and commissions and estimated offering expenses.</w:t>
      </w:r>
    </w:p>
    <w:p>
      <w:pPr>
        <w:spacing w:after="0" w:line="203" w:lineRule="exact"/>
        <w:rPr>
          <w:sz w:val="20"/>
          <w:szCs w:val="20"/>
          <w:color w:val="auto"/>
        </w:rPr>
      </w:pPr>
    </w:p>
    <w:p>
      <w:pPr>
        <w:ind w:left="160" w:right="60" w:firstLine="546"/>
        <w:spacing w:after="0" w:line="232" w:lineRule="auto"/>
        <w:rPr>
          <w:sz w:val="20"/>
          <w:szCs w:val="20"/>
          <w:color w:val="auto"/>
        </w:rPr>
      </w:pPr>
      <w:r>
        <w:rPr>
          <w:rFonts w:ascii="Arial" w:cs="Arial" w:eastAsia="Arial" w:hAnsi="Arial"/>
          <w:sz w:val="18"/>
          <w:szCs w:val="18"/>
          <w:color w:val="auto"/>
        </w:rPr>
        <w:t>A $1.00 increase (decrease) in the assumed initial public offering price of $ per share of common stock would increase (decrease) the net proceeds to us from this offering by approximately $ million, assuming the number of shares offered by us, as</w:t>
      </w:r>
    </w:p>
    <w:p>
      <w:pPr>
        <w:spacing w:after="0" w:line="1" w:lineRule="exact"/>
        <w:rPr>
          <w:sz w:val="20"/>
          <w:szCs w:val="20"/>
          <w:color w:val="auto"/>
        </w:rPr>
      </w:pPr>
    </w:p>
    <w:p>
      <w:pPr>
        <w:ind w:left="160" w:right="60"/>
        <w:spacing w:after="0" w:line="246" w:lineRule="auto"/>
        <w:rPr>
          <w:sz w:val="20"/>
          <w:szCs w:val="20"/>
          <w:color w:val="auto"/>
        </w:rPr>
      </w:pPr>
      <w:r>
        <w:rPr>
          <w:rFonts w:ascii="Arial" w:cs="Arial" w:eastAsia="Arial" w:hAnsi="Arial"/>
          <w:sz w:val="17"/>
          <w:szCs w:val="17"/>
          <w:color w:val="auto"/>
        </w:rPr>
        <w:t>set forth on the cover page of this prospectus, remains the same, and after deducting estimated underwriting discounts and commissions. Similarly, each increase (decrease) of 1,000,000 shares in the number of shares of common stock offered by us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(decrease) the net proceeds to us from this offering by approximately $ million, assuming the assumed initial public offering price of $ per share of common stock remains the same, and after deducting estimated underwriting discounts and commissions and estimated offering expenses.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to (i) repay our outstanding indebtedness under our Amended Loan and Security Agreement, which matures on May 1, 2022 and under which $15.8 million was outstanding at an annual interest rate of 8.7% as of March 31, 2021 and/or (ii) acquire complementary businesses, products, services or technologies. However, we do not have agreements or commitments to enter into any acquisitions at this time.</w:t>
      </w:r>
    </w:p>
    <w:p>
      <w:pPr>
        <w:spacing w:after="0" w:line="204"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20"/>
          </w:cols>
          <w:pgMar w:left="320" w:top="456" w:right="6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14" w:lineRule="exact"/>
        <w:rPr>
          <w:sz w:val="20"/>
          <w:szCs w:val="20"/>
          <w:color w:val="auto"/>
        </w:rPr>
      </w:pPr>
    </w:p>
    <w:p>
      <w:pPr>
        <w:ind w:left="920" w:hanging="2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3" w:lineRule="exact"/>
        <w:rPr>
          <w:rFonts w:ascii="Arial" w:cs="Arial" w:eastAsia="Arial" w:hAnsi="Arial"/>
          <w:sz w:val="18"/>
          <w:szCs w:val="18"/>
          <w:color w:val="auto"/>
        </w:rPr>
      </w:pPr>
    </w:p>
    <w:p>
      <w:pPr>
        <w:ind w:left="920" w:right="160" w:hanging="218"/>
        <w:spacing w:after="0" w:line="237"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giving effect to (1) the automatic conversion of all of our outstanding shares of convertible preferred stock into shares of common stock in connection with this offering, and (2) the filing and effectiveness of our amended and restated certificate of incorporation which will be in effect on the completion of this offering; and</w:t>
      </w:r>
    </w:p>
    <w:p>
      <w:pPr>
        <w:spacing w:after="0" w:line="108" w:lineRule="exact"/>
        <w:rPr>
          <w:rFonts w:ascii="Arial" w:cs="Arial" w:eastAsia="Arial" w:hAnsi="Arial"/>
          <w:sz w:val="18"/>
          <w:szCs w:val="18"/>
          <w:color w:val="auto"/>
        </w:rPr>
      </w:pPr>
    </w:p>
    <w:p>
      <w:pPr>
        <w:ind w:left="920" w:right="180" w:hanging="218"/>
        <w:spacing w:after="0" w:line="246"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(1) the pro forma adjustments set forth above and (2) our receipt of estimated net proceeds from the sale of shares of common stock that we are offering at an assumed initial public offering price of</w:t>
      </w:r>
    </w:p>
    <w:p>
      <w:pPr>
        <w:ind w:left="920" w:right="820" w:hanging="4"/>
        <w:spacing w:after="0" w:line="239" w:lineRule="auto"/>
        <w:tabs>
          <w:tab w:leader="none" w:pos="18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the estimated underwriting discounts and commissions and estimated offering expenses.</w:t>
      </w:r>
    </w:p>
    <w:p>
      <w:pPr>
        <w:spacing w:after="0" w:line="20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As of March 31, 2021</w:t>
            </w: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Pro Forma</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As Adjusted</w:t>
            </w:r>
          </w:p>
        </w:tc>
      </w:tr>
      <w:tr>
        <w:trPr>
          <w:trHeight w:val="141"/>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7"/>
          </w:tcPr>
          <w:p>
            <w:pPr>
              <w:jc w:val="center"/>
              <w:ind w:right="118"/>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49,512</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9"/>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98"/>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6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6640" w:type="dxa"/>
            <w:vAlign w:val="bottom"/>
            <w:gridSpan w:val="6"/>
          </w:tcPr>
          <w:p>
            <w:pPr>
              <w:spacing w:after="0" w:line="194" w:lineRule="exact"/>
              <w:rPr>
                <w:sz w:val="20"/>
                <w:szCs w:val="20"/>
                <w:color w:val="auto"/>
              </w:rPr>
            </w:pPr>
            <w:r>
              <w:rPr>
                <w:rFonts w:ascii="Arial" w:cs="Arial" w:eastAsia="Arial" w:hAnsi="Arial"/>
                <w:sz w:val="18"/>
                <w:szCs w:val="18"/>
                <w:color w:val="auto"/>
              </w:rPr>
              <w:t>Convertible preferred stock, $0.000001 par value, 27,970,966 shares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664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authorized, 27,758,941 shares issued and outstanding, actual, and no</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64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shares authorized, issued and outstanding, pro forma and pro forma as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tcPr>
          <w:p>
            <w:pPr>
              <w:ind w:left="180"/>
              <w:spacing w:after="0" w:line="201" w:lineRule="exact"/>
              <w:rPr>
                <w:sz w:val="20"/>
                <w:szCs w:val="20"/>
                <w:color w:val="auto"/>
              </w:rPr>
            </w:pPr>
            <w:r>
              <w:rPr>
                <w:rFonts w:ascii="Arial" w:cs="Arial" w:eastAsia="Arial" w:hAnsi="Arial"/>
                <w:sz w:val="18"/>
                <w:szCs w:val="18"/>
                <w:color w:val="auto"/>
              </w:rPr>
              <w:t>adjusted</w:t>
            </w:r>
          </w:p>
        </w:tc>
        <w:tc>
          <w:tcPr>
            <w:tcW w:w="1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160,713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6640" w:type="dxa"/>
            <w:vAlign w:val="bottom"/>
            <w:gridSpan w:val="6"/>
          </w:tcPr>
          <w:p>
            <w:pPr>
              <w:ind w:left="360"/>
              <w:spacing w:after="0" w:line="200" w:lineRule="exact"/>
              <w:rPr>
                <w:sz w:val="20"/>
                <w:szCs w:val="20"/>
                <w:color w:val="auto"/>
              </w:rPr>
            </w:pPr>
            <w:r>
              <w:rPr>
                <w:rFonts w:ascii="Arial" w:cs="Arial" w:eastAsia="Arial" w:hAnsi="Arial"/>
                <w:sz w:val="18"/>
                <w:szCs w:val="18"/>
                <w:color w:val="auto"/>
              </w:rPr>
              <w:t>Preferred stock, $0.000001 par value, no shares authorized, issued,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338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and outstanding, actual, and</w:t>
            </w:r>
          </w:p>
        </w:tc>
        <w:tc>
          <w:tcPr>
            <w:tcW w:w="3260" w:type="dxa"/>
            <w:vAlign w:val="bottom"/>
            <w:gridSpan w:val="4"/>
          </w:tcPr>
          <w:p>
            <w:pPr>
              <w:jc w:val="right"/>
              <w:ind w:right="860"/>
              <w:spacing w:after="0" w:line="201" w:lineRule="exact"/>
              <w:rPr>
                <w:sz w:val="20"/>
                <w:szCs w:val="20"/>
                <w:color w:val="auto"/>
              </w:rPr>
            </w:pPr>
            <w:r>
              <w:rPr>
                <w:rFonts w:ascii="Arial" w:cs="Arial" w:eastAsia="Arial" w:hAnsi="Arial"/>
                <w:sz w:val="18"/>
                <w:szCs w:val="18"/>
                <w:color w:val="auto"/>
              </w:rPr>
              <w:t>shares authorized, no shares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640" w:type="dxa"/>
            <w:vAlign w:val="bottom"/>
            <w:gridSpan w:val="6"/>
          </w:tcPr>
          <w:p>
            <w:pPr>
              <w:ind w:left="540"/>
              <w:spacing w:after="0" w:line="201" w:lineRule="exact"/>
              <w:rPr>
                <w:sz w:val="20"/>
                <w:szCs w:val="20"/>
                <w:color w:val="auto"/>
              </w:rPr>
            </w:pPr>
            <w:r>
              <w:rPr>
                <w:rFonts w:ascii="Arial" w:cs="Arial" w:eastAsia="Arial" w:hAnsi="Arial"/>
                <w:sz w:val="18"/>
                <w:szCs w:val="18"/>
                <w:color w:val="auto"/>
              </w:rPr>
              <w:t>issued and outstanding, pro forma and pro forma as adjusted</w:t>
            </w:r>
          </w:p>
        </w:tc>
        <w:tc>
          <w:tcPr>
            <w:tcW w:w="110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640" w:type="dxa"/>
            <w:vAlign w:val="bottom"/>
            <w:gridSpan w:val="6"/>
            <w:shd w:val="clear" w:color="auto" w:fill="CCEEFF"/>
          </w:tcPr>
          <w:p>
            <w:pPr>
              <w:ind w:left="360"/>
              <w:spacing w:after="0" w:line="200" w:lineRule="exact"/>
              <w:rPr>
                <w:sz w:val="20"/>
                <w:szCs w:val="20"/>
                <w:color w:val="auto"/>
              </w:rPr>
            </w:pPr>
            <w:r>
              <w:rPr>
                <w:rFonts w:ascii="Arial" w:cs="Arial" w:eastAsia="Arial" w:hAnsi="Arial"/>
                <w:sz w:val="18"/>
                <w:szCs w:val="18"/>
                <w:color w:val="auto"/>
              </w:rPr>
              <w:t>Common stock, $0.000001 par value, 42,000,000 authorized,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510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8,239,494 shares issued and outstanding, actual,</w:t>
            </w:r>
          </w:p>
        </w:tc>
        <w:tc>
          <w:tcPr>
            <w:tcW w:w="1540" w:type="dxa"/>
            <w:vAlign w:val="bottom"/>
            <w:gridSpan w:val="3"/>
            <w:shd w:val="clear" w:color="auto" w:fill="CCEEFF"/>
          </w:tcPr>
          <w:p>
            <w:pPr>
              <w:jc w:val="right"/>
              <w:ind w:right="980"/>
              <w:spacing w:after="0" w:line="201" w:lineRule="exact"/>
              <w:rPr>
                <w:sz w:val="20"/>
                <w:szCs w:val="20"/>
                <w:color w:val="auto"/>
              </w:rPr>
            </w:pPr>
            <w:r>
              <w:rPr>
                <w:rFonts w:ascii="Arial" w:cs="Arial" w:eastAsia="Arial" w:hAnsi="Arial"/>
                <w:sz w:val="18"/>
                <w:szCs w:val="18"/>
                <w:color w:val="auto"/>
                <w:w w:val="99"/>
              </w:rPr>
              <w:t>shares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authorized and</w:t>
            </w:r>
          </w:p>
        </w:tc>
        <w:tc>
          <w:tcPr>
            <w:tcW w:w="4260" w:type="dxa"/>
            <w:vAlign w:val="bottom"/>
            <w:gridSpan w:val="5"/>
            <w:shd w:val="clear" w:color="auto" w:fill="CCEEFF"/>
          </w:tcPr>
          <w:p>
            <w:pPr>
              <w:jc w:val="right"/>
              <w:ind w:right="900"/>
              <w:spacing w:after="0" w:line="201" w:lineRule="exact"/>
              <w:rPr>
                <w:sz w:val="20"/>
                <w:szCs w:val="20"/>
                <w:color w:val="auto"/>
              </w:rPr>
            </w:pPr>
            <w:r>
              <w:rPr>
                <w:rFonts w:ascii="Arial" w:cs="Arial" w:eastAsia="Arial" w:hAnsi="Arial"/>
                <w:sz w:val="18"/>
                <w:szCs w:val="18"/>
                <w:color w:val="auto"/>
                <w:w w:val="99"/>
              </w:rPr>
              <w:t>shares issued and outstanding, pro forma,</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3380" w:type="dxa"/>
            <w:vAlign w:val="bottom"/>
            <w:gridSpan w:val="2"/>
            <w:shd w:val="clear" w:color="auto" w:fill="CCEEFF"/>
          </w:tcPr>
          <w:p>
            <w:pPr>
              <w:ind w:left="1180"/>
              <w:spacing w:after="0" w:line="201" w:lineRule="exact"/>
              <w:rPr>
                <w:sz w:val="20"/>
                <w:szCs w:val="20"/>
                <w:color w:val="auto"/>
              </w:rPr>
            </w:pPr>
            <w:r>
              <w:rPr>
                <w:rFonts w:ascii="Arial" w:cs="Arial" w:eastAsia="Arial" w:hAnsi="Arial"/>
                <w:sz w:val="18"/>
                <w:szCs w:val="18"/>
                <w:color w:val="auto"/>
              </w:rPr>
              <w:t>shares authorized and</w:t>
            </w:r>
          </w:p>
        </w:tc>
        <w:tc>
          <w:tcPr>
            <w:tcW w:w="17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shares issued and</w:t>
            </w: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338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outstanding, pro forma as adjusted</w:t>
            </w:r>
          </w:p>
        </w:tc>
        <w:tc>
          <w:tcPr>
            <w:tcW w:w="1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tcPr>
          <w:p>
            <w:pPr>
              <w:ind w:left="360"/>
              <w:spacing w:after="0" w:line="201" w:lineRule="exact"/>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1,854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10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 income</w:t>
            </w: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tcPr>
          <w:p>
            <w:pPr>
              <w:ind w:left="360"/>
              <w:spacing w:after="0" w:line="201" w:lineRule="exact"/>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(122,463)</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2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Total stockholders’ deficit</w:t>
            </w:r>
          </w:p>
        </w:tc>
        <w:tc>
          <w:tcPr>
            <w:tcW w:w="10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(120,369)</w:t>
            </w:r>
          </w:p>
        </w:tc>
        <w:tc>
          <w:tcPr>
            <w:tcW w:w="1420" w:type="dxa"/>
            <w:vAlign w:val="bottom"/>
            <w:gridSpan w:val="2"/>
            <w:shd w:val="clear" w:color="auto" w:fill="CCEEFF"/>
          </w:tcPr>
          <w:p>
            <w:pPr>
              <w:jc w:val="right"/>
              <w:ind w:right="809"/>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98"/>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3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40,344</w:t>
            </w:r>
          </w:p>
        </w:tc>
        <w:tc>
          <w:tcPr>
            <w:tcW w:w="240" w:type="dxa"/>
            <w:vAlign w:val="bottom"/>
          </w:tcPr>
          <w:p>
            <w:pPr>
              <w:spacing w:after="0"/>
              <w:rPr>
                <w:sz w:val="18"/>
                <w:szCs w:val="18"/>
                <w:color w:val="auto"/>
              </w:rPr>
            </w:pPr>
          </w:p>
        </w:tc>
        <w:tc>
          <w:tcPr>
            <w:tcW w:w="142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440" w:type="dxa"/>
            <w:vAlign w:val="bottom"/>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6640" w:type="dxa"/>
            <w:vAlign w:val="bottom"/>
            <w:gridSpan w:val="6"/>
          </w:tcPr>
          <w:p>
            <w:pPr>
              <w:ind w:left="56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280" w:type="dxa"/>
            <w:vAlign w:val="bottom"/>
            <w:gridSpan w:val="8"/>
          </w:tcPr>
          <w:p>
            <w:pPr>
              <w:ind w:left="600"/>
              <w:spacing w:after="0"/>
              <w:rPr>
                <w:sz w:val="20"/>
                <w:szCs w:val="20"/>
                <w:color w:val="auto"/>
              </w:rPr>
            </w:pPr>
            <w:r>
              <w:rPr>
                <w:rFonts w:ascii="Arial" w:cs="Arial" w:eastAsia="Arial" w:hAnsi="Arial"/>
                <w:sz w:val="18"/>
                <w:szCs w:val="18"/>
                <w:color w:val="auto"/>
              </w:rPr>
              <w:t>per share of common stock, the midpoint of</w:t>
            </w:r>
          </w:p>
        </w:tc>
      </w:tr>
    </w:tbl>
    <w:p>
      <w:pPr>
        <w:ind w:left="160" w:right="380"/>
        <w:spacing w:after="0" w:line="239" w:lineRule="auto"/>
        <w:rPr>
          <w:sz w:val="20"/>
          <w:szCs w:val="20"/>
          <w:color w:val="auto"/>
        </w:rPr>
      </w:pPr>
      <w:r>
        <w:rPr>
          <w:rFonts w:ascii="Arial" w:cs="Arial" w:eastAsia="Arial" w:hAnsi="Arial"/>
          <w:sz w:val="18"/>
          <w:szCs w:val="18"/>
          <w:color w:val="auto"/>
        </w:rPr>
        <w:t>the estimated price range set forth on the cover page of this prospectus, would increase (decrease) each of our pro forma as adjusted cash and cash equivalents,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160"/>
        <w:spacing w:after="0"/>
        <w:tabs>
          <w:tab w:leader="none" w:pos="8260" w:val="left"/>
        </w:tabs>
        <w:rPr>
          <w:sz w:val="20"/>
          <w:szCs w:val="20"/>
          <w:color w:val="auto"/>
        </w:rPr>
      </w:pPr>
      <w:r>
        <w:rPr>
          <w:rFonts w:ascii="Arial" w:cs="Arial" w:eastAsia="Arial" w:hAnsi="Arial"/>
          <w:sz w:val="18"/>
          <w:szCs w:val="18"/>
          <w:color w:val="auto"/>
        </w:rPr>
        <w:t>additional paid-in capital, total stockholders’ equity and total capitalization by approximately $</w:t>
      </w:r>
      <w:r>
        <w:rPr>
          <w:sz w:val="20"/>
          <w:szCs w:val="20"/>
          <w:color w:val="auto"/>
        </w:rPr>
        <w:tab/>
      </w:r>
      <w:r>
        <w:rPr>
          <w:rFonts w:ascii="Arial" w:cs="Arial" w:eastAsia="Arial" w:hAnsi="Arial"/>
          <w:sz w:val="17"/>
          <w:szCs w:val="17"/>
          <w:color w:val="auto"/>
        </w:rPr>
        <w:t>million, assuming the number of</w:t>
      </w:r>
    </w:p>
    <w:p>
      <w:pPr>
        <w:ind w:left="160" w:right="80"/>
        <w:spacing w:after="0" w:line="246" w:lineRule="auto"/>
        <w:rPr>
          <w:sz w:val="20"/>
          <w:szCs w:val="20"/>
          <w:color w:val="auto"/>
        </w:rPr>
      </w:pPr>
      <w:r>
        <w:rPr>
          <w:rFonts w:ascii="Arial" w:cs="Arial" w:eastAsia="Arial" w:hAnsi="Arial"/>
          <w:sz w:val="17"/>
          <w:szCs w:val="17"/>
          <w:color w:val="auto"/>
        </w:rPr>
        <w:t>shares offered by us, as set forth on the cover page of this prospectus, remains the same, and after deducting estimated underwriting discounts and commissions. Similarly, each increase (decrease) of 1,000,000 shares in the number of shares of common stock offered by us would increase (decrease) each of our pro forma as adjusted cash and cash equivalents, additional paid-in capital, total stockholders’</w:t>
      </w:r>
    </w:p>
    <w:p>
      <w:pPr>
        <w:spacing w:after="0" w:line="1" w:lineRule="exact"/>
        <w:rPr>
          <w:sz w:val="20"/>
          <w:szCs w:val="20"/>
          <w:color w:val="auto"/>
        </w:rPr>
      </w:pPr>
    </w:p>
    <w:p>
      <w:pPr>
        <w:ind w:left="160" w:right="100"/>
        <w:spacing w:after="0"/>
        <w:rPr>
          <w:sz w:val="20"/>
          <w:szCs w:val="20"/>
          <w:color w:val="auto"/>
        </w:rPr>
      </w:pPr>
      <w:r>
        <w:rPr>
          <w:rFonts w:ascii="Arial" w:cs="Arial" w:eastAsia="Arial" w:hAnsi="Arial"/>
          <w:sz w:val="18"/>
          <w:szCs w:val="18"/>
          <w:color w:val="auto"/>
        </w:rPr>
        <w:t>equity and total capitalization by approximately $ million, assuming the assumed initial public offering price of $ per share of common stock remains the same, and after deducting estimated underwriting discounts and commissions and estimated offering expenses.</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 and excludes: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325" w:lineRule="exact"/>
        <w:rPr>
          <w:sz w:val="20"/>
          <w:szCs w:val="20"/>
          <w:color w:val="auto"/>
        </w:rPr>
      </w:pPr>
    </w:p>
    <w:p>
      <w:pPr>
        <w:sectPr>
          <w:pgSz w:w="11900" w:h="16838" w:orient="portrait"/>
          <w:cols w:equalWidth="0" w:num="2">
            <w:col w:w="8180" w:space="720"/>
            <w:col w:w="2180"/>
          </w:cols>
          <w:pgMar w:left="320" w:top="456" w:right="49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stock options outstanding as of</w:t>
      </w:r>
    </w:p>
    <w:p>
      <w:pPr>
        <w:spacing w:after="0" w:line="5" w:lineRule="exact"/>
        <w:rPr>
          <w:sz w:val="20"/>
          <w:szCs w:val="20"/>
          <w:color w:val="auto"/>
        </w:rPr>
      </w:pPr>
    </w:p>
    <w:p>
      <w:pPr>
        <w:ind w:left="92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under our 2016 Plan with a</w:t>
      </w:r>
    </w:p>
    <w:p>
      <w:pPr>
        <w:spacing w:after="0" w:line="326" w:lineRule="exact"/>
        <w:rPr>
          <w:sz w:val="20"/>
          <w:szCs w:val="20"/>
          <w:color w:val="auto"/>
        </w:rPr>
      </w:pPr>
    </w:p>
    <w:p>
      <w:pPr>
        <w:sectPr>
          <w:pgSz w:w="11900" w:h="16838" w:orient="portrait"/>
          <w:cols w:equalWidth="0" w:num="2">
            <w:col w:w="8220" w:space="720"/>
            <w:col w:w="2140"/>
          </w:cols>
          <w:pgMar w:left="320" w:top="456" w:right="499" w:bottom="1440" w:gutter="0" w:footer="0" w:header="0"/>
          <w:type w:val="continuous"/>
        </w:sectPr>
      </w:pPr>
    </w:p>
    <w:p>
      <w:pPr>
        <w:ind w:left="700"/>
        <w:spacing w:after="0"/>
        <w:tabs>
          <w:tab w:leader="none" w:pos="1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warrants outstanding as of</w:t>
      </w:r>
    </w:p>
    <w:p>
      <w:pPr>
        <w:spacing w:after="0" w:line="5" w:lineRule="exact"/>
        <w:rPr>
          <w:sz w:val="20"/>
          <w:szCs w:val="20"/>
          <w:color w:val="auto"/>
        </w:rPr>
      </w:pPr>
    </w:p>
    <w:p>
      <w:pPr>
        <w:ind w:left="920"/>
        <w:spacing w:after="0"/>
        <w:tabs>
          <w:tab w:leader="none" w:pos="314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with a weighted-average</w:t>
      </w:r>
    </w:p>
    <w:p>
      <w:pPr>
        <w:spacing w:after="0" w:line="326" w:lineRule="exact"/>
        <w:rPr>
          <w:sz w:val="20"/>
          <w:szCs w:val="20"/>
          <w:color w:val="auto"/>
        </w:rPr>
      </w:pPr>
    </w:p>
    <w:p>
      <w:pPr>
        <w:sectPr>
          <w:pgSz w:w="11900" w:h="16838" w:orient="portrait"/>
          <w:cols w:equalWidth="0" w:num="2">
            <w:col w:w="8160" w:space="720"/>
            <w:col w:w="2200"/>
          </w:cols>
          <w:pgMar w:left="320" w:top="456" w:right="49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warrants outstanding as of</w:t>
      </w:r>
    </w:p>
    <w:p>
      <w:pPr>
        <w:spacing w:after="0" w:line="5" w:lineRule="exact"/>
        <w:rPr>
          <w:sz w:val="20"/>
          <w:szCs w:val="20"/>
          <w:color w:val="auto"/>
        </w:rPr>
      </w:pPr>
    </w:p>
    <w:p>
      <w:pPr>
        <w:ind w:left="920"/>
        <w:spacing w:after="0"/>
        <w:tabs>
          <w:tab w:leader="none" w:pos="314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with a weighted-average</w:t>
      </w:r>
    </w:p>
    <w:p>
      <w:pPr>
        <w:spacing w:after="0" w:line="320" w:lineRule="exact"/>
        <w:rPr>
          <w:sz w:val="20"/>
          <w:szCs w:val="20"/>
          <w:color w:val="auto"/>
        </w:rPr>
      </w:pPr>
    </w:p>
    <w:p>
      <w:pPr>
        <w:sectPr>
          <w:pgSz w:w="11900" w:h="16838" w:orient="portrait"/>
          <w:cols w:equalWidth="0" w:num="2">
            <w:col w:w="7860" w:space="720"/>
            <w:col w:w="2500"/>
          </w:cols>
          <w:pgMar w:left="320" w:top="456" w:right="499" w:bottom="1440" w:gutter="0" w:footer="0" w:header="0"/>
          <w:type w:val="continuous"/>
        </w:sectPr>
      </w:pPr>
    </w:p>
    <w:p>
      <w:pPr>
        <w:ind w:left="70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common stock reserved for future issuance under our 2021 Plan, which became effective on</w:t>
      </w:r>
    </w:p>
    <w:p>
      <w:pPr>
        <w:ind w:left="920"/>
        <w:spacing w:after="0"/>
        <w:rPr>
          <w:sz w:val="20"/>
          <w:szCs w:val="20"/>
          <w:color w:val="auto"/>
        </w:rPr>
      </w:pPr>
      <w:r>
        <w:rPr>
          <w:rFonts w:ascii="Arial" w:cs="Arial" w:eastAsia="Arial" w:hAnsi="Arial"/>
          <w:sz w:val="17"/>
          <w:szCs w:val="17"/>
          <w:color w:val="auto"/>
        </w:rPr>
        <w:t>2021, as well as any future increases, including annual automatic evergreen increases, in the number of shares of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ectPr>
          <w:pgSz w:w="11900" w:h="16838" w:orient="portrait"/>
          <w:cols w:equalWidth="0" w:num="2">
            <w:col w:w="10620" w:space="40"/>
            <w:col w:w="420"/>
          </w:cols>
          <w:pgMar w:left="320" w:top="456" w:right="499" w:bottom="1440" w:gutter="0" w:footer="0" w:header="0"/>
          <w:type w:val="continuous"/>
        </w:sectPr>
      </w:pPr>
    </w:p>
    <w:p>
      <w:pPr>
        <w:ind w:left="920" w:right="220"/>
        <w:spacing w:after="0" w:line="232" w:lineRule="auto"/>
        <w:rPr>
          <w:sz w:val="20"/>
          <w:szCs w:val="20"/>
          <w:color w:val="auto"/>
        </w:rPr>
      </w:pPr>
      <w:r>
        <w:rPr>
          <w:rFonts w:ascii="Arial" w:cs="Arial" w:eastAsia="Arial" w:hAnsi="Arial"/>
          <w:sz w:val="18"/>
          <w:szCs w:val="18"/>
          <w:color w:val="auto"/>
        </w:rPr>
        <w:t>stock reserved for issuance under our 2021 Plan and any shares underlying outstanding stock awards granted under our 2012 Plan that expire or are repurchased, forfeited, cancelled or withheld, as more fully described in the section titled “Executive Compensation—Equity Incentive Plans”.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6" w:right="49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30" w:lineRule="exact"/>
        <w:rPr>
          <w:sz w:val="20"/>
          <w:szCs w:val="20"/>
          <w:color w:val="auto"/>
        </w:rPr>
      </w:pPr>
    </w:p>
    <w:p>
      <w:pPr>
        <w:ind w:left="160" w:right="20" w:firstLine="546"/>
        <w:spacing w:after="0" w:line="268"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pro forma as adjusted net tangible book value per share immediately after this offering.</w:t>
      </w:r>
    </w:p>
    <w:p>
      <w:pPr>
        <w:spacing w:after="0" w:line="179"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historical net tangible book value (deficit) as of March 31, 2021 was $(122.8) million, or $(14.90) per share. Our pro forma net tangible book value as of was $ million, or $ per share. Pro forma net tangible book value per share represents the amount of our total tangible assets less our total liabilities, divided by the number of our shares of common stock outstanding as of , after giving effect to the automatic conversion of all outstanding shares of preferred stock into an aggregate of shares of common stock in connection with this offering.</w:t>
      </w:r>
    </w:p>
    <w:p>
      <w:pPr>
        <w:spacing w:after="0" w:line="197" w:lineRule="exact"/>
        <w:rPr>
          <w:sz w:val="20"/>
          <w:szCs w:val="20"/>
          <w:color w:val="auto"/>
        </w:rPr>
      </w:pPr>
    </w:p>
    <w:p>
      <w:pPr>
        <w:ind w:left="720"/>
        <w:spacing w:after="0"/>
        <w:tabs>
          <w:tab w:leader="none" w:pos="45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common stock in this offering at an assumed initial public offering price of</w:t>
      </w:r>
    </w:p>
    <w:p>
      <w:pPr>
        <w:ind w:left="1060" w:hanging="893"/>
        <w:spacing w:after="0" w:line="232"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share, the midpoint of the estimated price range set forth on the cover page of this prospectus, and after deducting</w:t>
      </w:r>
    </w:p>
    <w:p>
      <w:pPr>
        <w:ind w:left="160"/>
        <w:spacing w:after="0"/>
        <w:rPr>
          <w:rFonts w:ascii="Arial" w:cs="Arial" w:eastAsia="Arial" w:hAnsi="Arial"/>
          <w:sz w:val="18"/>
          <w:szCs w:val="18"/>
          <w:color w:val="auto"/>
        </w:rPr>
      </w:pPr>
      <w:r>
        <w:rPr>
          <w:rFonts w:ascii="Arial" w:cs="Arial" w:eastAsia="Arial" w:hAnsi="Arial"/>
          <w:sz w:val="17"/>
          <w:szCs w:val="17"/>
          <w:color w:val="auto"/>
        </w:rPr>
        <w:t>estimated underwriting discounts and commissions and estimated offering expenses, our pro forma as adjusted net tangible book value as</w:t>
      </w:r>
    </w:p>
    <w:p>
      <w:pPr>
        <w:spacing w:after="0" w:line="201" w:lineRule="exact"/>
        <w:rPr>
          <w:sz w:val="20"/>
          <w:szCs w:val="20"/>
          <w:color w:val="auto"/>
        </w:rPr>
      </w:pPr>
    </w:p>
    <w:p>
      <w:pPr>
        <w:ind w:left="160" w:right="180"/>
        <w:spacing w:after="0" w:line="232" w:lineRule="auto"/>
        <w:rPr>
          <w:sz w:val="20"/>
          <w:szCs w:val="20"/>
          <w:color w:val="auto"/>
        </w:rPr>
      </w:pPr>
      <w:r>
        <w:rPr>
          <w:rFonts w:ascii="Arial" w:cs="Arial" w:eastAsia="Arial" w:hAnsi="Arial"/>
          <w:sz w:val="18"/>
          <w:szCs w:val="18"/>
          <w:color w:val="auto"/>
        </w:rPr>
        <w:t>of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common stock in this offering. We determine dilution by</w:t>
      </w:r>
    </w:p>
    <w:p>
      <w:pPr>
        <w:spacing w:after="0" w:line="2"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subtracting the pro forma as adjusted net tangible book value per share after this offering from the amount of cash that a new investor paid for a share of common stock. The following table illustrates this dilution on a per share basis: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rPr>
              <w:t>Historical net tangible book (deficit) per share</w:t>
            </w:r>
          </w:p>
        </w:tc>
        <w:tc>
          <w:tcPr>
            <w:tcW w:w="520" w:type="dxa"/>
            <w:vAlign w:val="bottom"/>
          </w:tcPr>
          <w:p>
            <w:pPr>
              <w:spacing w:after="0"/>
              <w:rPr>
                <w:sz w:val="18"/>
                <w:szCs w:val="18"/>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(14.90)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net tangible book value per share</w:t>
            </w: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8460" w:type="dxa"/>
            <w:vAlign w:val="bottom"/>
          </w:tcPr>
          <w:p>
            <w:pPr>
              <w:ind w:left="340"/>
              <w:spacing w:after="0" w:line="20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460" w:type="dxa"/>
            <w:vAlign w:val="bottom"/>
          </w:tcPr>
          <w:p>
            <w:pPr>
              <w:ind w:left="520"/>
              <w:spacing w:after="0" w:line="201" w:lineRule="exact"/>
              <w:rPr>
                <w:sz w:val="20"/>
                <w:szCs w:val="20"/>
                <w:color w:val="auto"/>
              </w:rPr>
            </w:pPr>
            <w:r>
              <w:rPr>
                <w:rFonts w:ascii="Arial" w:cs="Arial" w:eastAsia="Arial" w:hAnsi="Arial"/>
                <w:sz w:val="18"/>
                <w:szCs w:val="18"/>
                <w:color w:val="auto"/>
              </w:rPr>
              <w:t>purchasing shares in this offering</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8480" w:type="dxa"/>
            <w:vAlign w:val="bottom"/>
            <w:gridSpan w:val="2"/>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203" w:lineRule="exact"/>
        <w:rPr>
          <w:sz w:val="20"/>
          <w:szCs w:val="20"/>
          <w:color w:val="auto"/>
        </w:rPr>
      </w:pPr>
    </w:p>
    <w:p>
      <w:pPr>
        <w:ind w:left="160" w:right="40" w:firstLine="546"/>
        <w:spacing w:after="0" w:line="232" w:lineRule="auto"/>
        <w:rPr>
          <w:sz w:val="20"/>
          <w:szCs w:val="20"/>
          <w:color w:val="auto"/>
        </w:rPr>
      </w:pPr>
      <w:r>
        <w:rPr>
          <w:rFonts w:ascii="Arial" w:cs="Arial" w:eastAsia="Arial" w:hAnsi="Arial"/>
          <w:sz w:val="18"/>
          <w:szCs w:val="18"/>
          <w:color w:val="auto"/>
        </w:rPr>
        <w:t>A $1.00 increase (decrease) in the assumed initial public offering price of $ per share of common stock, the midpoint of the estimated price range set forth on the cover page of this prospectus, would increase (decrease) our pro forma as adjusted net tangible</w:t>
      </w:r>
    </w:p>
    <w:p>
      <w:pPr>
        <w:spacing w:after="0" w:line="1" w:lineRule="exact"/>
        <w:rPr>
          <w:sz w:val="20"/>
          <w:szCs w:val="20"/>
          <w:color w:val="auto"/>
        </w:rPr>
      </w:pPr>
    </w:p>
    <w:p>
      <w:pPr>
        <w:ind w:left="160" w:right="280"/>
        <w:spacing w:after="0" w:line="232" w:lineRule="auto"/>
        <w:rPr>
          <w:sz w:val="20"/>
          <w:szCs w:val="20"/>
          <w:color w:val="auto"/>
        </w:rPr>
      </w:pPr>
      <w:r>
        <w:rPr>
          <w:rFonts w:ascii="Arial" w:cs="Arial" w:eastAsia="Arial" w:hAnsi="Arial"/>
          <w:sz w:val="18"/>
          <w:szCs w:val="18"/>
          <w:color w:val="auto"/>
        </w:rPr>
        <w:t>book value per share after this offering by $ per share and increase (decrease) the dilution to new investors by $ per share, in each case assuming the number of shares of common stock offered by us, as set forth on the cover page of this prospectus, remains the same, and after deducting estimated underwriting discounts and commissions. Similarly, each increase or decrease of 1,000,000 shares in the number of shares of common stock offered by us would increase (decrease) our pro forma as adjusted net</w:t>
      </w:r>
    </w:p>
    <w:p>
      <w:pPr>
        <w:ind w:left="160"/>
        <w:spacing w:after="0"/>
        <w:tabs>
          <w:tab w:leader="none" w:pos="4020" w:val="left"/>
        </w:tabs>
        <w:rPr>
          <w:sz w:val="20"/>
          <w:szCs w:val="20"/>
          <w:color w:val="auto"/>
        </w:rPr>
      </w:pPr>
      <w:r>
        <w:rPr>
          <w:rFonts w:ascii="Arial" w:cs="Arial" w:eastAsia="Arial" w:hAnsi="Arial"/>
          <w:sz w:val="18"/>
          <w:szCs w:val="18"/>
          <w:color w:val="auto"/>
        </w:rPr>
        <w:t>tangible book value by approximately $</w:t>
      </w:r>
      <w:r>
        <w:rPr>
          <w:sz w:val="20"/>
          <w:szCs w:val="20"/>
          <w:color w:val="auto"/>
        </w:rPr>
        <w:tab/>
      </w:r>
      <w:r>
        <w:rPr>
          <w:rFonts w:ascii="Arial" w:cs="Arial" w:eastAsia="Arial" w:hAnsi="Arial"/>
          <w:sz w:val="17"/>
          <w:szCs w:val="17"/>
          <w:color w:val="auto"/>
        </w:rPr>
        <w:t>per share and decrease (increase) the dilution to new investors by approximately</w:t>
      </w:r>
    </w:p>
    <w:p>
      <w:pPr>
        <w:ind w:left="160"/>
        <w:spacing w:after="0"/>
        <w:tabs>
          <w:tab w:leader="none" w:pos="1040" w:val="left"/>
          <w:tab w:leader="none" w:pos="7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in each case assuming the assumed initial public offering price of $</w:t>
      </w:r>
      <w:r>
        <w:rPr>
          <w:sz w:val="20"/>
          <w:szCs w:val="20"/>
          <w:color w:val="auto"/>
        </w:rPr>
        <w:tab/>
      </w:r>
      <w:r>
        <w:rPr>
          <w:rFonts w:ascii="Arial" w:cs="Arial" w:eastAsia="Arial" w:hAnsi="Arial"/>
          <w:sz w:val="17"/>
          <w:szCs w:val="17"/>
          <w:color w:val="auto"/>
        </w:rPr>
        <w:t>per share of common stock remains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same, and after deducting estimated underwriting discounts and commissions and estimated offering expenses.</w:t>
      </w:r>
    </w:p>
    <w:p>
      <w:pPr>
        <w:spacing w:after="0" w:line="208"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If the underwriters exercise their option to purchase additional shares of common stock in full, the pro forma net tangible book value per share, as adjusted to give effect to this offering, would be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14"/>
        </w:trPr>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380"/>
              <w:spacing w:after="0"/>
              <w:rPr>
                <w:sz w:val="20"/>
                <w:szCs w:val="20"/>
                <w:color w:val="auto"/>
              </w:rPr>
            </w:pPr>
            <w:r>
              <w:rPr>
                <w:rFonts w:ascii="Arial" w:cs="Arial" w:eastAsia="Arial" w:hAnsi="Arial"/>
                <w:sz w:val="18"/>
                <w:szCs w:val="18"/>
                <w:color w:val="auto"/>
              </w:rPr>
              <w:t>per share, and the dilution in pro forma net tangible book value per share to investors in this offering would be $</w:t>
            </w:r>
          </w:p>
        </w:tc>
        <w:tc>
          <w:tcPr>
            <w:tcW w:w="820" w:type="dxa"/>
            <w:vAlign w:val="bottom"/>
          </w:tcPr>
          <w:p>
            <w:pPr>
              <w:ind w:left="380"/>
              <w:spacing w:after="0"/>
              <w:rPr>
                <w:sz w:val="20"/>
                <w:szCs w:val="20"/>
                <w:color w:val="auto"/>
              </w:rPr>
            </w:pPr>
            <w:r>
              <w:rPr>
                <w:rFonts w:ascii="Arial" w:cs="Arial" w:eastAsia="Arial" w:hAnsi="Arial"/>
                <w:sz w:val="18"/>
                <w:szCs w:val="18"/>
                <w:color w:val="auto"/>
              </w:rPr>
              <w:t>per</w:t>
            </w:r>
          </w:p>
        </w:tc>
      </w:tr>
      <w:tr>
        <w:trPr>
          <w:trHeight w:val="213"/>
        </w:trPr>
        <w:tc>
          <w:tcPr>
            <w:tcW w:w="680" w:type="dxa"/>
            <w:vAlign w:val="bottom"/>
          </w:tcPr>
          <w:p>
            <w:pPr>
              <w:ind w:left="160"/>
              <w:spacing w:after="0"/>
              <w:rPr>
                <w:sz w:val="20"/>
                <w:szCs w:val="20"/>
                <w:color w:val="auto"/>
              </w:rPr>
            </w:pPr>
            <w:r>
              <w:rPr>
                <w:rFonts w:ascii="Arial" w:cs="Arial" w:eastAsia="Arial" w:hAnsi="Arial"/>
                <w:sz w:val="18"/>
                <w:szCs w:val="18"/>
                <w:color w:val="auto"/>
                <w:w w:val="99"/>
              </w:rPr>
              <w:t>share.</w:t>
            </w: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02"/>
        </w:trPr>
        <w:tc>
          <w:tcPr>
            <w:tcW w:w="680" w:type="dxa"/>
            <w:vAlign w:val="bottom"/>
          </w:tcPr>
          <w:p>
            <w:pPr>
              <w:spacing w:after="0"/>
              <w:rPr>
                <w:sz w:val="24"/>
                <w:szCs w:val="24"/>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The following table summarizes, as of</w:t>
            </w:r>
          </w:p>
        </w:tc>
        <w:tc>
          <w:tcPr>
            <w:tcW w:w="6960" w:type="dxa"/>
            <w:vAlign w:val="bottom"/>
            <w:gridSpan w:val="2"/>
          </w:tcPr>
          <w:p>
            <w:pPr>
              <w:ind w:left="380"/>
              <w:spacing w:after="0"/>
              <w:rPr>
                <w:sz w:val="20"/>
                <w:szCs w:val="20"/>
                <w:color w:val="auto"/>
              </w:rPr>
            </w:pPr>
            <w:r>
              <w:rPr>
                <w:rFonts w:ascii="Arial" w:cs="Arial" w:eastAsia="Arial" w:hAnsi="Arial"/>
                <w:sz w:val="18"/>
                <w:szCs w:val="18"/>
                <w:color w:val="auto"/>
                <w:w w:val="98"/>
              </w:rPr>
              <w:t>, on a pro forma as adjusted basis as described above, the number of shares of our</w:t>
            </w:r>
          </w:p>
        </w:tc>
      </w:tr>
    </w:tbl>
    <w:p>
      <w:pPr>
        <w:ind w:left="160"/>
        <w:spacing w:after="0" w:line="2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common stock, the total consideration and the average price per share (1) paid to us by existing stockholders, and (2) to be paid by new</w:t>
      </w:r>
    </w:p>
    <w:p>
      <w:pPr>
        <w:spacing w:after="0" w:line="1" w:lineRule="exact"/>
        <w:rPr>
          <w:sz w:val="20"/>
          <w:szCs w:val="20"/>
          <w:color w:val="auto"/>
        </w:rPr>
      </w:pPr>
    </w:p>
    <w:p>
      <w:pPr>
        <w:jc w:val="both"/>
        <w:ind w:left="160" w:right="40"/>
        <w:spacing w:after="0" w:line="237" w:lineRule="auto"/>
        <w:rPr>
          <w:sz w:val="20"/>
          <w:szCs w:val="20"/>
          <w:color w:val="auto"/>
        </w:rPr>
      </w:pPr>
      <w:r>
        <w:rPr>
          <w:rFonts w:ascii="Arial" w:cs="Arial" w:eastAsia="Arial" w:hAnsi="Arial"/>
          <w:sz w:val="18"/>
          <w:szCs w:val="18"/>
          <w:color w:val="auto"/>
        </w:rPr>
        <w:t>investors acquiring our common stock in this offering at an assumed initial public offering price of $ per share, the midpoint of the estimated price range set forth on the cover page of this prospectus, before deducting estimated underwriting discounts and commissions and estimated offering expenses.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 Price</w:t>
            </w: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2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Number</w:t>
            </w:r>
          </w:p>
        </w:tc>
        <w:tc>
          <w:tcPr>
            <w:tcW w:w="660" w:type="dxa"/>
            <w:vAlign w:val="bottom"/>
            <w:gridSpan w:val="2"/>
          </w:tcPr>
          <w:p>
            <w:pPr>
              <w:jc w:val="right"/>
              <w:ind w:right="71"/>
              <w:spacing w:after="0" w:line="154" w:lineRule="exact"/>
              <w:rPr>
                <w:sz w:val="20"/>
                <w:szCs w:val="20"/>
                <w:color w:val="auto"/>
              </w:rPr>
            </w:pPr>
            <w:r>
              <w:rPr>
                <w:rFonts w:ascii="Arial" w:cs="Arial" w:eastAsia="Arial" w:hAnsi="Arial"/>
                <w:sz w:val="14"/>
                <w:szCs w:val="14"/>
                <w:color w:val="auto"/>
                <w:w w:val="99"/>
              </w:rPr>
              <w:t>Percent</w:t>
            </w:r>
          </w:p>
        </w:tc>
        <w:tc>
          <w:tcPr>
            <w:tcW w:w="360" w:type="dxa"/>
            <w:vAlign w:val="bottom"/>
          </w:tcPr>
          <w:p>
            <w:pPr>
              <w:spacing w:after="0"/>
              <w:rPr>
                <w:sz w:val="13"/>
                <w:szCs w:val="13"/>
                <w:color w:val="auto"/>
              </w:rPr>
            </w:pPr>
          </w:p>
        </w:tc>
        <w:tc>
          <w:tcPr>
            <w:tcW w:w="640" w:type="dxa"/>
            <w:vAlign w:val="bottom"/>
          </w:tcPr>
          <w:p>
            <w:pPr>
              <w:ind w:left="80"/>
              <w:spacing w:after="0" w:line="154"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1040" w:type="dxa"/>
            <w:vAlign w:val="bottom"/>
            <w:gridSpan w:val="2"/>
          </w:tcPr>
          <w:p>
            <w:pPr>
              <w:jc w:val="right"/>
              <w:ind w:right="431"/>
              <w:spacing w:after="0" w:line="154" w:lineRule="exact"/>
              <w:rPr>
                <w:sz w:val="20"/>
                <w:szCs w:val="20"/>
                <w:color w:val="auto"/>
              </w:rPr>
            </w:pPr>
            <w:r>
              <w:rPr>
                <w:rFonts w:ascii="Arial" w:cs="Arial" w:eastAsia="Arial" w:hAnsi="Arial"/>
                <w:sz w:val="14"/>
                <w:szCs w:val="14"/>
                <w:color w:val="auto"/>
              </w:rPr>
              <w:t>Percent</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5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Existing stockholders</w:t>
            </w: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jc w:val="right"/>
              <w:ind w:right="271"/>
              <w:spacing w:after="0" w:line="194"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CCEEFF"/>
            </w:tcBorders>
            <w:shd w:val="clear" w:color="auto" w:fill="CCEEFF"/>
          </w:tcPr>
          <w:p>
            <w:pPr>
              <w:jc w:val="right"/>
              <w:ind w:right="703"/>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rPr>
              <w:t>New investors</w:t>
            </w: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429"/>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71"/>
              <w:spacing w:after="0" w:line="201" w:lineRule="exact"/>
              <w:rPr>
                <w:sz w:val="20"/>
                <w:szCs w:val="20"/>
                <w:color w:val="auto"/>
              </w:rPr>
            </w:pPr>
            <w:r>
              <w:rPr>
                <w:rFonts w:ascii="Arial" w:cs="Arial" w:eastAsia="Arial" w:hAnsi="Arial"/>
                <w:sz w:val="18"/>
                <w:szCs w:val="18"/>
                <w:color w:val="auto"/>
              </w:rPr>
              <w:t>100.0%</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6840" w:type="dxa"/>
            <w:vAlign w:val="bottom"/>
            <w:gridSpan w:val="3"/>
          </w:tcPr>
          <w:p>
            <w:pPr>
              <w:ind w:left="54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8"/>
                <w:szCs w:val="18"/>
                <w:color w:val="auto"/>
              </w:rPr>
              <w:t>per share, the midpoint of the estimated</w:t>
            </w:r>
          </w:p>
        </w:tc>
      </w:tr>
    </w:tbl>
    <w:p>
      <w:pPr>
        <w:ind w:left="160"/>
        <w:spacing w:after="0" w:line="232" w:lineRule="auto"/>
        <w:rPr>
          <w:sz w:val="20"/>
          <w:szCs w:val="20"/>
          <w:color w:val="auto"/>
        </w:rPr>
      </w:pPr>
      <w:r>
        <w:rPr>
          <w:rFonts w:ascii="Arial" w:cs="Arial" w:eastAsia="Arial" w:hAnsi="Arial"/>
          <w:sz w:val="18"/>
          <w:szCs w:val="18"/>
          <w:color w:val="auto"/>
        </w:rPr>
        <w:t>price range set forth on the cover page of this prospectus, would increase (decrease) the total consideration paid by new investors and</w:t>
      </w:r>
    </w:p>
    <w:p>
      <w:pPr>
        <w:spacing w:after="0" w:line="1"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total consideration paid by all stockholders by approximately $ million, assuming that the number of shares of common stock offered by us, as set forth on the cover page of this prospectus, remains the same and after deducting estimated underwriting discounts and commissions and estimated offering expenses.</w:t>
      </w:r>
    </w:p>
    <w:p>
      <w:pPr>
        <w:sectPr>
          <w:pgSz w:w="11900" w:h="16838" w:orient="portrait"/>
          <w:cols w:equalWidth="0" w:num="1">
            <w:col w:w="11080"/>
          </w:cols>
          <w:pgMar w:left="320" w:top="441" w:right="499" w:bottom="1440" w:gutter="0" w:footer="0" w:header="0"/>
        </w:sectPr>
      </w:pPr>
    </w:p>
    <w:p>
      <w:pPr>
        <w:spacing w:after="0" w:line="203"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 and excludes: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325" w:lineRule="exact"/>
        <w:rPr>
          <w:sz w:val="20"/>
          <w:szCs w:val="20"/>
          <w:color w:val="auto"/>
        </w:rPr>
      </w:pPr>
    </w:p>
    <w:p>
      <w:pPr>
        <w:sectPr>
          <w:pgSz w:w="11900" w:h="16838" w:orient="portrait"/>
          <w:cols w:equalWidth="0" w:num="2">
            <w:col w:w="8120" w:space="720"/>
            <w:col w:w="2240"/>
          </w:cols>
          <w:pgMar w:left="320" w:top="441" w:right="499" w:bottom="1440" w:gutter="0" w:footer="0" w:header="0"/>
          <w:type w:val="continuous"/>
        </w:sectPr>
      </w:pPr>
    </w:p>
    <w:p>
      <w:pPr>
        <w:ind w:left="70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stock options outstanding as of</w:t>
      </w:r>
    </w:p>
    <w:p>
      <w:pPr>
        <w:spacing w:after="0" w:line="5" w:lineRule="exact"/>
        <w:rPr>
          <w:sz w:val="20"/>
          <w:szCs w:val="20"/>
          <w:color w:val="auto"/>
        </w:rPr>
      </w:pPr>
    </w:p>
    <w:p>
      <w:pPr>
        <w:ind w:left="92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under our 2016 Plan with a</w:t>
      </w:r>
    </w:p>
    <w:p>
      <w:pPr>
        <w:spacing w:after="0" w:line="320" w:lineRule="exact"/>
        <w:rPr>
          <w:sz w:val="20"/>
          <w:szCs w:val="20"/>
          <w:color w:val="auto"/>
        </w:rPr>
      </w:pPr>
    </w:p>
    <w:p>
      <w:pPr>
        <w:sectPr>
          <w:pgSz w:w="11900" w:h="16838" w:orient="portrait"/>
          <w:cols w:equalWidth="0" w:num="2">
            <w:col w:w="8180" w:space="720"/>
            <w:col w:w="2180"/>
          </w:cols>
          <w:pgMar w:left="320" w:top="441" w:right="499" w:bottom="1440" w:gutter="0" w:footer="0" w:header="0"/>
          <w:type w:val="continuous"/>
        </w:sectPr>
      </w:pPr>
    </w:p>
    <w:p>
      <w:pPr>
        <w:ind w:left="700"/>
        <w:spacing w:after="0"/>
        <w:tabs>
          <w:tab w:leader="none" w:pos="1740" w:val="left"/>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common stock reserved for future issuance under our 2021 Plan, which became effective on</w:t>
      </w:r>
      <w:r>
        <w:rPr>
          <w:sz w:val="20"/>
          <w:szCs w:val="20"/>
          <w:color w:val="auto"/>
        </w:rPr>
        <w:tab/>
      </w:r>
      <w:r>
        <w:rPr>
          <w:rFonts w:ascii="Arial" w:cs="Arial" w:eastAsia="Arial" w:hAnsi="Arial"/>
          <w:sz w:val="14"/>
          <w:szCs w:val="14"/>
          <w:color w:val="auto"/>
        </w:rPr>
        <w:t>,</w:t>
      </w:r>
    </w:p>
    <w:p>
      <w:pPr>
        <w:ind w:left="920"/>
        <w:spacing w:after="0" w:line="232" w:lineRule="auto"/>
        <w:rPr>
          <w:sz w:val="20"/>
          <w:szCs w:val="20"/>
          <w:color w:val="auto"/>
        </w:rPr>
      </w:pPr>
      <w:r>
        <w:rPr>
          <w:rFonts w:ascii="Arial" w:cs="Arial" w:eastAsia="Arial" w:hAnsi="Arial"/>
          <w:sz w:val="18"/>
          <w:szCs w:val="18"/>
          <w:color w:val="auto"/>
        </w:rPr>
        <w:t>2021, as well as any future increases, including annual automatic evergreen increases, in the number of shares of common</w:t>
      </w:r>
    </w:p>
    <w:p>
      <w:pPr>
        <w:ind w:left="920"/>
        <w:spacing w:after="0" w:line="233" w:lineRule="auto"/>
        <w:rPr>
          <w:sz w:val="20"/>
          <w:szCs w:val="20"/>
          <w:color w:val="auto"/>
        </w:rPr>
      </w:pPr>
      <w:r>
        <w:rPr>
          <w:rFonts w:ascii="Arial" w:cs="Arial" w:eastAsia="Arial" w:hAnsi="Arial"/>
          <w:sz w:val="18"/>
          <w:szCs w:val="18"/>
          <w:color w:val="auto"/>
        </w:rPr>
        <w:t>stock reserved for issuance under our 2019 Plan and any shares underlying outstanding stock awards granted under our 2016</w:t>
      </w:r>
    </w:p>
    <w:p>
      <w:pPr>
        <w:ind w:left="920"/>
        <w:spacing w:after="0" w:line="232" w:lineRule="auto"/>
        <w:rPr>
          <w:sz w:val="20"/>
          <w:szCs w:val="20"/>
          <w:color w:val="auto"/>
        </w:rPr>
      </w:pPr>
      <w:r>
        <w:rPr>
          <w:rFonts w:ascii="Arial" w:cs="Arial" w:eastAsia="Arial" w:hAnsi="Arial"/>
          <w:sz w:val="18"/>
          <w:szCs w:val="18"/>
          <w:color w:val="auto"/>
        </w:rPr>
        <w:t>Plan that expire or are repurchased, forfeited, cancelled or withheld, as more fully described in the section titled “Executive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Compensation—Equity Incentive Plans”.</w:t>
      </w:r>
    </w:p>
    <w:p>
      <w:pPr>
        <w:spacing w:after="0" w:line="208"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2016 Plan as of were exercised or settled, then our existing stockholders, including the holders of these options, would own % and our new investors would own % of the total number of shares of our common stock outstanding on the completion of this offering.</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41" w:right="4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i w:val="1"/>
          <w:iCs w:val="1"/>
          <w:color w:val="auto"/>
        </w:rPr>
        <w:t>The following discussion and analysis summarizes the significant factors affecting the operating results, financial condition, liquidity, and cash flows of our company as of and for the periods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206" w:lineRule="exact"/>
        <w:rPr>
          <w:sz w:val="20"/>
          <w:szCs w:val="20"/>
          <w:color w:val="auto"/>
        </w:rPr>
      </w:pPr>
    </w:p>
    <w:p>
      <w:pPr>
        <w:jc w:val="both"/>
        <w:ind w:left="160" w:right="280" w:firstLine="546"/>
        <w:spacing w:after="0" w:line="236"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20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51 countries. As we add accounts, buyers and sellers in additional countries, the geographic mix of our 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206" w:lineRule="exact"/>
        <w:rPr>
          <w:sz w:val="20"/>
          <w:szCs w:val="20"/>
          <w:color w:val="auto"/>
        </w:rPr>
      </w:pPr>
    </w:p>
    <w:p>
      <w:pPr>
        <w:ind w:left="160" w:right="660" w:firstLine="546"/>
        <w:spacing w:after="0" w:line="239" w:lineRule="auto"/>
        <w:rPr>
          <w:sz w:val="20"/>
          <w:szCs w:val="20"/>
          <w:color w:val="auto"/>
        </w:rPr>
      </w:pPr>
      <w:r>
        <w:rPr>
          <w:rFonts w:ascii="Arial" w:cs="Arial" w:eastAsia="Arial" w:hAnsi="Arial"/>
          <w:sz w:val="18"/>
          <w:szCs w:val="18"/>
          <w:color w:val="auto"/>
        </w:rPr>
        <w:t>During the quarters ended March 31, 2021 and 2020, no one customer accounted for more than 10% of our revenue. As of March 31, 2021, one customer accounted for approximately 10% of our accounts receivable.</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quarter-over-quarter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History</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202"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40"/>
          </w:cols>
          <w:pgMar w:left="320" w:top="456"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-5715</wp:posOffset>
            </wp:positionV>
            <wp:extent cx="5137785" cy="269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3778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 to Market</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 capabilities. These buyers then may recommend our platform to other potential buyers within their organizations who design other end products and who may use an entirely different set of manufacturing processes, deepening our reach and stickiness with an account.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204"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order to grow our business, we must cost-effectively attract and retain buyers and increase their engagement with our platform over time. Our AI-driven ordering process enables efficient platform 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204" w:lineRule="exact"/>
        <w:rPr>
          <w:sz w:val="20"/>
          <w:szCs w:val="20"/>
          <w:color w:val="auto"/>
        </w:rPr>
      </w:pPr>
    </w:p>
    <w:p>
      <w:pPr>
        <w:ind w:left="160" w:right="220" w:firstLine="546"/>
        <w:spacing w:after="0" w:line="237" w:lineRule="auto"/>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1" w:lineRule="exact"/>
        <w:rPr>
          <w:sz w:val="20"/>
          <w:szCs w:val="20"/>
          <w:color w:val="auto"/>
        </w:rPr>
      </w:pPr>
    </w:p>
    <w:p>
      <w:pPr>
        <w:ind w:left="920" w:right="120" w:hanging="218"/>
        <w:spacing w:after="0" w:line="242"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costs of our digital marketing strategies, branding costs and other advertising costs, certain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expenses, and compensation expenses, including stock-based compensation, to our sales and marketing employees, which we refer to in the aggregate as our sales and marketing expenses for the relevant time period, divided by the number of new buyers acquired during the same period.</w:t>
      </w:r>
    </w:p>
    <w:p>
      <w:pPr>
        <w:spacing w:after="0" w:line="87" w:lineRule="exact"/>
        <w:rPr>
          <w:rFonts w:ascii="Arial" w:cs="Arial" w:eastAsia="Arial" w:hAnsi="Arial"/>
          <w:sz w:val="18"/>
          <w:szCs w:val="18"/>
          <w:color w:val="auto"/>
        </w:rPr>
      </w:pPr>
    </w:p>
    <w:p>
      <w:pPr>
        <w:ind w:left="920" w:hanging="218"/>
        <w:spacing w:after="0" w:line="236"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LTV </w:t>
      </w:r>
      <w:r>
        <w:rPr>
          <w:rFonts w:ascii="Arial" w:cs="Arial" w:eastAsia="Arial" w:hAnsi="Arial"/>
          <w:sz w:val="18"/>
          <w:szCs w:val="18"/>
          <w:color w:val="auto"/>
        </w:rPr>
        <w:t>means the estimated cumulative lifetime gross profit attributable to a particular buyer cohort divided by the number of buyers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during the cohort period. Each buyer cohort is defined as all buyers who were acquired during a specific period. To estimate the cumulative lifetime gross profit, we use a Markov chain Monte Carlo statistical analysis that samples thousands of typical lifetime histories in order to model mean lifetimes, expected order counts and order values. We also utilize neural networks to estimate customer-specific distribution parameters. The simulations provide the distribution of outcomes for each customer, including mean lifetimes, expected revenue and churn, which are used to calculate the cumulative lifetime gross profit. The assumptions underlying our calculation of LTV represent estimates, which involve inherent uncertainties and the application of judgment. As a result, if factors or expected outcomes change, or our assumptions or estimates prove incorrect, our LTV could be materially different.</w:t>
      </w:r>
    </w:p>
    <w:p>
      <w:pPr>
        <w:spacing w:after="0" w:line="206"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Retention and Expansion of Existing Accounts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145415</wp:posOffset>
            </wp:positionV>
            <wp:extent cx="4500880" cy="2284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0088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20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active sellers, which we define as sellers that have used our platform at least once during the last twelve months to manufacture a product or buy tools or supplies,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 to date; however, we expect revenue from seller services to grow over time. We believe that increased revenue from seller services will have a favorable impact on our gross margin.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23" w:lineRule="exact"/>
        <w:rPr>
          <w:sz w:val="20"/>
          <w:szCs w:val="20"/>
          <w:color w:val="auto"/>
        </w:rPr>
      </w:pPr>
    </w:p>
    <w:p>
      <w:pPr>
        <w:ind w:left="160" w:right="60" w:firstLine="546"/>
        <w:spacing w:after="0" w:line="251" w:lineRule="auto"/>
        <w:rPr>
          <w:sz w:val="20"/>
          <w:szCs w:val="20"/>
          <w:color w:val="auto"/>
        </w:rPr>
      </w:pPr>
      <w:r>
        <w:rPr>
          <w:rFonts w:ascii="Arial" w:cs="Arial" w:eastAsia="Arial" w:hAnsi="Arial"/>
          <w:sz w:val="17"/>
          <w:szCs w:val="17"/>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203" w:lineRule="exact"/>
        <w:rPr>
          <w:sz w:val="20"/>
          <w:szCs w:val="20"/>
          <w:color w:val="auto"/>
        </w:rPr>
      </w:pPr>
    </w:p>
    <w:p>
      <w:pPr>
        <w:ind w:left="160" w:right="700" w:firstLine="546"/>
        <w:spacing w:after="0" w:line="268" w:lineRule="auto"/>
        <w:rPr>
          <w:sz w:val="20"/>
          <w:szCs w:val="20"/>
          <w:color w:val="auto"/>
        </w:rPr>
      </w:pPr>
      <w:r>
        <w:rPr>
          <w:rFonts w:ascii="Arial" w:cs="Arial" w:eastAsia="Arial" w:hAnsi="Arial"/>
          <w:sz w:val="17"/>
          <w:szCs w:val="17"/>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9"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parts for pharmaceutical manufacturing machinery. We believe the COVID-19 pandemic has validated our platform, highlighting the need for resilient supply chains, and reshaping the way buyers source their manufacturing needs.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30"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Active Buyers</w:t>
      </w:r>
    </w:p>
    <w:p>
      <w:pPr>
        <w:spacing w:after="0" w:line="12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20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24,160 as of March 31, 2021, up 83% from 13,195 as of March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284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3778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206"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For the quarter ended March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363855</wp:posOffset>
            </wp:positionV>
            <wp:extent cx="5137785" cy="15963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37785" cy="15963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2"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 (26.4) million in 2019. For the year ended December 31, 2020, Adjusted EBITDA increased to (17)% of revenue, as compared to (33)% of revenue in 2019, driven by increased operating efficiencies as we grew our revenue faster than our supporting expenses and increased margin as we grew our gross profit faster than our revenue.</w:t>
      </w:r>
    </w:p>
    <w:p>
      <w:pPr>
        <w:spacing w:after="0" w:line="202"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For the quarter ended March 31, 2021, Adjusted EBITDA declined to $(8.8) million, compared to Adjusted EBITDA of $(7.5) million for the same quarter in 2020. For the quarter ended March 31, 2021, Adjusted EBITDA improved to (20)% of revenue, as compared to (28)% of revenue for the same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quarter in 2020, driven by increased operating efficiencies as we continued to grow our revenue faster than our supporting expenses and improved our margin as we increased our gross profit.</w:t>
      </w:r>
    </w:p>
    <w:p>
      <w:pPr>
        <w:spacing w:after="0" w:line="203"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2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3" w:lineRule="exact"/>
        <w:rPr>
          <w:sz w:val="20"/>
          <w:szCs w:val="20"/>
          <w:color w:val="auto"/>
        </w:rPr>
      </w:pPr>
    </w:p>
    <w:p>
      <w:pPr>
        <w:ind w:left="160" w:right="920" w:firstLine="546"/>
        <w:spacing w:after="0" w:line="239" w:lineRule="auto"/>
        <w:rPr>
          <w:sz w:val="20"/>
          <w:szCs w:val="20"/>
          <w:color w:val="auto"/>
        </w:rPr>
      </w:pPr>
      <w:r>
        <w:rPr>
          <w:rFonts w:ascii="Arial" w:cs="Arial" w:eastAsia="Arial" w:hAnsi="Arial"/>
          <w:sz w:val="18"/>
          <w:szCs w:val="18"/>
          <w:color w:val="auto"/>
        </w:rPr>
        <w:t>Our operating expenses consist of sales and marketing, operations and support, product development and general and administrative functions.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320" w:top="456" w:right="5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0"/>
        <w:spacing w:after="0" w:line="236" w:lineRule="auto"/>
        <w:rPr>
          <w:sz w:val="20"/>
          <w:szCs w:val="20"/>
          <w:color w:val="auto"/>
        </w:rPr>
      </w:pPr>
      <w:r>
        <w:rPr>
          <w:rFonts w:ascii="Arial" w:cs="Arial" w:eastAsia="Arial" w:hAnsi="Arial"/>
          <w:sz w:val="18"/>
          <w:szCs w:val="18"/>
          <w:color w:val="auto"/>
        </w:rPr>
        <w:t>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17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Revenue</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$ 80,228</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5"/>
              </w:rPr>
              <w:t>$ 141,406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65,492</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14,736</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14,599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10,314</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10,637</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8,016</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other intangible assets</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1,719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vMerge w:val="continue"/>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45,285</w:t>
            </w: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62,502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(30,549)</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(241)</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10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(204)</w:t>
            </w:r>
          </w:p>
        </w:tc>
        <w:tc>
          <w:tcPr>
            <w:tcW w:w="8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Total other expenses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(445)</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70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5"/>
              </w:rPr>
              <w:t>$ (30,994)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 (39,886)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Revenue</w:t>
            </w:r>
          </w:p>
        </w:tc>
        <w:tc>
          <w:tcPr>
            <w:tcW w:w="46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0"/>
              <w:spacing w:after="0" w:line="180" w:lineRule="exact"/>
              <w:rPr>
                <w:sz w:val="20"/>
                <w:szCs w:val="20"/>
                <w:color w:val="auto"/>
              </w:rPr>
            </w:pPr>
            <w:r>
              <w:rPr>
                <w:rFonts w:ascii="Arial" w:cs="Arial" w:eastAsia="Arial" w:hAnsi="Arial"/>
                <w:sz w:val="17"/>
                <w:szCs w:val="17"/>
                <w:color w:val="auto"/>
              </w:rPr>
              <w:t>100.0%</w:t>
            </w:r>
          </w:p>
        </w:tc>
        <w:tc>
          <w:tcPr>
            <w:tcW w:w="7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4620" w:type="dxa"/>
            <w:vAlign w:val="bottom"/>
          </w:tcPr>
          <w:p>
            <w:pPr>
              <w:spacing w:after="0"/>
              <w:rPr>
                <w:sz w:val="16"/>
                <w:szCs w:val="16"/>
                <w:color w:val="auto"/>
              </w:rPr>
            </w:pPr>
          </w:p>
        </w:tc>
        <w:tc>
          <w:tcPr>
            <w:tcW w:w="104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81.6</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4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18.4</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94"/>
        </w:trPr>
        <w:tc>
          <w:tcPr>
            <w:tcW w:w="4520" w:type="dxa"/>
            <w:vAlign w:val="bottom"/>
            <w:gridSpan w:val="2"/>
          </w:tcPr>
          <w:p>
            <w:pPr>
              <w:spacing w:after="0" w:line="194" w:lineRule="exact"/>
              <w:rPr>
                <w:sz w:val="20"/>
                <w:szCs w:val="20"/>
                <w:color w:val="auto"/>
              </w:rPr>
            </w:pPr>
            <w:r>
              <w:rPr>
                <w:rFonts w:ascii="Arial" w:cs="Arial" w:eastAsia="Arial" w:hAnsi="Arial"/>
                <w:sz w:val="17"/>
                <w:szCs w:val="17"/>
                <w:color w:val="auto"/>
              </w:rPr>
              <w:t>Operating expenses:</w:t>
            </w:r>
          </w:p>
        </w:tc>
        <w:tc>
          <w:tcPr>
            <w:tcW w:w="46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18.2</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12.9</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13.3</w:t>
            </w:r>
          </w:p>
        </w:tc>
        <w:tc>
          <w:tcPr>
            <w:tcW w:w="4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10.0</w:t>
            </w:r>
          </w:p>
        </w:tc>
        <w:tc>
          <w:tcPr>
            <w:tcW w:w="480" w:type="dxa"/>
            <w:vAlign w:val="bottom"/>
          </w:tcPr>
          <w:p>
            <w:pPr>
              <w:jc w:val="right"/>
              <w:spacing w:after="0" w:line="187" w:lineRule="exact"/>
              <w:rPr>
                <w:sz w:val="20"/>
                <w:szCs w:val="20"/>
                <w:color w:val="auto"/>
              </w:rPr>
            </w:pPr>
            <w:r>
              <w:rPr>
                <w:rFonts w:ascii="Arial" w:cs="Arial" w:eastAsia="Arial" w:hAnsi="Arial"/>
                <w:sz w:val="17"/>
                <w:szCs w:val="17"/>
                <w:color w:val="auto"/>
              </w:rPr>
              <w:t>8.5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intangible assets</w:t>
            </w:r>
          </w:p>
        </w:tc>
        <w:tc>
          <w:tcPr>
            <w:tcW w:w="46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2.1</w:t>
            </w:r>
          </w:p>
        </w:tc>
        <w:tc>
          <w:tcPr>
            <w:tcW w:w="5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5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(38.1)</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(0.6)</w:t>
            </w:r>
          </w:p>
        </w:tc>
        <w:tc>
          <w:tcPr>
            <w:tcW w:w="7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46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620" w:type="dxa"/>
            <w:vAlign w:val="bottom"/>
            <w:vMerge w:val="restart"/>
          </w:tcPr>
          <w:p>
            <w:pPr>
              <w:jc w:val="right"/>
              <w:ind w:right="3495"/>
              <w:spacing w:after="0"/>
              <w:rPr>
                <w:sz w:val="20"/>
                <w:szCs w:val="20"/>
                <w:color w:val="auto"/>
              </w:rPr>
            </w:pPr>
            <w:r>
              <w:rPr>
                <w:rFonts w:ascii="Arial" w:cs="Arial" w:eastAsia="Arial" w:hAnsi="Arial"/>
                <w:sz w:val="18"/>
                <w:szCs w:val="18"/>
                <w:color w:val="auto"/>
              </w:rPr>
              <w:t>75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the Quarters Ended March 31, 2020 and 2021</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unaudited statement of operations data for the quarters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7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8"/>
              </w:rPr>
              <w:t>$26,689</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9"/>
              </w:rPr>
              <w:t>$ 43,922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21,324</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5,365</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3,293</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2,958</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2,736</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13,717</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(8,352)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(153)</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(102)</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other expenses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(8,607)</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 (8,607)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The following table sets forth our unaudited statement of operations data expressed as a percentage of total revenue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5740" w:type="dxa"/>
            <w:vAlign w:val="bottom"/>
            <w:tcBorders>
              <w:right w:val="single" w:sz="8" w:color="CCEEFF"/>
            </w:tcBorders>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79.9</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5740" w:type="dxa"/>
            <w:vAlign w:val="bottom"/>
            <w:gridSpan w:val="3"/>
          </w:tcPr>
          <w:p>
            <w:pPr>
              <w:jc w:val="right"/>
              <w:ind w:right="640"/>
              <w:spacing w:after="0" w:line="201" w:lineRule="exact"/>
              <w:rPr>
                <w:sz w:val="20"/>
                <w:szCs w:val="20"/>
                <w:color w:val="auto"/>
              </w:rPr>
            </w:pPr>
            <w:r>
              <w:rPr>
                <w:rFonts w:ascii="Arial" w:cs="Arial" w:eastAsia="Arial" w:hAnsi="Arial"/>
                <w:sz w:val="18"/>
                <w:szCs w:val="18"/>
                <w:color w:val="auto"/>
              </w:rPr>
              <w:t>12.3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5740" w:type="dxa"/>
            <w:vAlign w:val="bottom"/>
            <w:tcBorders>
              <w:right w:val="single" w:sz="8" w:color="CCEEFF"/>
            </w:tcBorders>
            <w:gridSpan w:val="3"/>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4600" w:type="dxa"/>
            <w:vAlign w:val="bottom"/>
          </w:tcPr>
          <w:p>
            <w:pPr>
              <w:spacing w:after="0"/>
              <w:rPr>
                <w:sz w:val="17"/>
                <w:szCs w:val="17"/>
                <w:color w:val="auto"/>
              </w:rPr>
            </w:pPr>
          </w:p>
        </w:tc>
        <w:tc>
          <w:tcPr>
            <w:tcW w:w="11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0" w:type="dxa"/>
            <w:vAlign w:val="bottom"/>
            <w:vMerge w:val="restart"/>
          </w:tcPr>
          <w:p>
            <w:pPr>
              <w:jc w:val="right"/>
              <w:ind w:right="3411"/>
              <w:spacing w:after="0"/>
              <w:rPr>
                <w:sz w:val="20"/>
                <w:szCs w:val="20"/>
                <w:color w:val="auto"/>
              </w:rPr>
            </w:pPr>
            <w:r>
              <w:rPr>
                <w:rFonts w:ascii="Arial" w:cs="Arial" w:eastAsia="Arial" w:hAnsi="Arial"/>
                <w:sz w:val="18"/>
                <w:szCs w:val="18"/>
                <w:color w:val="auto"/>
              </w:rPr>
              <w:t>76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Total revenue increased $17.2 million, or 65%, from $26.7 million for the quarter ended March 31, 2020 to $43.9 million for the quarter ended March 31, 2021. This increase was primarily the result of an 83% increase in the number of active buyers resulting from investment in sales and marketing, as well as existing buyers increasing their spend on the platform for the quarter ended March 31, 2021 as compared to the prior quarter.</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quarters ended March 31, 2021 and 2020, was $41.3 million and $26.3 million, for the U.S. respectively, and $2.6 million and $0.4 million, for Europe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Total cost of revenue increased $ 12.8 million, or 60%, from $21.3 million for the quarter ended March 31, 2020 to $34.1 million for the quarter ended March 31, 2021.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Gross profit increased $4.5 million, or 83%, from $5.4 million for the quarter ended March 31, 2020 to $9.8 million for the quarter ended March 31, 2021. The increase in gross profit was due primarily to the increase in revenue described above.</w:t>
      </w:r>
    </w:p>
    <w:p>
      <w:pPr>
        <w:spacing w:after="0" w:line="203" w:lineRule="exact"/>
        <w:rPr>
          <w:sz w:val="20"/>
          <w:szCs w:val="20"/>
          <w:color w:val="auto"/>
        </w:rPr>
      </w:pPr>
    </w:p>
    <w:p>
      <w:pPr>
        <w:ind w:left="160" w:right="360" w:firstLine="546"/>
        <w:spacing w:after="0" w:line="236" w:lineRule="auto"/>
        <w:rPr>
          <w:sz w:val="20"/>
          <w:szCs w:val="20"/>
          <w:color w:val="auto"/>
        </w:rPr>
      </w:pPr>
      <w:r>
        <w:rPr>
          <w:rFonts w:ascii="Arial" w:cs="Arial" w:eastAsia="Arial" w:hAnsi="Arial"/>
          <w:sz w:val="18"/>
          <w:szCs w:val="18"/>
          <w:color w:val="auto"/>
        </w:rPr>
        <w:t>Gross margin increased to 22% for the quarter ended March 31, 2021 from 20% for the quarter ended March 31, 2020. This increase was primarily the result of a growing number of active sellers from the prior year quarter,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jc w:val="both"/>
        <w:ind w:left="160" w:firstLine="546"/>
        <w:spacing w:after="0" w:line="236" w:lineRule="auto"/>
        <w:rPr>
          <w:sz w:val="20"/>
          <w:szCs w:val="20"/>
          <w:color w:val="auto"/>
        </w:rPr>
      </w:pPr>
      <w:r>
        <w:rPr>
          <w:rFonts w:ascii="Arial" w:cs="Arial" w:eastAsia="Arial" w:hAnsi="Arial"/>
          <w:sz w:val="18"/>
          <w:szCs w:val="18"/>
          <w:color w:val="auto"/>
        </w:rPr>
        <w:t>Sales and marketing expense increased $ 2.8 million, or 60%, from $4.7 million for the quarter ended March 31, 2020 to $7.6 million for the quarter ended March 31, 2021, a result of continued investment to drive revenue growth and our hiring of additional employees. As a percent of total revenue, sales and marketing expenses remained flat at approximately 17% for the quarters ended March 31, 2021 and 2020.</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Operations and support increased $1.0 million, or 31%, from $3.3 million for the quarter ended March 31, 2020 to $4.3 million for the quarter ended March 31, 2021, primarily as a result of additional compensation-related expenses due to additional headcount to support the growth of buyer and seller activity on our platform. As a percent of total revenue, operations and support expenses decreased to 10% for the quarter ended March 31, 2021 from 12% for the quarter ended March 31, 2020, as we continued to increase operating leverage resulting from the additional scale of our business.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ind w:left="160" w:right="900" w:firstLine="546"/>
        <w:spacing w:after="0" w:line="239" w:lineRule="auto"/>
        <w:rPr>
          <w:sz w:val="20"/>
          <w:szCs w:val="20"/>
          <w:color w:val="auto"/>
        </w:rPr>
      </w:pPr>
      <w:r>
        <w:rPr>
          <w:rFonts w:ascii="Arial" w:cs="Arial" w:eastAsia="Arial" w:hAnsi="Arial"/>
          <w:sz w:val="18"/>
          <w:szCs w:val="18"/>
          <w:color w:val="auto"/>
        </w:rPr>
        <w:t>Product development expense increased $0.7 million, or 24%, from $3.0 million for the quarter ended March 31, 2020 to $3.7 million for the quarter ended March 31, 2021, a result of increased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compensation-related expenses not eligible for capitalization. As a percent of total revenue, product development expenses decreased to 8% for the quarter ended March 31, 2021 from 11% for the quarter ended March 31, 2020, as we continue to increase operating leverage resulting from the additional scale of our business.</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 and administrative expense increased $1.6 million, or 58%, from $2.7 million for the quarter ended March 31, 2020 to $4.3 million for the quarter ended March 31, 2021, primarily as a result of an increase in compensation-related expenses related to additional legal, accounting and financial headcount and third party expenses as we prepare to become a public company, as well as additional overhead expenses to support the growth of our business operations. As a percent of total revenue, general and administrative expenses remained flat at approximately 10% of revenue for both quarters.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Interest expense, net increased by $0.2 million, or 116%, from $ 0.2 million for the quarter ended March 31, 2020 to $0.3 million for the quarter ended March 31, 2021, as a result of additional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loss from our U.S. operating segment for the quarters ended March 31, 2021 and 2020, was $8.2 million and</w:t>
      </w:r>
    </w:p>
    <w:p>
      <w:pPr>
        <w:ind w:left="160"/>
        <w:spacing w:after="0" w:line="232" w:lineRule="auto"/>
        <w:rPr>
          <w:sz w:val="20"/>
          <w:szCs w:val="20"/>
          <w:color w:val="auto"/>
        </w:rPr>
      </w:pPr>
      <w:r>
        <w:rPr>
          <w:rFonts w:ascii="Arial" w:cs="Arial" w:eastAsia="Arial" w:hAnsi="Arial"/>
          <w:sz w:val="18"/>
          <w:szCs w:val="18"/>
          <w:color w:val="auto"/>
        </w:rPr>
        <w:t>$7.4 million, respectively. Total segment loss from our Europe operating segment for the quarters ended March 31, 2021 and 2020, was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$2.3 million and $1.2 million, respectively.</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property and equipment for our U.S. operating segment for the quarter ended March 31, 2021, was $6.1 million.</w:t>
      </w:r>
    </w:p>
    <w:p>
      <w:pPr>
        <w:ind w:left="160"/>
        <w:spacing w:after="0"/>
        <w:rPr>
          <w:sz w:val="20"/>
          <w:szCs w:val="20"/>
          <w:color w:val="auto"/>
        </w:rPr>
      </w:pPr>
      <w:r>
        <w:rPr>
          <w:rFonts w:ascii="Arial" w:cs="Arial" w:eastAsia="Arial" w:hAnsi="Arial"/>
          <w:sz w:val="18"/>
          <w:szCs w:val="18"/>
          <w:color w:val="auto"/>
        </w:rPr>
        <w:t>Total segment property and equipment for our Europe operating segment for the quarter ended March 31, 2021, was $0.6 million.</w:t>
      </w:r>
    </w:p>
    <w:p>
      <w:pPr>
        <w:spacing w:after="0" w:line="208"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Total segment depreciation and amortization for our U.S. operating segment for the quarters ended March 31, 2021 and 2020, was $0.6 million and $0.5 million, respectively. Total segment depreciation and amortization for our Europe operating segment for the quarters ended March 31, 2021 and 2020, was $0.1 million and $0.2 million, respectively.</w:t>
      </w:r>
    </w:p>
    <w:p>
      <w:pPr>
        <w:spacing w:after="0" w:line="203"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Total cash paid to acquire property, equipment and long-lived assets for our U.S. operating segment during the quarters ended March 31, 2021 and 2020, was $1.1 million and $1.0 million, respectively. Total cash paid to acquire property, equipment and long-lived assets for our Europe operating segment during the quarters ended March 31, 2021 and 2020, was $0.2 million and $10,000, respectively.</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Total revenue increased $ 61.2 million, or 76%, from $ 80.2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from the prior year.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Total cost of revenue increased $42.6 million, or 65%, from $ 65.5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Sales and marketing expense increased $8.0 million, or 55%, from $14.6 million for the year ended December 31, 2019 to</w:t>
      </w:r>
    </w:p>
    <w:p>
      <w:pPr>
        <w:ind w:left="160"/>
        <w:spacing w:after="0" w:line="232" w:lineRule="auto"/>
        <w:rPr>
          <w:sz w:val="20"/>
          <w:szCs w:val="20"/>
          <w:color w:val="auto"/>
        </w:rPr>
      </w:pPr>
      <w:r>
        <w:rPr>
          <w:rFonts w:ascii="Arial" w:cs="Arial" w:eastAsia="Arial" w:hAnsi="Arial"/>
          <w:sz w:val="18"/>
          <w:szCs w:val="18"/>
          <w:color w:val="auto"/>
        </w:rPr>
        <w:t>$22.6 million for the year ended December 31, 2020, a result of continued investment to drive revenue growth and additional employees.</w:t>
      </w:r>
    </w:p>
    <w:p>
      <w:pPr>
        <w:ind w:left="160"/>
        <w:spacing w:after="0" w:line="233" w:lineRule="auto"/>
        <w:rPr>
          <w:sz w:val="20"/>
          <w:szCs w:val="20"/>
          <w:color w:val="auto"/>
        </w:rPr>
      </w:pPr>
      <w:r>
        <w:rPr>
          <w:rFonts w:ascii="Arial" w:cs="Arial" w:eastAsia="Arial" w:hAnsi="Arial"/>
          <w:sz w:val="18"/>
          <w:szCs w:val="18"/>
          <w:color w:val="auto"/>
        </w:rPr>
        <w:t>As a percent of total revenue, sales and marketing expenses decreased to 16% for the year ended December 31, 2020 from 18% for the</w:t>
      </w:r>
    </w:p>
    <w:p>
      <w:pPr>
        <w:ind w:left="160"/>
        <w:spacing w:after="0"/>
        <w:rPr>
          <w:sz w:val="20"/>
          <w:szCs w:val="20"/>
          <w:color w:val="auto"/>
        </w:rPr>
      </w:pPr>
      <w:r>
        <w:rPr>
          <w:rFonts w:ascii="Arial" w:cs="Arial" w:eastAsia="Arial" w:hAnsi="Arial"/>
          <w:sz w:val="18"/>
          <w:szCs w:val="18"/>
          <w:color w:val="auto"/>
        </w:rPr>
        <w:t>year ended December 31, 2019, as we continued to increase operating leverage resulting from the additional scale of our business.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6"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30" w:lineRule="exact"/>
        <w:rPr>
          <w:sz w:val="20"/>
          <w:szCs w:val="20"/>
          <w:color w:val="auto"/>
        </w:rPr>
      </w:pPr>
    </w:p>
    <w:p>
      <w:pPr>
        <w:ind w:left="160" w:right="500" w:firstLine="546"/>
        <w:spacing w:after="0" w:line="236" w:lineRule="auto"/>
        <w:rPr>
          <w:sz w:val="20"/>
          <w:szCs w:val="20"/>
          <w:color w:val="auto"/>
        </w:rPr>
      </w:pPr>
      <w:r>
        <w:rPr>
          <w:rFonts w:ascii="Arial" w:cs="Arial" w:eastAsia="Arial" w:hAnsi="Arial"/>
          <w:sz w:val="18"/>
          <w:szCs w:val="18"/>
          <w:color w:val="auto"/>
        </w:rPr>
        <w:t>Goodwill and intangible assets impairment expense for the year ended December 31, 2020, was $1.6 million, as compared to $1.7 million for the year ended December 31, 2019. The impairment of goodwill and intangible assets expense for the years ended December 31, 2020 and 2019, was primarily attributable to lower-than-expected growth rates and non-realized synergies related to previous acquisitions.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expenses increased by $0.6 million, or 282%, from $0.2 million for the year ended December 31, 2019 to $0.8 million for the year ended December 31, 2020, as a result of additional sales tax remitted to certain governmental authorities.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3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were $22.1 million and $9.0 million, respectively.</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20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nine quarters and as a percentage of revenue for the quarters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7"/>
          </w:tcPr>
          <w:p>
            <w:pPr>
              <w:jc w:val="right"/>
              <w:ind w:right="18"/>
              <w:spacing w:after="0"/>
              <w:rPr>
                <w:sz w:val="20"/>
                <w:szCs w:val="20"/>
                <w:color w:val="auto"/>
              </w:rPr>
            </w:pPr>
            <w:r>
              <w:rPr>
                <w:rFonts w:ascii="Arial" w:cs="Arial" w:eastAsia="Arial" w:hAnsi="Arial"/>
                <w:sz w:val="11"/>
                <w:szCs w:val="11"/>
                <w:b w:val="1"/>
                <w:bCs w:val="1"/>
                <w:color w:val="auto"/>
              </w:rPr>
              <w:t>Quarter Ended</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4"/>
          </w:tcPr>
          <w:p>
            <w:pPr>
              <w:jc w:val="right"/>
              <w:ind w:right="60"/>
              <w:spacing w:after="0" w:line="99" w:lineRule="exact"/>
              <w:rPr>
                <w:sz w:val="20"/>
                <w:szCs w:val="20"/>
                <w:color w:val="auto"/>
              </w:rPr>
            </w:pPr>
            <w:r>
              <w:rPr>
                <w:rFonts w:ascii="Arial" w:cs="Arial" w:eastAsia="Arial" w:hAnsi="Arial"/>
                <w:sz w:val="11"/>
                <w:szCs w:val="11"/>
                <w:b w:val="1"/>
                <w:bCs w:val="1"/>
                <w:color w:val="auto"/>
                <w:w w:val="94"/>
              </w:rPr>
              <w:t>March 31,</w:t>
            </w:r>
          </w:p>
        </w:tc>
        <w:tc>
          <w:tcPr>
            <w:tcW w:w="120" w:type="dxa"/>
            <w:vAlign w:val="bottom"/>
          </w:tcPr>
          <w:p>
            <w:pPr>
              <w:spacing w:after="0"/>
              <w:rPr>
                <w:sz w:val="8"/>
                <w:szCs w:val="8"/>
                <w:color w:val="auto"/>
              </w:rPr>
            </w:pPr>
          </w:p>
        </w:tc>
        <w:tc>
          <w:tcPr>
            <w:tcW w:w="660" w:type="dxa"/>
            <w:vAlign w:val="bottom"/>
            <w:gridSpan w:val="3"/>
          </w:tcPr>
          <w:p>
            <w:pPr>
              <w:jc w:val="center"/>
              <w:ind w:right="20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840" w:type="dxa"/>
            <w:vAlign w:val="bottom"/>
            <w:gridSpan w:val="5"/>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7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March 31,</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1"/>
                <w:szCs w:val="11"/>
                <w:b w:val="1"/>
                <w:bCs w:val="1"/>
                <w:color w:val="auto"/>
                <w:w w:val="90"/>
              </w:rPr>
              <w:t>June 30,</w:t>
            </w:r>
          </w:p>
        </w:tc>
        <w:tc>
          <w:tcPr>
            <w:tcW w:w="120" w:type="dxa"/>
            <w:vAlign w:val="bottom"/>
          </w:tcPr>
          <w:p>
            <w:pPr>
              <w:spacing w:after="0"/>
              <w:rPr>
                <w:sz w:val="8"/>
                <w:szCs w:val="8"/>
                <w:color w:val="auto"/>
              </w:rPr>
            </w:pPr>
          </w:p>
        </w:tc>
        <w:tc>
          <w:tcPr>
            <w:tcW w:w="840" w:type="dxa"/>
            <w:vAlign w:val="bottom"/>
            <w:gridSpan w:val="5"/>
          </w:tcPr>
          <w:p>
            <w:pPr>
              <w:jc w:val="right"/>
              <w:ind w:right="67"/>
              <w:spacing w:after="0" w:line="99" w:lineRule="exact"/>
              <w:rPr>
                <w:sz w:val="20"/>
                <w:szCs w:val="20"/>
                <w:color w:val="auto"/>
              </w:rPr>
            </w:pPr>
            <w:r>
              <w:rPr>
                <w:rFonts w:ascii="Arial" w:cs="Arial" w:eastAsia="Arial" w:hAnsi="Arial"/>
                <w:sz w:val="11"/>
                <w:szCs w:val="11"/>
                <w:b w:val="1"/>
                <w:bCs w:val="1"/>
                <w:color w:val="auto"/>
                <w:w w:val="93"/>
              </w:rPr>
              <w:t>September 30,</w:t>
            </w:r>
          </w:p>
        </w:tc>
        <w:tc>
          <w:tcPr>
            <w:tcW w:w="80" w:type="dxa"/>
            <w:vAlign w:val="bottom"/>
          </w:tcPr>
          <w:p>
            <w:pPr>
              <w:spacing w:after="0"/>
              <w:rPr>
                <w:sz w:val="8"/>
                <w:szCs w:val="8"/>
                <w:color w:val="auto"/>
              </w:rPr>
            </w:pPr>
          </w:p>
        </w:tc>
        <w:tc>
          <w:tcPr>
            <w:tcW w:w="8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8"/>
                <w:szCs w:val="8"/>
                <w:color w:val="auto"/>
              </w:rPr>
            </w:pPr>
          </w:p>
        </w:tc>
        <w:tc>
          <w:tcPr>
            <w:tcW w:w="500" w:type="dxa"/>
            <w:vAlign w:val="bottom"/>
            <w:gridSpan w:val="2"/>
          </w:tcPr>
          <w:p>
            <w:pPr>
              <w:jc w:val="center"/>
              <w:spacing w:after="0" w:line="9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580" w:type="dxa"/>
            <w:vAlign w:val="bottom"/>
            <w:gridSpan w:val="2"/>
          </w:tcPr>
          <w:p>
            <w:pPr>
              <w:jc w:val="center"/>
              <w:ind w:left="79"/>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62"/>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right"/>
              <w:ind w:right="81"/>
              <w:spacing w:after="0"/>
              <w:rPr>
                <w:sz w:val="20"/>
                <w:szCs w:val="20"/>
                <w:color w:val="auto"/>
              </w:rPr>
            </w:pPr>
            <w:r>
              <w:rPr>
                <w:rFonts w:ascii="Arial" w:cs="Arial" w:eastAsia="Arial" w:hAnsi="Arial"/>
                <w:sz w:val="11"/>
                <w:szCs w:val="11"/>
                <w:b w:val="1"/>
                <w:bCs w:val="1"/>
                <w:color w:val="auto"/>
                <w:w w:val="97"/>
              </w:rPr>
              <w:t>2020</w:t>
            </w:r>
          </w:p>
        </w:tc>
        <w:tc>
          <w:tcPr>
            <w:tcW w:w="200" w:type="dxa"/>
            <w:vAlign w:val="bottom"/>
          </w:tcPr>
          <w:p>
            <w:pPr>
              <w:spacing w:after="0"/>
              <w:rPr>
                <w:sz w:val="11"/>
                <w:szCs w:val="11"/>
                <w:color w:val="auto"/>
              </w:rPr>
            </w:pPr>
          </w:p>
        </w:tc>
        <w:tc>
          <w:tcPr>
            <w:tcW w:w="44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left="118"/>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8"/>
          </w:tcPr>
          <w:p>
            <w:pPr>
              <w:jc w:val="right"/>
              <w:ind w:right="358"/>
              <w:spacing w:after="0" w:line="99" w:lineRule="exact"/>
              <w:rPr>
                <w:sz w:val="20"/>
                <w:szCs w:val="20"/>
                <w:color w:val="auto"/>
              </w:rPr>
            </w:pPr>
            <w:r>
              <w:rPr>
                <w:rFonts w:ascii="Arial" w:cs="Arial" w:eastAsia="Arial" w:hAnsi="Arial"/>
                <w:sz w:val="11"/>
                <w:szCs w:val="11"/>
                <w:b w:val="1"/>
                <w:bCs w:val="1"/>
                <w:color w:val="auto"/>
              </w:rPr>
              <w:t>(in thousands)</w:t>
            </w: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8"/>
          </w:tcPr>
          <w:p>
            <w:pPr>
              <w:ind w:left="180"/>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center"/>
              <w:ind w:left="99"/>
              <w:spacing w:after="0" w:line="134" w:lineRule="exact"/>
              <w:rPr>
                <w:sz w:val="20"/>
                <w:szCs w:val="20"/>
                <w:color w:val="auto"/>
              </w:rPr>
            </w:pPr>
            <w:r>
              <w:rPr>
                <w:rFonts w:ascii="Arial" w:cs="Arial" w:eastAsia="Arial" w:hAnsi="Arial"/>
                <w:sz w:val="12"/>
                <w:szCs w:val="12"/>
                <w:color w:val="auto"/>
                <w:w w:val="89"/>
              </w:rPr>
              <w:t>$</w:t>
            </w: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15,248</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$ 18,799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21,923</w:t>
            </w:r>
          </w:p>
        </w:tc>
        <w:tc>
          <w:tcPr>
            <w:tcW w:w="36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24,258</w:t>
            </w: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26,689</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89"/>
              </w:rPr>
              <w:t>$ 34,783</w:t>
            </w:r>
          </w:p>
        </w:tc>
        <w:tc>
          <w:tcPr>
            <w:tcW w:w="200" w:type="dxa"/>
            <w:vAlign w:val="bottom"/>
            <w:gridSpan w:val="2"/>
            <w:shd w:val="clear" w:color="auto" w:fill="CCEEFF"/>
          </w:tcPr>
          <w:p>
            <w:pPr>
              <w:jc w:val="center"/>
              <w:ind w:left="41"/>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41,953</w:t>
            </w:r>
          </w:p>
        </w:tc>
        <w:tc>
          <w:tcPr>
            <w:tcW w:w="20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37,980</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$ 43,922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12,368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15,141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17,999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19,984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21,324</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26,518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31,778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28,501</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3,658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3,924</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5,365</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8,265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10,175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9,479</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9,835</w:t>
            </w: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2,681</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3,426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4,139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4,352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4,730</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5,126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5,986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6,725</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7,563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2,300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2,326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2,673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3,015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3,293</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3,173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3,671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3,973</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2,020</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2,879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3,260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2,958</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3,003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3,307</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1,490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2,028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2,175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2,323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2,736</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2,774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3,282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3,255</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1,719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520" w:type="dxa"/>
            <w:vAlign w:val="bottom"/>
            <w:tcBorders>
              <w:left w:val="single" w:sz="8" w:color="CCEEFF"/>
            </w:tcBorders>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1,592</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8,491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10,259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11,866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87"/>
              <w:spacing w:after="0"/>
              <w:rPr>
                <w:sz w:val="20"/>
                <w:szCs w:val="20"/>
                <w:color w:val="auto"/>
              </w:rPr>
            </w:pPr>
            <w:r>
              <w:rPr>
                <w:rFonts w:ascii="Arial" w:cs="Arial" w:eastAsia="Arial" w:hAnsi="Arial"/>
                <w:sz w:val="12"/>
                <w:szCs w:val="12"/>
                <w:color w:val="auto"/>
              </w:rPr>
              <w:t>14,669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138"/>
              <w:spacing w:after="0"/>
              <w:rPr>
                <w:sz w:val="20"/>
                <w:szCs w:val="20"/>
                <w:color w:val="auto"/>
              </w:rPr>
            </w:pPr>
            <w:r>
              <w:rPr>
                <w:rFonts w:ascii="Arial" w:cs="Arial" w:eastAsia="Arial" w:hAnsi="Arial"/>
                <w:sz w:val="12"/>
                <w:szCs w:val="12"/>
                <w:color w:val="auto"/>
              </w:rPr>
              <w:t>13,717</w:t>
            </w: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13,992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67"/>
              <w:spacing w:after="0"/>
              <w:rPr>
                <w:sz w:val="20"/>
                <w:szCs w:val="20"/>
                <w:color w:val="auto"/>
              </w:rPr>
            </w:pPr>
            <w:r>
              <w:rPr>
                <w:rFonts w:ascii="Arial" w:cs="Arial" w:eastAsia="Arial" w:hAnsi="Arial"/>
                <w:sz w:val="12"/>
                <w:szCs w:val="12"/>
                <w:color w:val="auto"/>
              </w:rPr>
              <w:t>15,942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18,852</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rPr>
              <w:t>19,884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(5,611)</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(6,601)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(7,942)</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(10,395)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(8,352)</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(5,727)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(5,767)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(9,373)</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(10,049)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(170)</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59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(153)</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(307)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(365)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27"/>
              <w:spacing w:after="0" w:line="134" w:lineRule="exact"/>
              <w:rPr>
                <w:sz w:val="20"/>
                <w:szCs w:val="20"/>
                <w:color w:val="auto"/>
              </w:rPr>
            </w:pPr>
            <w:r>
              <w:rPr>
                <w:rFonts w:ascii="Arial" w:cs="Arial" w:eastAsia="Arial" w:hAnsi="Arial"/>
                <w:sz w:val="12"/>
                <w:szCs w:val="12"/>
                <w:color w:val="auto"/>
              </w:rPr>
              <w:t>(80)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rPr>
              <w:t>(102)</w:t>
            </w:r>
          </w:p>
        </w:tc>
        <w:tc>
          <w:tcPr>
            <w:tcW w:w="52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7"/>
              <w:spacing w:after="0" w:line="134" w:lineRule="exact"/>
              <w:rPr>
                <w:sz w:val="20"/>
                <w:szCs w:val="20"/>
                <w:color w:val="auto"/>
              </w:rPr>
            </w:pPr>
            <w:r>
              <w:rPr>
                <w:rFonts w:ascii="Arial" w:cs="Arial" w:eastAsia="Arial" w:hAnsi="Arial"/>
                <w:sz w:val="12"/>
                <w:szCs w:val="12"/>
                <w:color w:val="auto"/>
                <w:w w:val="99"/>
              </w:rPr>
              <w:t>(109)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(440)</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(124)</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(148)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(35)</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(136)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(255)</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(416)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(805)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(6,749)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(6,120)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(6,183)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(10,501)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4"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left w:val="single" w:sz="8" w:color="CCEEFF"/>
            </w:tcBorders>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(8,801)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center"/>
              <w:ind w:left="99"/>
              <w:spacing w:after="0"/>
              <w:rPr>
                <w:sz w:val="20"/>
                <w:szCs w:val="20"/>
                <w:color w:val="auto"/>
              </w:rPr>
            </w:pPr>
            <w:r>
              <w:rPr>
                <w:rFonts w:ascii="Arial" w:cs="Arial" w:eastAsia="Arial" w:hAnsi="Arial"/>
                <w:sz w:val="12"/>
                <w:szCs w:val="12"/>
                <w:color w:val="auto"/>
                <w:w w:val="89"/>
              </w:rPr>
              <w:t>$</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 (6,749)</w:t>
            </w:r>
          </w:p>
        </w:tc>
        <w:tc>
          <w:tcPr>
            <w:tcW w:w="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1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w w:val="95"/>
              </w:rPr>
              <w:t>$ (6,120)</w:t>
            </w:r>
          </w:p>
        </w:tc>
        <w:tc>
          <w:tcPr>
            <w:tcW w:w="200" w:type="dxa"/>
            <w:vAlign w:val="bottom"/>
            <w:gridSpan w:val="2"/>
          </w:tcPr>
          <w:p>
            <w:pPr>
              <w:jc w:val="center"/>
              <w:ind w:left="41"/>
              <w:spacing w:after="0"/>
              <w:rPr>
                <w:sz w:val="20"/>
                <w:szCs w:val="20"/>
                <w:color w:val="auto"/>
              </w:rPr>
            </w:pPr>
            <w:r>
              <w:rPr>
                <w:rFonts w:ascii="Arial" w:cs="Arial" w:eastAsia="Arial" w:hAnsi="Arial"/>
                <w:sz w:val="12"/>
                <w:szCs w:val="12"/>
                <w:color w:val="auto"/>
                <w:w w:val="89"/>
              </w:rPr>
              <w:t>$</w:t>
            </w: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(14,984)</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6"/>
              </w:rPr>
              <w:t>Quarter Ended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80" w:type="dxa"/>
            <w:vAlign w:val="bottom"/>
            <w:gridSpan w:val="2"/>
          </w:tcPr>
          <w:p>
            <w:pPr>
              <w:jc w:val="right"/>
              <w:ind w:right="280"/>
              <w:spacing w:after="0" w:line="99"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5"/>
          </w:tcPr>
          <w:p>
            <w:pPr>
              <w:jc w:val="center"/>
              <w:ind w:right="28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jc w:val="center"/>
              <w:ind w:right="40"/>
              <w:spacing w:after="0" w:line="99" w:lineRule="exact"/>
              <w:rPr>
                <w:sz w:val="20"/>
                <w:szCs w:val="20"/>
                <w:color w:val="auto"/>
              </w:rPr>
            </w:pPr>
            <w:r>
              <w:rPr>
                <w:rFonts w:ascii="Arial" w:cs="Arial" w:eastAsia="Arial" w:hAnsi="Arial"/>
                <w:sz w:val="11"/>
                <w:szCs w:val="11"/>
                <w:b w:val="1"/>
                <w:bCs w:val="1"/>
                <w:color w:val="auto"/>
                <w:w w:val="98"/>
              </w:rPr>
              <w:t>September 30,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tcPr>
          <w:p>
            <w:pPr>
              <w:jc w:val="center"/>
              <w:ind w:right="127"/>
              <w:spacing w:after="0" w:line="99"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8"/>
                <w:szCs w:val="8"/>
                <w:color w:val="auto"/>
              </w:rPr>
            </w:pPr>
          </w:p>
        </w:tc>
        <w:tc>
          <w:tcPr>
            <w:tcW w:w="540" w:type="dxa"/>
            <w:vAlign w:val="bottom"/>
            <w:gridSpan w:val="3"/>
          </w:tcPr>
          <w:p>
            <w:pPr>
              <w:jc w:val="right"/>
              <w:ind w:right="40"/>
              <w:spacing w:after="0" w:line="99" w:lineRule="exact"/>
              <w:rPr>
                <w:sz w:val="20"/>
                <w:szCs w:val="20"/>
                <w:color w:val="auto"/>
              </w:rPr>
            </w:pPr>
            <w:r>
              <w:rPr>
                <w:rFonts w:ascii="Arial" w:cs="Arial" w:eastAsia="Arial" w:hAnsi="Arial"/>
                <w:sz w:val="11"/>
                <w:szCs w:val="11"/>
                <w:b w:val="1"/>
                <w:bCs w:val="1"/>
                <w:color w:val="auto"/>
                <w:w w:val="94"/>
              </w:rPr>
              <w:t>March 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5"/>
              </w:rPr>
              <w:t>June 30,</w:t>
            </w:r>
          </w:p>
        </w:tc>
        <w:tc>
          <w:tcPr>
            <w:tcW w:w="300" w:type="dxa"/>
            <w:vAlign w:val="bottom"/>
          </w:tcPr>
          <w:p>
            <w:pPr>
              <w:spacing w:after="0"/>
              <w:rPr>
                <w:sz w:val="8"/>
                <w:szCs w:val="8"/>
                <w:color w:val="auto"/>
              </w:rPr>
            </w:pPr>
          </w:p>
        </w:tc>
        <w:tc>
          <w:tcPr>
            <w:tcW w:w="820" w:type="dxa"/>
            <w:vAlign w:val="bottom"/>
            <w:gridSpan w:val="6"/>
          </w:tcPr>
          <w:p>
            <w:pPr>
              <w:jc w:val="right"/>
              <w:ind w:right="80"/>
              <w:spacing w:after="0" w:line="99" w:lineRule="exact"/>
              <w:rPr>
                <w:sz w:val="20"/>
                <w:szCs w:val="20"/>
                <w:color w:val="auto"/>
              </w:rPr>
            </w:pPr>
            <w:r>
              <w:rPr>
                <w:rFonts w:ascii="Arial" w:cs="Arial" w:eastAsia="Arial" w:hAnsi="Arial"/>
                <w:sz w:val="11"/>
                <w:szCs w:val="11"/>
                <w:b w:val="1"/>
                <w:bCs w:val="1"/>
                <w:color w:val="auto"/>
                <w:w w:val="95"/>
              </w:rPr>
              <w:t>September 30,</w:t>
            </w:r>
          </w:p>
        </w:tc>
        <w:tc>
          <w:tcPr>
            <w:tcW w:w="240" w:type="dxa"/>
            <w:vAlign w:val="bottom"/>
          </w:tcPr>
          <w:p>
            <w:pPr>
              <w:spacing w:after="0"/>
              <w:rPr>
                <w:sz w:val="8"/>
                <w:szCs w:val="8"/>
                <w:color w:val="auto"/>
              </w:rPr>
            </w:pPr>
          </w:p>
        </w:tc>
        <w:tc>
          <w:tcPr>
            <w:tcW w:w="1000" w:type="dxa"/>
            <w:vAlign w:val="bottom"/>
            <w:gridSpan w:val="6"/>
          </w:tcPr>
          <w:p>
            <w:pPr>
              <w:jc w:val="right"/>
              <w:ind w:right="320"/>
              <w:spacing w:after="0" w:line="99" w:lineRule="exact"/>
              <w:rPr>
                <w:sz w:val="20"/>
                <w:szCs w:val="20"/>
                <w:color w:val="auto"/>
              </w:rPr>
            </w:pPr>
            <w:r>
              <w:rPr>
                <w:rFonts w:ascii="Arial" w:cs="Arial" w:eastAsia="Arial" w:hAnsi="Arial"/>
                <w:sz w:val="11"/>
                <w:szCs w:val="11"/>
                <w:b w:val="1"/>
                <w:bCs w:val="1"/>
                <w:color w:val="auto"/>
                <w:w w:val="92"/>
              </w:rPr>
              <w:t>December 31,</w:t>
            </w:r>
          </w:p>
        </w:tc>
        <w:tc>
          <w:tcPr>
            <w:tcW w:w="50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4"/>
              </w:rPr>
              <w:t>March 31,</w:t>
            </w: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2019</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1"/>
                <w:szCs w:val="11"/>
                <w:b w:val="1"/>
                <w:bCs w:val="1"/>
                <w:color w:val="auto"/>
                <w:w w:val="97"/>
              </w:rPr>
              <w:t>2019</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8"/>
          </w:tcPr>
          <w:p>
            <w:pPr>
              <w:jc w:val="right"/>
              <w:ind w:right="180"/>
              <w:spacing w:after="0" w:line="99" w:lineRule="exact"/>
              <w:rPr>
                <w:sz w:val="20"/>
                <w:szCs w:val="20"/>
                <w:color w:val="auto"/>
              </w:rPr>
            </w:pPr>
            <w:r>
              <w:rPr>
                <w:rFonts w:ascii="Arial" w:cs="Arial" w:eastAsia="Arial" w:hAnsi="Arial"/>
                <w:sz w:val="11"/>
                <w:szCs w:val="11"/>
                <w:b w:val="1"/>
                <w:bCs w:val="1"/>
                <w:color w:val="auto"/>
              </w:rPr>
              <w:t>(as a % of revenue)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680" w:type="dxa"/>
            <w:vAlign w:val="bottom"/>
            <w:gridSpan w:val="4"/>
            <w:shd w:val="clear" w:color="auto" w:fill="CCEEFF"/>
          </w:tcPr>
          <w:p>
            <w:pPr>
              <w:jc w:val="right"/>
              <w:ind w:right="58"/>
              <w:spacing w:after="0"/>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1"/>
              <w:spacing w:after="0"/>
              <w:rPr>
                <w:sz w:val="20"/>
                <w:szCs w:val="20"/>
                <w:color w:val="auto"/>
              </w:rPr>
            </w:pPr>
            <w:r>
              <w:rPr>
                <w:rFonts w:ascii="Arial" w:cs="Arial" w:eastAsia="Arial" w:hAnsi="Arial"/>
                <w:sz w:val="12"/>
                <w:szCs w:val="12"/>
                <w:color w:val="auto"/>
              </w:rPr>
              <w:t>100.0%</w:t>
            </w:r>
          </w:p>
        </w:tc>
        <w:tc>
          <w:tcPr>
            <w:tcW w:w="960" w:type="dxa"/>
            <w:vAlign w:val="bottom"/>
            <w:gridSpan w:val="5"/>
            <w:shd w:val="clear" w:color="auto" w:fill="CCEEFF"/>
          </w:tcPr>
          <w:p>
            <w:pPr>
              <w:jc w:val="right"/>
              <w:ind w:right="7"/>
              <w:spacing w:after="0"/>
              <w:rPr>
                <w:sz w:val="20"/>
                <w:szCs w:val="20"/>
                <w:color w:val="auto"/>
              </w:rPr>
            </w:pPr>
            <w:r>
              <w:rPr>
                <w:rFonts w:ascii="Arial" w:cs="Arial" w:eastAsia="Arial" w:hAnsi="Arial"/>
                <w:sz w:val="12"/>
                <w:szCs w:val="12"/>
                <w:color w:val="auto"/>
              </w:rPr>
              <w:t>100.0%</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900" w:type="dxa"/>
            <w:vAlign w:val="bottom"/>
            <w:gridSpan w:val="4"/>
            <w:shd w:val="clear" w:color="auto" w:fill="CCEEFF"/>
          </w:tcPr>
          <w:p>
            <w:pPr>
              <w:jc w:val="right"/>
              <w:ind w:right="139"/>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2"/>
                <w:szCs w:val="12"/>
                <w:color w:val="auto"/>
                <w:w w:val="98"/>
              </w:rPr>
              <w:t>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81.1</w:t>
            </w:r>
          </w:p>
        </w:tc>
        <w:tc>
          <w:tcPr>
            <w:tcW w:w="280" w:type="dxa"/>
            <w:vAlign w:val="bottom"/>
          </w:tcPr>
          <w:p>
            <w:pPr>
              <w:spacing w:after="0"/>
              <w:rPr>
                <w:sz w:val="11"/>
                <w:szCs w:val="11"/>
                <w:color w:val="auto"/>
              </w:rPr>
            </w:pP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80.5</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82.1</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82.4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79.9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76.2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75.0</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77.6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w:t>
            </w:r>
          </w:p>
        </w:tc>
        <w:tc>
          <w:tcPr>
            <w:tcW w:w="28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17.6</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23.8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17.6</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18.2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18.9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17.9</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14.7</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15.1</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12.4</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12.4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9.1</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13.2</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13.2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13.4</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8.4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7.2</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9.8</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10.8</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127"/>
              <w:spacing w:after="0" w:line="134" w:lineRule="exact"/>
              <w:rPr>
                <w:sz w:val="20"/>
                <w:szCs w:val="20"/>
                <w:color w:val="auto"/>
              </w:rPr>
            </w:pPr>
            <w:r>
              <w:rPr>
                <w:rFonts w:ascii="Arial" w:cs="Arial" w:eastAsia="Arial" w:hAnsi="Arial"/>
                <w:sz w:val="12"/>
                <w:szCs w:val="12"/>
                <w:color w:val="auto"/>
                <w:w w:val="95"/>
              </w:rPr>
              <w:t>9.6</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8.0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8.6</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w w:val="95"/>
              </w:rPr>
              <w:t>7.1</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55.7</w:t>
            </w:r>
          </w:p>
        </w:tc>
        <w:tc>
          <w:tcPr>
            <w:tcW w:w="280" w:type="dxa"/>
            <w:vAlign w:val="bottom"/>
          </w:tcPr>
          <w:p>
            <w:pPr>
              <w:spacing w:after="0"/>
              <w:rPr>
                <w:sz w:val="12"/>
                <w:szCs w:val="12"/>
                <w:color w:val="auto"/>
              </w:rPr>
            </w:pPr>
          </w:p>
        </w:tc>
        <w:tc>
          <w:tcPr>
            <w:tcW w:w="680" w:type="dxa"/>
            <w:vAlign w:val="bottom"/>
            <w:gridSpan w:val="4"/>
          </w:tcPr>
          <w:p>
            <w:pPr>
              <w:jc w:val="right"/>
              <w:ind w:right="178"/>
              <w:spacing w:after="0"/>
              <w:rPr>
                <w:sz w:val="20"/>
                <w:szCs w:val="20"/>
                <w:color w:val="auto"/>
              </w:rPr>
            </w:pPr>
            <w:r>
              <w:rPr>
                <w:rFonts w:ascii="Arial" w:cs="Arial" w:eastAsia="Arial" w:hAnsi="Arial"/>
                <w:sz w:val="12"/>
                <w:szCs w:val="12"/>
                <w:color w:val="auto"/>
              </w:rPr>
              <w:t>54.6</w:t>
            </w:r>
          </w:p>
        </w:tc>
        <w:tc>
          <w:tcPr>
            <w:tcW w:w="60" w:type="dxa"/>
            <w:vAlign w:val="bottom"/>
          </w:tcPr>
          <w:p>
            <w:pPr>
              <w:spacing w:after="0"/>
              <w:rPr>
                <w:sz w:val="12"/>
                <w:szCs w:val="12"/>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2"/>
                <w:szCs w:val="12"/>
                <w:color w:val="auto"/>
              </w:rPr>
              <w:t>54.1</w:t>
            </w:r>
          </w:p>
        </w:tc>
        <w:tc>
          <w:tcPr>
            <w:tcW w:w="180" w:type="dxa"/>
            <w:vAlign w:val="bottom"/>
          </w:tcPr>
          <w:p>
            <w:pPr>
              <w:spacing w:after="0"/>
              <w:rPr>
                <w:sz w:val="12"/>
                <w:szCs w:val="12"/>
                <w:color w:val="auto"/>
              </w:rPr>
            </w:pPr>
          </w:p>
        </w:tc>
        <w:tc>
          <w:tcPr>
            <w:tcW w:w="960" w:type="dxa"/>
            <w:vAlign w:val="bottom"/>
            <w:gridSpan w:val="5"/>
          </w:tcPr>
          <w:p>
            <w:pPr>
              <w:jc w:val="right"/>
              <w:ind w:right="127"/>
              <w:spacing w:after="0"/>
              <w:rPr>
                <w:sz w:val="20"/>
                <w:szCs w:val="20"/>
                <w:color w:val="auto"/>
              </w:rPr>
            </w:pPr>
            <w:r>
              <w:rPr>
                <w:rFonts w:ascii="Arial" w:cs="Arial" w:eastAsia="Arial" w:hAnsi="Arial"/>
                <w:sz w:val="12"/>
                <w:szCs w:val="12"/>
                <w:color w:val="auto"/>
              </w:rPr>
              <w:t>60.4</w:t>
            </w:r>
          </w:p>
        </w:tc>
        <w:tc>
          <w:tcPr>
            <w:tcW w:w="660" w:type="dxa"/>
            <w:vAlign w:val="bottom"/>
            <w:gridSpan w:val="4"/>
          </w:tcPr>
          <w:p>
            <w:pPr>
              <w:jc w:val="right"/>
              <w:ind w:right="40"/>
              <w:spacing w:after="0"/>
              <w:rPr>
                <w:sz w:val="20"/>
                <w:szCs w:val="20"/>
                <w:color w:val="auto"/>
              </w:rPr>
            </w:pPr>
            <w:r>
              <w:rPr>
                <w:rFonts w:ascii="Arial" w:cs="Arial" w:eastAsia="Arial" w:hAnsi="Arial"/>
                <w:sz w:val="12"/>
                <w:szCs w:val="12"/>
                <w:color w:val="auto"/>
              </w:rPr>
              <w:t>51.4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40.2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38"/>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(35.1)</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(36.2)</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(42.8)</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(16.4)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(13.8)</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(0.2)</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(0.7)</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0.3</w:t>
            </w:r>
          </w:p>
        </w:tc>
        <w:tc>
          <w:tcPr>
            <w:tcW w:w="280" w:type="dxa"/>
            <w:vAlign w:val="bottom"/>
          </w:tcPr>
          <w:p>
            <w:pPr>
              <w:spacing w:after="0"/>
              <w:rPr>
                <w:sz w:val="11"/>
                <w:szCs w:val="11"/>
                <w:color w:val="auto"/>
              </w:rPr>
            </w:pPr>
          </w:p>
        </w:tc>
        <w:tc>
          <w:tcPr>
            <w:tcW w:w="680" w:type="dxa"/>
            <w:vAlign w:val="bottom"/>
            <w:gridSpan w:val="4"/>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tcPr>
          <w:p>
            <w:pPr>
              <w:spacing w:after="0"/>
              <w:rPr>
                <w:sz w:val="11"/>
                <w:szCs w:val="11"/>
                <w:color w:val="auto"/>
              </w:rPr>
            </w:pPr>
          </w:p>
        </w:tc>
        <w:tc>
          <w:tcPr>
            <w:tcW w:w="78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960" w:type="dxa"/>
            <w:vAlign w:val="bottom"/>
            <w:gridSpan w:val="5"/>
          </w:tcPr>
          <w:p>
            <w:pPr>
              <w:jc w:val="right"/>
              <w:ind w:right="87"/>
              <w:spacing w:after="0" w:line="134" w:lineRule="exact"/>
              <w:rPr>
                <w:sz w:val="20"/>
                <w:szCs w:val="20"/>
                <w:color w:val="auto"/>
              </w:rPr>
            </w:pPr>
            <w:r>
              <w:rPr>
                <w:rFonts w:ascii="Arial" w:cs="Arial" w:eastAsia="Arial" w:hAnsi="Arial"/>
                <w:sz w:val="12"/>
                <w:szCs w:val="12"/>
                <w:color w:val="auto"/>
              </w:rPr>
              <w:t>(0.3)</w:t>
            </w:r>
          </w:p>
        </w:tc>
        <w:tc>
          <w:tcPr>
            <w:tcW w:w="66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(0.4)</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98"/>
              <w:spacing w:after="0" w:line="134"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60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(0.8)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(0.5)</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(1.2)</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3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780" w:type="dxa"/>
            <w:vAlign w:val="bottom"/>
            <w:gridSpan w:val="4"/>
          </w:tcPr>
          <w:p>
            <w:pPr>
              <w:jc w:val="right"/>
              <w:spacing w:after="0"/>
              <w:rPr>
                <w:sz w:val="20"/>
                <w:szCs w:val="20"/>
                <w:color w:val="auto"/>
              </w:rPr>
            </w:pPr>
            <w:r>
              <w:rPr>
                <w:rFonts w:ascii="Arial" w:cs="Arial" w:eastAsia="Arial" w:hAnsi="Arial"/>
                <w:sz w:val="12"/>
                <w:szCs w:val="12"/>
                <w:color w:val="auto"/>
              </w:rPr>
              <w:t>(36.3)</w:t>
            </w:r>
          </w:p>
        </w:tc>
        <w:tc>
          <w:tcPr>
            <w:tcW w:w="180" w:type="dxa"/>
            <w:vAlign w:val="bottom"/>
          </w:tcPr>
          <w:p>
            <w:pPr>
              <w:spacing w:after="0"/>
              <w:rPr>
                <w:sz w:val="12"/>
                <w:szCs w:val="12"/>
                <w:color w:val="auto"/>
              </w:rPr>
            </w:pPr>
          </w:p>
        </w:tc>
        <w:tc>
          <w:tcPr>
            <w:tcW w:w="960" w:type="dxa"/>
            <w:vAlign w:val="bottom"/>
            <w:gridSpan w:val="5"/>
          </w:tcPr>
          <w:p>
            <w:pPr>
              <w:jc w:val="right"/>
              <w:ind w:right="87"/>
              <w:spacing w:after="0"/>
              <w:rPr>
                <w:sz w:val="20"/>
                <w:szCs w:val="20"/>
                <w:color w:val="auto"/>
              </w:rPr>
            </w:pPr>
            <w:r>
              <w:rPr>
                <w:rFonts w:ascii="Arial" w:cs="Arial" w:eastAsia="Arial" w:hAnsi="Arial"/>
                <w:sz w:val="12"/>
                <w:szCs w:val="12"/>
                <w:color w:val="auto"/>
              </w:rPr>
              <w:t>(43.3)</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(32.3)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(17.6)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98"/>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CCEEFF"/>
            </w:tcBorders>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960" w:type="dxa"/>
            <w:vAlign w:val="bottom"/>
            <w:gridSpan w:val="5"/>
          </w:tcPr>
          <w:p>
            <w:pPr>
              <w:jc w:val="right"/>
              <w:ind w:right="21"/>
              <w:spacing w:after="0"/>
              <w:rPr>
                <w:sz w:val="20"/>
                <w:szCs w:val="20"/>
                <w:color w:val="auto"/>
              </w:rPr>
            </w:pPr>
            <w:r>
              <w:rPr>
                <w:rFonts w:ascii="Arial" w:cs="Arial" w:eastAsia="Arial" w:hAnsi="Arial"/>
                <w:sz w:val="12"/>
                <w:szCs w:val="12"/>
                <w:color w:val="auto"/>
              </w:rPr>
              <w:t>(36.3)%</w:t>
            </w:r>
          </w:p>
        </w:tc>
        <w:tc>
          <w:tcPr>
            <w:tcW w:w="960" w:type="dxa"/>
            <w:vAlign w:val="bottom"/>
            <w:gridSpan w:val="5"/>
          </w:tcPr>
          <w:p>
            <w:pPr>
              <w:jc w:val="right"/>
              <w:spacing w:after="0"/>
              <w:rPr>
                <w:sz w:val="20"/>
                <w:szCs w:val="20"/>
                <w:color w:val="auto"/>
              </w:rPr>
            </w:pPr>
            <w:r>
              <w:rPr>
                <w:rFonts w:ascii="Arial" w:cs="Arial" w:eastAsia="Arial" w:hAnsi="Arial"/>
                <w:sz w:val="12"/>
                <w:szCs w:val="12"/>
                <w:color w:val="auto"/>
              </w:rPr>
              <w:t>(43.3)%</w:t>
            </w: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(32.3)%</w:t>
            </w:r>
          </w:p>
        </w:tc>
        <w:tc>
          <w:tcPr>
            <w:tcW w:w="900" w:type="dxa"/>
            <w:vAlign w:val="bottom"/>
            <w:gridSpan w:val="4"/>
          </w:tcPr>
          <w:p>
            <w:pPr>
              <w:jc w:val="right"/>
              <w:ind w:right="99"/>
              <w:spacing w:after="0"/>
              <w:rPr>
                <w:sz w:val="20"/>
                <w:szCs w:val="20"/>
                <w:color w:val="auto"/>
              </w:rPr>
            </w:pPr>
            <w:r>
              <w:rPr>
                <w:rFonts w:ascii="Arial" w:cs="Arial" w:eastAsia="Arial" w:hAnsi="Arial"/>
                <w:sz w:val="12"/>
                <w:szCs w:val="12"/>
                <w:color w:val="auto"/>
              </w:rPr>
              <w:t>(17.6)%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18"/>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March 31, 2021, our cash and cash equivalents totaled $49.5 million, compared with $59.9 million as of December 31, 2020.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206"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3"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 $15.0 million under a term loan, all of which became available to us immediately on the agreement date. We had borrowings under the term loan of $15.0 million as of March 31, 2021 and December 31, 2020. As of March 31, 2021 and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March 31, 2021 and December 31, 2020, the Company owed $15.8 million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210"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203"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our Series B preferred stock with an exercise price of $5.13 per share that expires in May 2025.</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We exercised our right of first refusal to reacquire these shares of Convertible Preferred Stock from these stockholders at the same price the third party was willing to pay for such shares of Convertible Preferred Stock. In conjunction with the Series E offering. We sold the same shares of Series A-2, B, C and D Convertible Preferred Stock to the Series E investors for the same price that we paid to reacquire such shares of Convertible Preferred Stock. We recorded an $ 8.8 million deemed dividend to the selling stockholders, which represents the excess of the purchase price of the shares of Convertible Preferred Stock purchased by us over the original cost of the shares and was recorded in additional paid-in-capital and accumulated deficit.</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2020 to 2021</w:t>
            </w: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 Change</w:t>
            </w:r>
          </w:p>
        </w:tc>
      </w:tr>
      <w:tr>
        <w:trPr>
          <w:trHeight w:val="154"/>
        </w:trPr>
        <w:tc>
          <w:tcPr>
            <w:tcW w:w="5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409"/>
              <w:spacing w:after="0" w:line="154"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141"/>
        </w:trPr>
        <w:tc>
          <w:tcPr>
            <w:tcW w:w="5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960" w:type="dxa"/>
            <w:vAlign w:val="bottom"/>
            <w:gridSpan w:val="2"/>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$(6,305)</w:t>
            </w:r>
          </w:p>
        </w:tc>
        <w:tc>
          <w:tcPr>
            <w:tcW w:w="148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$(9,942)</w:t>
            </w:r>
          </w:p>
        </w:tc>
        <w:tc>
          <w:tcPr>
            <w:tcW w:w="13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57.7%</w:t>
            </w:r>
          </w:p>
        </w:tc>
      </w:tr>
      <w:tr>
        <w:trPr>
          <w:trHeight w:val="201"/>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2960" w:type="dxa"/>
            <w:vAlign w:val="bottom"/>
            <w:gridSpan w:val="2"/>
          </w:tcPr>
          <w:p>
            <w:pPr>
              <w:jc w:val="right"/>
              <w:ind w:right="209"/>
              <w:spacing w:after="0" w:line="201" w:lineRule="exact"/>
              <w:rPr>
                <w:sz w:val="20"/>
                <w:szCs w:val="20"/>
                <w:color w:val="auto"/>
              </w:rPr>
            </w:pPr>
            <w:r>
              <w:rPr>
                <w:rFonts w:ascii="Arial" w:cs="Arial" w:eastAsia="Arial" w:hAnsi="Arial"/>
                <w:sz w:val="18"/>
                <w:szCs w:val="18"/>
                <w:color w:val="auto"/>
              </w:rPr>
              <w:t>(1,689)</w:t>
            </w:r>
          </w:p>
        </w:tc>
        <w:tc>
          <w:tcPr>
            <w:tcW w:w="148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(1,244)</w:t>
            </w:r>
          </w:p>
        </w:tc>
        <w:tc>
          <w:tcPr>
            <w:tcW w:w="13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(26.3)</w:t>
            </w: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2960" w:type="dxa"/>
            <w:vAlign w:val="bottom"/>
            <w:gridSpan w:val="2"/>
            <w:shd w:val="clear" w:color="auto" w:fill="CCEEFF"/>
          </w:tcPr>
          <w:p>
            <w:pPr>
              <w:jc w:val="right"/>
              <w:ind w:right="269"/>
              <w:spacing w:after="0" w:line="201" w:lineRule="exact"/>
              <w:rPr>
                <w:sz w:val="20"/>
                <w:szCs w:val="20"/>
                <w:color w:val="auto"/>
              </w:rPr>
            </w:pPr>
            <w:r>
              <w:rPr>
                <w:rFonts w:ascii="Arial" w:cs="Arial" w:eastAsia="Arial" w:hAnsi="Arial"/>
                <w:sz w:val="18"/>
                <w:szCs w:val="18"/>
                <w:color w:val="auto"/>
              </w:rPr>
              <w:t>4,092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843</w:t>
            </w: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(79.4)</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2021, net cash used in operating activities was $9.9 million, primarily due to a net loss of</w:t>
      </w:r>
    </w:p>
    <w:p>
      <w:pPr>
        <w:ind w:left="160"/>
        <w:spacing w:after="0"/>
        <w:rPr>
          <w:sz w:val="20"/>
          <w:szCs w:val="20"/>
          <w:color w:val="auto"/>
        </w:rPr>
      </w:pPr>
      <w:r>
        <w:rPr>
          <w:rFonts w:ascii="Arial" w:cs="Arial" w:eastAsia="Arial" w:hAnsi="Arial"/>
          <w:sz w:val="17"/>
          <w:szCs w:val="17"/>
          <w:color w:val="auto"/>
        </w:rPr>
        <w:t>$(10.5) million adjusted for non-cash charges of $1.6 million and a net decrease in our operating assets and liabilities of $(1.0) million. The</w:t>
      </w:r>
    </w:p>
    <w:p>
      <w:pPr>
        <w:ind w:left="160"/>
        <w:spacing w:after="0" w:line="238" w:lineRule="auto"/>
        <w:rPr>
          <w:sz w:val="20"/>
          <w:szCs w:val="20"/>
          <w:color w:val="auto"/>
        </w:rPr>
      </w:pPr>
      <w:r>
        <w:rPr>
          <w:rFonts w:ascii="Arial" w:cs="Arial" w:eastAsia="Arial" w:hAnsi="Arial"/>
          <w:sz w:val="18"/>
          <w:szCs w:val="18"/>
          <w:color w:val="auto"/>
        </w:rPr>
        <w:t>non-cash adjustments primarily relate to stock-based compensation of $0.5 million and depreciation and amortization of $0.7 million. The</w:t>
      </w:r>
    </w:p>
    <w:p>
      <w:pPr>
        <w:ind w:left="160"/>
        <w:spacing w:after="0" w:line="233" w:lineRule="auto"/>
        <w:rPr>
          <w:sz w:val="20"/>
          <w:szCs w:val="20"/>
          <w:color w:val="auto"/>
        </w:rPr>
      </w:pPr>
      <w:r>
        <w:rPr>
          <w:rFonts w:ascii="Arial" w:cs="Arial" w:eastAsia="Arial" w:hAnsi="Arial"/>
          <w:sz w:val="18"/>
          <w:szCs w:val="18"/>
          <w:color w:val="auto"/>
        </w:rPr>
        <w:t>net decrease in operating assets and liabilities is primarily driven by an increase in accounts receivable of $5.5 million and prepaid</w:t>
      </w:r>
    </w:p>
    <w:p>
      <w:pPr>
        <w:ind w:left="160"/>
        <w:spacing w:after="0" w:line="232" w:lineRule="auto"/>
        <w:rPr>
          <w:sz w:val="20"/>
          <w:szCs w:val="20"/>
          <w:color w:val="auto"/>
        </w:rPr>
      </w:pPr>
      <w:r>
        <w:rPr>
          <w:rFonts w:ascii="Arial" w:cs="Arial" w:eastAsia="Arial" w:hAnsi="Arial"/>
          <w:sz w:val="18"/>
          <w:szCs w:val="18"/>
          <w:color w:val="auto"/>
        </w:rPr>
        <w:t>expenses of $0.9 million. These increases are partially offset by increases in accounts payable of $1.9 million, accrued expenses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$1.6 million and $1.6 million of contract liabilities, primarily due to the growth of our business.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2020, net cash used in operating activities was $6.3 million, primarily due to a net loss of</w:t>
      </w:r>
    </w:p>
    <w:p>
      <w:pPr>
        <w:ind w:left="160"/>
        <w:spacing w:after="0" w:line="232" w:lineRule="auto"/>
        <w:rPr>
          <w:sz w:val="20"/>
          <w:szCs w:val="20"/>
          <w:color w:val="auto"/>
        </w:rPr>
      </w:pPr>
      <w:r>
        <w:rPr>
          <w:rFonts w:ascii="Arial" w:cs="Arial" w:eastAsia="Arial" w:hAnsi="Arial"/>
          <w:sz w:val="18"/>
          <w:szCs w:val="18"/>
          <w:color w:val="auto"/>
        </w:rPr>
        <w:t>$(8.6) million adjusted for non-cash charges of $1.1 million and a net increase in our operating assets and liabilities of $1.2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$0.1 million and depreciation and amortization of $0.7 million. The</w:t>
      </w:r>
    </w:p>
    <w:p>
      <w:pPr>
        <w:ind w:left="160"/>
        <w:spacing w:after="0"/>
        <w:rPr>
          <w:sz w:val="20"/>
          <w:szCs w:val="20"/>
          <w:color w:val="auto"/>
        </w:rPr>
      </w:pPr>
      <w:r>
        <w:rPr>
          <w:rFonts w:ascii="Arial" w:cs="Arial" w:eastAsia="Arial" w:hAnsi="Arial"/>
          <w:sz w:val="17"/>
          <w:szCs w:val="17"/>
          <w:color w:val="auto"/>
        </w:rPr>
        <w:t>net increase in operating assets and liabilities is primarily driven by a decrease in accounts receivable of $2.0 million. These increases are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partially offset by a $0.3 million decrease in contract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Cash used by investing activities was $1.2 million during the quarter ended March 31, 2021, primarily due to investments in property and equipment (which includes internal-use software development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Cash used in investing activities was $1.7 million during the quarter ended March 31, 2020, primarily due to $1.0 million for the purchase of property and equipment (which includes internal-use software development costs) and $0.7 million of net purchases of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Cash provided by financing activities was $0.8 million during the quarter ended March 31, 2021, reflecting $0.8 million of proceeds from the exercise of stock options.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Cash provided by financing activities was $4.1 million during the quarter ended March 31, 2020, reflecting $4.0 million of additional borrowings on our term loan.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years indicated.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2019 to</w:t>
            </w:r>
          </w:p>
        </w:tc>
      </w:tr>
      <w:tr>
        <w:trPr>
          <w:trHeight w:val="174"/>
        </w:trPr>
        <w:tc>
          <w:tcPr>
            <w:tcW w:w="7300" w:type="dxa"/>
            <w:vAlign w:val="bottom"/>
          </w:tcPr>
          <w:p>
            <w:pPr>
              <w:spacing w:after="0"/>
              <w:rPr>
                <w:sz w:val="15"/>
                <w:szCs w:val="15"/>
                <w:color w:val="auto"/>
              </w:rPr>
            </w:pPr>
          </w:p>
        </w:tc>
        <w:tc>
          <w:tcPr>
            <w:tcW w:w="2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2020 Change</w:t>
            </w:r>
          </w:p>
        </w:tc>
      </w:tr>
      <w:tr>
        <w:trPr>
          <w:trHeight w:val="154"/>
        </w:trPr>
        <w:tc>
          <w:tcPr>
            <w:tcW w:w="73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21"/>
              <w:spacing w:after="0" w:line="154"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r>
      <w:tr>
        <w:trPr>
          <w:trHeight w:val="154"/>
        </w:trPr>
        <w:tc>
          <w:tcPr>
            <w:tcW w:w="7300" w:type="dxa"/>
            <w:vAlign w:val="bottom"/>
          </w:tcPr>
          <w:p>
            <w:pPr>
              <w:spacing w:after="0"/>
              <w:rPr>
                <w:sz w:val="13"/>
                <w:szCs w:val="13"/>
                <w:color w:val="auto"/>
              </w:rPr>
            </w:pPr>
          </w:p>
        </w:tc>
        <w:tc>
          <w:tcPr>
            <w:tcW w:w="19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141"/>
              <w:spacing w:after="0" w:line="201" w:lineRule="exact"/>
              <w:rPr>
                <w:sz w:val="20"/>
                <w:szCs w:val="20"/>
                <w:color w:val="auto"/>
              </w:rPr>
            </w:pPr>
            <w:r>
              <w:rPr>
                <w:rFonts w:ascii="Arial" w:cs="Arial" w:eastAsia="Arial" w:hAnsi="Arial"/>
                <w:sz w:val="18"/>
                <w:szCs w:val="18"/>
                <w:color w:val="auto"/>
              </w:rPr>
              <w:t>$(27,125)</w:t>
            </w:r>
          </w:p>
        </w:tc>
        <w:tc>
          <w:tcPr>
            <w:tcW w:w="14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$(22,049)</w:t>
            </w:r>
          </w:p>
        </w:tc>
        <w:tc>
          <w:tcPr>
            <w:tcW w:w="11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(18.7)%</w:t>
            </w:r>
          </w:p>
        </w:tc>
      </w:tr>
      <w:tr>
        <w:trPr>
          <w:trHeight w:val="201"/>
        </w:trPr>
        <w:tc>
          <w:tcPr>
            <w:tcW w:w="730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jc w:val="right"/>
              <w:ind w:right="141"/>
              <w:spacing w:after="0" w:line="201" w:lineRule="exact"/>
              <w:rPr>
                <w:sz w:val="20"/>
                <w:szCs w:val="20"/>
                <w:color w:val="auto"/>
              </w:rPr>
            </w:pPr>
            <w:r>
              <w:rPr>
                <w:rFonts w:ascii="Arial" w:cs="Arial" w:eastAsia="Arial" w:hAnsi="Arial"/>
                <w:sz w:val="18"/>
                <w:szCs w:val="18"/>
                <w:color w:val="auto"/>
              </w:rPr>
              <w:t>(2,350)</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6,670</w:t>
            </w:r>
          </w:p>
        </w:tc>
        <w:tc>
          <w:tcPr>
            <w:tcW w:w="11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383.8</w:t>
            </w: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CCEEFF"/>
          </w:tcPr>
          <w:p>
            <w:pPr>
              <w:jc w:val="right"/>
              <w:ind w:right="201"/>
              <w:spacing w:after="0" w:line="201" w:lineRule="exact"/>
              <w:rPr>
                <w:sz w:val="20"/>
                <w:szCs w:val="20"/>
                <w:color w:val="auto"/>
              </w:rPr>
            </w:pPr>
            <w:r>
              <w:rPr>
                <w:rFonts w:ascii="Arial" w:cs="Arial" w:eastAsia="Arial" w:hAnsi="Arial"/>
                <w:sz w:val="18"/>
                <w:szCs w:val="18"/>
                <w:color w:val="auto"/>
              </w:rPr>
              <w:t>54,715</w:t>
            </w:r>
          </w:p>
        </w:tc>
        <w:tc>
          <w:tcPr>
            <w:tcW w:w="146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35,261</w:t>
            </w:r>
          </w:p>
        </w:tc>
        <w:tc>
          <w:tcPr>
            <w:tcW w:w="11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(35.6)</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w:t>
      </w:r>
    </w:p>
    <w:p>
      <w:pPr>
        <w:ind w:left="160"/>
        <w:spacing w:after="0" w:line="232" w:lineRule="auto"/>
        <w:rPr>
          <w:sz w:val="20"/>
          <w:szCs w:val="20"/>
          <w:color w:val="auto"/>
        </w:rPr>
      </w:pPr>
      <w:r>
        <w:rPr>
          <w:rFonts w:ascii="Arial" w:cs="Arial" w:eastAsia="Arial" w:hAnsi="Arial"/>
          <w:sz w:val="18"/>
          <w:szCs w:val="18"/>
          <w:color w:val="auto"/>
        </w:rPr>
        <w:t>$(31.1) million adjusted for non-cash charges of $7.1 million and a net increase in our operating assets and liabilities of $2.0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$1.0 million, depreciation and amortization of $3.1 million and</w:t>
      </w:r>
    </w:p>
    <w:p>
      <w:pPr>
        <w:ind w:left="160"/>
        <w:spacing w:after="0" w:line="232" w:lineRule="auto"/>
        <w:rPr>
          <w:sz w:val="20"/>
          <w:szCs w:val="20"/>
          <w:color w:val="auto"/>
        </w:rPr>
      </w:pPr>
      <w:r>
        <w:rPr>
          <w:rFonts w:ascii="Arial" w:cs="Arial" w:eastAsia="Arial" w:hAnsi="Arial"/>
          <w:sz w:val="18"/>
          <w:szCs w:val="18"/>
          <w:color w:val="auto"/>
        </w:rPr>
        <w:t>impairment of goodwill and intangible assets of $1.6 million. The net increase in operating assets and liabilities is primarily driven by an</w:t>
      </w:r>
    </w:p>
    <w:p>
      <w:pPr>
        <w:ind w:left="160"/>
        <w:spacing w:after="0" w:line="233" w:lineRule="auto"/>
        <w:rPr>
          <w:sz w:val="20"/>
          <w:szCs w:val="20"/>
          <w:color w:val="auto"/>
        </w:rPr>
      </w:pPr>
      <w:r>
        <w:rPr>
          <w:rFonts w:ascii="Arial" w:cs="Arial" w:eastAsia="Arial" w:hAnsi="Arial"/>
          <w:sz w:val="18"/>
          <w:szCs w:val="18"/>
          <w:color w:val="auto"/>
        </w:rPr>
        <w:t>increase in accounts receivable of $2.1 million and accrued expenses of $8.6 million due to our growth. These increases are partially</w:t>
      </w:r>
    </w:p>
    <w:p>
      <w:pPr>
        <w:ind w:left="160"/>
        <w:spacing w:after="0"/>
        <w:rPr>
          <w:sz w:val="20"/>
          <w:szCs w:val="20"/>
          <w:color w:val="auto"/>
        </w:rPr>
      </w:pPr>
      <w:r>
        <w:rPr>
          <w:rFonts w:ascii="Arial" w:cs="Arial" w:eastAsia="Arial" w:hAnsi="Arial"/>
          <w:sz w:val="18"/>
          <w:szCs w:val="18"/>
          <w:color w:val="auto"/>
        </w:rPr>
        <w:t>offset by decrease in accounts payable of $2.4 million primarily due to the growth of our business.</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w:t>
      </w:r>
    </w:p>
    <w:p>
      <w:pPr>
        <w:ind w:left="160" w:right="20"/>
        <w:spacing w:after="0" w:line="232" w:lineRule="auto"/>
        <w:rPr>
          <w:sz w:val="20"/>
          <w:szCs w:val="20"/>
          <w:color w:val="auto"/>
        </w:rPr>
      </w:pPr>
      <w:r>
        <w:rPr>
          <w:rFonts w:ascii="Arial" w:cs="Arial" w:eastAsia="Arial" w:hAnsi="Arial"/>
          <w:sz w:val="18"/>
          <w:szCs w:val="18"/>
          <w:color w:val="auto"/>
        </w:rPr>
        <w:t>$(31.0) million adjusted for non-cash charges of $4.7 million and a net decrease in our operating assets and liabilities of $(0.8) million. The non-cash adjustments primarily relate to stock-based compensation of $0.5 million, impairment of goodwill and intangible assets of</w:t>
      </w:r>
    </w:p>
    <w:p>
      <w:pPr>
        <w:spacing w:after="0" w:line="1"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$1.7 million and depreciation and amortization of $ 1.8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440" w:firstLine="546"/>
        <w:spacing w:after="0" w:line="237"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Cash provided by financing activities was $54.7 million during the year ended December 31, 2019, reflecting $54.9 million of</w:t>
      </w:r>
    </w:p>
    <w:p>
      <w:pPr>
        <w:jc w:val="center"/>
        <w:ind w:right="-99"/>
        <w:spacing w:after="0"/>
        <w:rPr>
          <w:sz w:val="20"/>
          <w:szCs w:val="20"/>
          <w:color w:val="auto"/>
        </w:rPr>
      </w:pPr>
      <w:r>
        <w:rPr>
          <w:rFonts w:ascii="Arial" w:cs="Arial" w:eastAsia="Arial" w:hAnsi="Arial"/>
          <w:sz w:val="18"/>
          <w:szCs w:val="18"/>
          <w:color w:val="auto"/>
        </w:rPr>
        <w:t>proceeds from the issuance of Series D convertible preferred stock, partially offset by $0.5 million of payments related to our line of credit.</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following table sets forth the amounts of our significant contractual obligations and commitments with definitive payment terms as of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 due by Period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 1</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4"/>
        </w:trPr>
        <w:tc>
          <w:tcPr>
            <w:tcW w:w="5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8"/>
              </w:rPr>
              <w:t>4-5 years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4"/>
        </w:trPr>
        <w:tc>
          <w:tcPr>
            <w:tcW w:w="5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$15,753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$15,753</w:t>
            </w:r>
          </w:p>
        </w:tc>
        <w:tc>
          <w:tcPr>
            <w:tcW w:w="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tcPr>
          <w:p>
            <w:pPr>
              <w:spacing w:after="0" w:line="201" w:lineRule="exact"/>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2,403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1,153</w:t>
            </w:r>
          </w:p>
        </w:tc>
        <w:tc>
          <w:tcPr>
            <w:tcW w:w="1640" w:type="dxa"/>
            <w:vAlign w:val="bottom"/>
            <w:gridSpan w:val="3"/>
          </w:tcPr>
          <w:p>
            <w:pPr>
              <w:jc w:val="right"/>
              <w:ind w:right="480"/>
              <w:spacing w:after="0" w:line="201" w:lineRule="exact"/>
              <w:rPr>
                <w:sz w:val="20"/>
                <w:szCs w:val="20"/>
                <w:color w:val="auto"/>
              </w:rPr>
            </w:pPr>
            <w:r>
              <w:rPr>
                <w:rFonts w:ascii="Arial" w:cs="Arial" w:eastAsia="Arial" w:hAnsi="Arial"/>
                <w:sz w:val="18"/>
                <w:szCs w:val="18"/>
                <w:color w:val="auto"/>
              </w:rPr>
              <w:t>1,250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leases</w:t>
            </w:r>
          </w:p>
        </w:tc>
        <w:tc>
          <w:tcPr>
            <w:tcW w:w="6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18,171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March 31, 2021, there were no material changes to our contractual obligations and commitments.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Critical Accounting Policies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jc w:val="both"/>
        <w:ind w:left="160" w:right="540" w:firstLine="546"/>
        <w:spacing w:after="0" w:line="237" w:lineRule="auto"/>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203" w:lineRule="exact"/>
        <w:rPr>
          <w:sz w:val="20"/>
          <w:szCs w:val="20"/>
          <w:color w:val="auto"/>
        </w:rPr>
      </w:pPr>
    </w:p>
    <w:p>
      <w:pPr>
        <w:jc w:val="both"/>
        <w:ind w:left="160" w:firstLine="546"/>
        <w:spacing w:after="0" w:line="246" w:lineRule="auto"/>
        <w:rPr>
          <w:sz w:val="20"/>
          <w:szCs w:val="20"/>
          <w:color w:val="auto"/>
        </w:rPr>
      </w:pPr>
      <w:r>
        <w:rPr>
          <w:rFonts w:ascii="Arial" w:cs="Arial" w:eastAsia="Arial" w:hAnsi="Arial"/>
          <w:sz w:val="17"/>
          <w:szCs w:val="17"/>
          <w:color w:val="auto"/>
        </w:rPr>
        <w:t>We determine that a contract exists between us and the customer when the customer accepts the quote and places the order, all of which are governed by our standard terms and conditions or other agreed terms with our customers. Upon completion of an order through our platform, we identify the performance obligation(s) within that order to complete the sale of the manufactured part(s) or assembly.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Using our in-house technology, we determine the price for the manufactured part(s) or assembly on a stand-alone basis at order initiation.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recognize revenue from sales to our customers upon shipment, at which point control over the part(s) or assembly have transferred.</w:t>
      </w:r>
    </w:p>
    <w:p>
      <w:pPr>
        <w:spacing w:after="0" w:line="208" w:lineRule="exact"/>
        <w:rPr>
          <w:sz w:val="20"/>
          <w:szCs w:val="20"/>
          <w:color w:val="auto"/>
        </w:rPr>
      </w:pPr>
    </w:p>
    <w:p>
      <w:pPr>
        <w:ind w:left="160" w:right="80" w:firstLine="546"/>
        <w:spacing w:after="0" w:line="250" w:lineRule="auto"/>
        <w:rPr>
          <w:sz w:val="20"/>
          <w:szCs w:val="20"/>
          <w:color w:val="auto"/>
        </w:rPr>
      </w:pPr>
      <w:r>
        <w:rPr>
          <w:rFonts w:ascii="Arial" w:cs="Arial" w:eastAsia="Arial" w:hAnsi="Arial"/>
          <w:sz w:val="17"/>
          <w:szCs w:val="17"/>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40"/>
          </w:cols>
          <w:pgMar w:left="320" w:top="456" w:right="5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recognized as compensation expense on a straight-line basis over the requisite service period, which is typically four years.</w:t>
      </w:r>
    </w:p>
    <w:p>
      <w:pPr>
        <w:spacing w:after="0" w:line="208"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 dividend yield, (ii) expected volatility over the expected term; (iii) expected term, (iv) risk free interest rate, (v) per share value of the underlying common stock, and (vi) exercise price.</w:t>
      </w:r>
    </w:p>
    <w:p>
      <w:pPr>
        <w:spacing w:after="0" w:line="203" w:lineRule="exact"/>
        <w:rPr>
          <w:sz w:val="20"/>
          <w:szCs w:val="20"/>
          <w:color w:val="auto"/>
        </w:rPr>
      </w:pPr>
    </w:p>
    <w:p>
      <w:pPr>
        <w:ind w:left="160" w:right="220" w:firstLine="546"/>
        <w:spacing w:after="0" w:line="253" w:lineRule="auto"/>
        <w:rPr>
          <w:sz w:val="20"/>
          <w:szCs w:val="20"/>
          <w:color w:val="auto"/>
        </w:rPr>
      </w:pPr>
      <w:r>
        <w:rPr>
          <w:rFonts w:ascii="Arial" w:cs="Arial" w:eastAsia="Arial" w:hAnsi="Arial"/>
          <w:sz w:val="17"/>
          <w:szCs w:val="17"/>
          <w:color w:val="auto"/>
        </w:rPr>
        <w:t>The fair value of our common stock has been estimated by management as there is no public market for our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192"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factors include:</w:t>
      </w:r>
    </w:p>
    <w:p>
      <w:pPr>
        <w:spacing w:after="0" w:line="114" w:lineRule="exact"/>
        <w:rPr>
          <w:sz w:val="20"/>
          <w:szCs w:val="20"/>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 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4"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203" w:lineRule="exact"/>
        <w:rPr>
          <w:sz w:val="20"/>
          <w:szCs w:val="20"/>
          <w:color w:val="auto"/>
        </w:rPr>
      </w:pPr>
    </w:p>
    <w:p>
      <w:pPr>
        <w:ind w:left="160" w:right="220" w:firstLine="546"/>
        <w:spacing w:after="0" w:line="232" w:lineRule="auto"/>
        <w:rPr>
          <w:sz w:val="20"/>
          <w:szCs w:val="20"/>
          <w:color w:val="auto"/>
        </w:rPr>
      </w:pPr>
      <w:r>
        <w:rPr>
          <w:rFonts w:ascii="Arial" w:cs="Arial" w:eastAsia="Arial" w:hAnsi="Arial"/>
          <w:sz w:val="18"/>
          <w:szCs w:val="18"/>
          <w:color w:val="auto"/>
        </w:rPr>
        <w:t>Based on the assumed initial public offering price per share of $ , which is the midpoint of the estimated offering price range set forth on the cover page of this prospectus, the aggregate intrinsic value of our outstanding stock options as of March 31, 2021</w:t>
      </w:r>
    </w:p>
    <w:p>
      <w:pPr>
        <w:spacing w:after="0" w:line="1" w:lineRule="exact"/>
        <w:rPr>
          <w:sz w:val="20"/>
          <w:szCs w:val="20"/>
          <w:color w:val="auto"/>
        </w:rPr>
      </w:pPr>
    </w:p>
    <w:p>
      <w:pPr>
        <w:ind w:left="160"/>
        <w:spacing w:after="0"/>
        <w:tabs>
          <w:tab w:leader="none" w:pos="1400" w:val="left"/>
          <w:tab w:leader="none" w:pos="2760" w:val="left"/>
        </w:tabs>
        <w:rPr>
          <w:sz w:val="20"/>
          <w:szCs w:val="20"/>
          <w:color w:val="auto"/>
        </w:rPr>
      </w:pPr>
      <w:r>
        <w:rPr>
          <w:rFonts w:ascii="Arial" w:cs="Arial" w:eastAsia="Arial" w:hAnsi="Arial"/>
          <w:sz w:val="18"/>
          <w:szCs w:val="18"/>
          <w:color w:val="auto"/>
        </w:rPr>
        <w:t>was $</w:t>
      </w:r>
      <w:r>
        <w:rPr>
          <w:sz w:val="20"/>
          <w:szCs w:val="20"/>
          <w:color w:val="auto"/>
        </w:rPr>
        <w:tab/>
      </w:r>
      <w:r>
        <w:rPr>
          <w:rFonts w:ascii="Arial" w:cs="Arial" w:eastAsia="Arial" w:hAnsi="Arial"/>
          <w:sz w:val="18"/>
          <w:szCs w:val="18"/>
          <w:color w:val="auto"/>
        </w:rPr>
        <w:t>, with $</w:t>
      </w:r>
      <w:r>
        <w:rPr>
          <w:sz w:val="20"/>
          <w:szCs w:val="20"/>
          <w:color w:val="auto"/>
        </w:rPr>
        <w:tab/>
      </w:r>
      <w:r>
        <w:rPr>
          <w:rFonts w:ascii="Arial" w:cs="Arial" w:eastAsia="Arial" w:hAnsi="Arial"/>
          <w:sz w:val="17"/>
          <w:szCs w:val="17"/>
          <w:color w:val="auto"/>
        </w:rPr>
        <w:t>million related to vested stock options.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March 31, 2021, borrowing under the term loan facility bear interest equal to the greater of (A) 8.7% per annum plus the prime rate minus 4.75% per annum; or (B) 8.7%. As of March 31, 2021, we had $15.8 million outstanding under our term loan facility.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w:t>
      </w:r>
    </w:p>
    <w:p>
      <w:pPr>
        <w:spacing w:after="0" w:line="20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interest-earning instruments also carry a degree of interest rate risk. As of March 31, 2021, we had cash and cash equivalents of $49.5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9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LETTER FROM RANDOLPH ALTSCHULER AND LAURENCE ZURIFF, CO-FOUNDERS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the Founders: Randy and Laurence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Committed to Building the Largest &amp; Most Comprehensive Global Manufacturing Marketplace</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As entrepreneurs, we believe the best opportunities exist where technology is applied to disrupt traditional industries by offering a better solution to a broader set of customers.</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global demand for efficiency and speed has somehow eluded one of the largest and most important industries in the world, on-demand manufacturing. When we founded Xometry in 2013, the industry was localized and barely digitized. The inefficiencies were myriad and the opportunity ripe.</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vision was simple. If there was a convenient web-based marketplace for books people write and read, why shouldn’t there be a similar marketplace for products people make and use?</w:t>
      </w:r>
    </w:p>
    <w:p>
      <w:pPr>
        <w:spacing w:after="0" w:line="20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From the day we started, our goal was to digitize manufacturing, connect supply with demand, and provide a better sourcing solution to both buyers and sellers. Today, Xometry provides a managed marketplace to serve a $260 billion opportunity where people who make things—and people who need things made—can find common ground to interact, transact and collaborate to get things built faster, better, and more affordably.</w:t>
      </w:r>
    </w:p>
    <w:p>
      <w:pPr>
        <w:spacing w:after="0" w:line="202"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We focused on digitizing the broad on-demand manufacturing ecosystem into a marketplace that simplifies sourcing and can adapt as new technologies are introduced. We integrate the installed base of traditional machine shops, molding shops, and 3D printing service bureaus into an innovative, agile, and distributive global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Artificial Intelligence (AI) – the Core of Our Marketplace</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For years, the on-demand manufacturing industry suffered from a lack of consistent pricing driven mainly by the existing manufacturing sourcing and procurement processes that were complex, uncertain, costly and time-consuming. Pricing was in a word, opaque. We focused on developing a means to generate an instant and accurate price for our buyers and allow sellers to source curated manufacturing opportunities that match their specific processes and capacity. Artificial Intelligence gave us the tools to create a machine learning approach to accurately and quickly price part designs and lead times and match them to the appropriate sellers. It allowed us to combine part features with data gathered from the financial transactions conducted on our marketplace to construct and continually improve prices that both buyers and sellers find acceptable across a wide range of designs, materials, and sizes.</w:t>
      </w:r>
    </w:p>
    <w:p>
      <w:pPr>
        <w:spacing w:after="0" w:line="99"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Xometry essentially created a liquid, scalable and global marketplace for the sourcing of on-demand parts. This liquidity gave us the opportunity to gain visibility into the supply and demand balance locally, regionally, and globally. Liquidity permits us to route work intelligently to support a more robust and resilient supply chain that is designed to respond to crises such as pandemics or natural disasters without skipping a beat.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Buyers</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Our customers are innovators. We help them take their ideas to market. Their products, manufactured through the Xometry marketplace, have changed people’s lives. They have sent men and women to space, contributed to developing vaccines at warp speed, accelerated the development of electric vehicles, and brought to market innovative protective masks that serve the needs of the deaf community.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6"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Seller Community</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sellers range in size, from large machine shops to small businesses run by talented craftspeople. We call our sellers “partners” for a reason; they are as committed to their industry and their community as we are. For decades they have played a pivotal role in their local economy’s prosperity. We help them access a broader customer base, scale capacity, and improve their cash cycle through Xometry seller financial services.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w:t>
      </w:r>
    </w:p>
    <w:p>
      <w:pPr>
        <w:spacing w:after="0" w:line="123"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Our teammates are Xometry’s most important asset. The powerful combination of their unique knowledge and abilities drives our company and its marketplace. We embrace both independent thought and teamwork to tackle tough problems, empowering our team to find the best solutions.</w:t>
      </w:r>
    </w:p>
    <w:p>
      <w:pPr>
        <w:spacing w:after="0" w:line="20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Our flywheel functions due to the hard work of our software programmers, technicians, mechanical engineers, marketers, salespeople, physicists, accountants, computational mathematicians and statisticians, and even a Jeopardy! champion. We are grateful for their contributions and are excited to continue building the largest and most comprehensive manufacturing marketplace in the world alongside them.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Broader Community</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Our stakeholders expect us to be good stewards not only of our business but of the broader community in which we all live. Through Xometry.org, Xometry embraced the Pledge 1% movement and is committing our equity over time to support charitable organizations that strive to improve educational opportunities for all, foster civic responsibility, reduce global CO2 output, and help train and expand the horizons of the next generation of inventors.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breadth of knowledge and experience of all our stakeholders creates a dynamic and innovative environment allowing us to convert intangible ideas into physical products every day. We will constantly strive to meet these expectations.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Thank you for taking the time to read this letter and our prospectus and learn a little more about Xometry and our mission. We are proud of the business we created and are looking forward to what we can build, together. Xometry is just getting started.</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Randy &amp; Laurence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320" w:top="456"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160" w:right="300" w:firstLine="546"/>
        <w:spacing w:after="0" w:line="234" w:lineRule="auto"/>
        <w:rPr>
          <w:sz w:val="20"/>
          <w:szCs w:val="20"/>
          <w:color w:val="auto"/>
        </w:rPr>
      </w:pPr>
      <w:r>
        <w:rPr>
          <w:rFonts w:ascii="Arial" w:cs="Arial" w:eastAsia="Arial" w:hAnsi="Arial"/>
          <w:sz w:val="18"/>
          <w:szCs w:val="18"/>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first quarter of 2021, we generated 95% of our revenue from existing accounts.</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$ 6.5 million in 2018, $14.7 million in 2019, and $ 33.3 million in 2020, representing a 17% gross margin in 2018, 18% gross margin in 2019, and 24% gross margin in 2020. Our net losses were $20.1 million in 2018, $31.0 million in 2019 and $31.1 million in 2020.</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quarter-over-quarter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growth to scale our company.</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23" w:lineRule="exact"/>
        <w:rPr>
          <w:sz w:val="20"/>
          <w:szCs w:val="20"/>
          <w:color w:val="auto"/>
        </w:rPr>
      </w:pPr>
    </w:p>
    <w:p>
      <w:pPr>
        <w:jc w:val="both"/>
        <w:ind w:left="160" w:right="460" w:firstLine="546"/>
        <w:spacing w:after="0" w:line="257" w:lineRule="auto"/>
        <w:rPr>
          <w:sz w:val="20"/>
          <w:szCs w:val="20"/>
          <w:color w:val="auto"/>
        </w:rPr>
      </w:pPr>
      <w:r>
        <w:rPr>
          <w:rFonts w:ascii="Arial" w:cs="Arial" w:eastAsia="Arial" w:hAnsi="Arial"/>
          <w:sz w:val="17"/>
          <w:szCs w:val="17"/>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188" w:lineRule="exact"/>
        <w:rPr>
          <w:sz w:val="20"/>
          <w:szCs w:val="20"/>
          <w:color w:val="auto"/>
        </w:rPr>
      </w:pPr>
    </w:p>
    <w:p>
      <w:pPr>
        <w:jc w:val="both"/>
        <w:ind w:left="160" w:right="40" w:firstLine="546"/>
        <w:spacing w:after="0" w:line="246" w:lineRule="auto"/>
        <w:rPr>
          <w:sz w:val="20"/>
          <w:szCs w:val="20"/>
          <w:color w:val="auto"/>
        </w:rPr>
      </w:pPr>
      <w:r>
        <w:rPr>
          <w:rFonts w:ascii="Arial" w:cs="Arial" w:eastAsia="Arial" w:hAnsi="Arial"/>
          <w:sz w:val="17"/>
          <w:szCs w:val="17"/>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w:t>
      </w:r>
    </w:p>
    <w:p>
      <w:pPr>
        <w:spacing w:after="0" w:line="1"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20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40"/>
          </w:cols>
          <w:pgMar w:left="320" w:top="456" w:right="5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202565</wp:posOffset>
            </wp:positionV>
            <wp:extent cx="4526280" cy="1698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2628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6"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3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87" w:lineRule="exact"/>
        <w:rPr>
          <w:sz w:val="20"/>
          <w:szCs w:val="20"/>
          <w:color w:val="auto"/>
        </w:rPr>
      </w:pPr>
    </w:p>
    <w:p>
      <w:pPr>
        <w:ind w:left="920" w:right="1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expressing at 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88" w:lineRule="exact"/>
        <w:rPr>
          <w:rFonts w:ascii="Arial" w:cs="Arial" w:eastAsia="Arial" w:hAnsi="Arial"/>
          <w:sz w:val="18"/>
          <w:szCs w:val="18"/>
          <w:color w:val="auto"/>
        </w:rPr>
      </w:pPr>
    </w:p>
    <w:p>
      <w:pPr>
        <w:ind w:left="920" w:hanging="218"/>
        <w:spacing w:after="0" w:line="243"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Proliferation of 3D printing. </w:t>
      </w:r>
      <w:r>
        <w:rPr>
          <w:rFonts w:ascii="Arial" w:cs="Arial" w:eastAsia="Arial" w:hAnsi="Arial"/>
          <w:sz w:val="18"/>
          <w:szCs w:val="18"/>
          <w:color w:val="auto"/>
        </w:rPr>
        <w:t>The use of 3D printing is increasing across industries. A recent study by PwC found that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U.S. manufacturers already use 3D printing in some way. As the adoption of 3D printing for prototyping, product development and production continues, we believe that companies will look for ways to on-board and access to such technologies.</w:t>
      </w:r>
    </w:p>
    <w:p>
      <w:pPr>
        <w:spacing w:after="0" w:line="84" w:lineRule="exact"/>
        <w:rPr>
          <w:rFonts w:ascii="Arial" w:cs="Arial" w:eastAsia="Arial" w:hAnsi="Arial"/>
          <w:sz w:val="18"/>
          <w:szCs w:val="18"/>
          <w:color w:val="auto"/>
        </w:rPr>
      </w:pPr>
    </w:p>
    <w:p>
      <w:pPr>
        <w:ind w:left="920" w:right="260" w:hanging="218"/>
        <w:spacing w:after="0" w:line="23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New AI applications across industries. </w:t>
      </w:r>
      <w:r>
        <w:rPr>
          <w:rFonts w:ascii="Arial" w:cs="Arial" w:eastAsia="Arial" w:hAnsi="Arial"/>
          <w:sz w:val="18"/>
          <w:szCs w:val="18"/>
          <w:color w:val="auto"/>
        </w:rPr>
        <w:t>According to the McKinsey Global Institute, AI has the potential to add $13 trillion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 estimated cost of up to $50 billion annually. According to a 2019 survey by Deloitte, 93% of companies believe that AI will be a pivotal technology to drive growth and innovation in their industries.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 Our estimates are based on independent industry publications or other publicly available information, as well as our internal sources.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ecosystem and the products and services we offer. The data we generate enables us to become a preferred collaboration, workflow, and transaction platform for both buyers and sellers.</w:t>
      </w:r>
    </w:p>
    <w:p>
      <w:pPr>
        <w:spacing w:after="0" w:line="203"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AI Technology</w:t>
      </w:r>
    </w:p>
    <w:p>
      <w:pPr>
        <w:spacing w:after="0" w:line="230" w:lineRule="exact"/>
        <w:rPr>
          <w:sz w:val="20"/>
          <w:szCs w:val="20"/>
          <w:color w:val="auto"/>
        </w:rPr>
      </w:pPr>
    </w:p>
    <w:p>
      <w:pPr>
        <w:ind w:left="160" w:right="300" w:firstLine="546"/>
        <w:spacing w:after="0" w:line="268" w:lineRule="auto"/>
        <w:rPr>
          <w:sz w:val="20"/>
          <w:szCs w:val="20"/>
          <w:color w:val="auto"/>
        </w:rPr>
      </w:pPr>
      <w:r>
        <w:rPr>
          <w:rFonts w:ascii="Arial" w:cs="Arial" w:eastAsia="Arial" w:hAnsi="Arial"/>
          <w:sz w:val="17"/>
          <w:szCs w:val="17"/>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57"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Prediction. </w:t>
      </w:r>
      <w:r>
        <w:rPr>
          <w:rFonts w:ascii="Arial" w:cs="Arial" w:eastAsia="Arial" w:hAnsi="Arial"/>
          <w:sz w:val="18"/>
          <w:szCs w:val="18"/>
          <w:color w:val="auto"/>
        </w:rPr>
        <w:t>Our models incorporate dozens of variables on pricing, timing, design requirements, execution considerations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having 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 engage with our marketplace, products and services, helping us build and cross-sell our offerings to drive greater customer stickiness and increase transaction frequency, retention, lifetime value and referenceability.</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instantaneous pricing and project guidance functionality eliminates the complexity typically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sourcing process. 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81" w:lineRule="exact"/>
        <w:rPr>
          <w:sz w:val="20"/>
          <w:szCs w:val="20"/>
          <w:color w:val="auto"/>
        </w:rPr>
      </w:pPr>
    </w:p>
    <w:p>
      <w:pPr>
        <w:ind w:left="160" w:right="20" w:firstLine="546"/>
        <w:spacing w:after="0" w:line="238" w:lineRule="auto"/>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 Processes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40"/>
          </w:cols>
          <w:pgMar w:left="320" w:top="456"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72" w:lineRule="exact"/>
        <w:rPr>
          <w:sz w:val="20"/>
          <w:szCs w:val="20"/>
          <w:color w:val="auto"/>
        </w:rPr>
      </w:pPr>
    </w:p>
    <w:p>
      <w:pPr>
        <w:jc w:val="both"/>
        <w:ind w:left="920" w:right="60" w:hanging="218"/>
        <w:spacing w:after="0" w:line="249"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CNC Machining </w:t>
      </w:r>
      <w:r>
        <w:rPr>
          <w:rFonts w:ascii="Arial" w:cs="Arial" w:eastAsia="Arial" w:hAnsi="Arial"/>
          <w:sz w:val="18"/>
          <w:szCs w:val="18"/>
          <w:color w:val="auto"/>
        </w:rPr>
        <w:t>uses computer-assisted machine tools to produce components with precision tolerances, surface finishes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post-processing requirements. Our CNC machining processes include, but are not limited to, multi-axis milling, swiss machining and lathe work.</w:t>
      </w:r>
    </w:p>
    <w:p>
      <w:pPr>
        <w:spacing w:after="0" w:line="77" w:lineRule="exact"/>
        <w:rPr>
          <w:rFonts w:ascii="Arial" w:cs="Arial" w:eastAsia="Arial" w:hAnsi="Arial"/>
          <w:sz w:val="18"/>
          <w:szCs w:val="18"/>
          <w:color w:val="auto"/>
        </w:rPr>
      </w:pPr>
    </w:p>
    <w:p>
      <w:pPr>
        <w:ind w:left="920" w:right="920" w:hanging="218"/>
        <w:spacing w:after="0" w:line="26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Injection Molding </w:t>
      </w:r>
      <w:r>
        <w:rPr>
          <w:rFonts w:ascii="Arial" w:cs="Arial" w:eastAsia="Arial" w:hAnsi="Arial"/>
          <w:sz w:val="18"/>
          <w:szCs w:val="18"/>
          <w:color w:val="auto"/>
        </w:rPr>
        <w:t>uses custom molds to make plastic parts at scale, with the highest variety of materials, colors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configurations.</w:t>
      </w:r>
    </w:p>
    <w:p>
      <w:pPr>
        <w:spacing w:after="0" w:line="64" w:lineRule="exact"/>
        <w:rPr>
          <w:rFonts w:ascii="Arial" w:cs="Arial" w:eastAsia="Arial" w:hAnsi="Arial"/>
          <w:sz w:val="18"/>
          <w:szCs w:val="18"/>
          <w:color w:val="auto"/>
        </w:rPr>
      </w:pPr>
    </w:p>
    <w:p>
      <w:pPr>
        <w:ind w:left="920" w:right="300" w:hanging="218"/>
        <w:spacing w:after="0" w:line="26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properties.</w:t>
      </w:r>
    </w:p>
    <w:p>
      <w:pPr>
        <w:spacing w:after="0" w:line="64" w:lineRule="exact"/>
        <w:rPr>
          <w:rFonts w:ascii="Arial" w:cs="Arial" w:eastAsia="Arial" w:hAnsi="Arial"/>
          <w:sz w:val="18"/>
          <w:szCs w:val="18"/>
          <w:color w:val="auto"/>
        </w:rPr>
      </w:pPr>
    </w:p>
    <w:p>
      <w:pPr>
        <w:ind w:left="920" w:right="440" w:hanging="218"/>
        <w:spacing w:after="0" w:line="26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Our 3D printing processes include FDM, DMLS, PolyJet, SLA, SLS, binder jetting, DLS and MJF.</w:t>
      </w:r>
    </w:p>
    <w:p>
      <w:pPr>
        <w:spacing w:after="0" w:line="64" w:lineRule="exact"/>
        <w:rPr>
          <w:rFonts w:ascii="Arial" w:cs="Arial" w:eastAsia="Arial" w:hAnsi="Arial"/>
          <w:sz w:val="18"/>
          <w:szCs w:val="18"/>
          <w:color w:val="auto"/>
        </w:rPr>
      </w:pPr>
    </w:p>
    <w:p>
      <w:pPr>
        <w:ind w:left="920" w:hanging="218"/>
        <w:spacing w:after="0" w:line="26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jet cutting, plasma cutting and custom welding, to create components from sheet metal.</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10795</wp:posOffset>
            </wp:positionV>
            <wp:extent cx="4916805" cy="1732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1680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Xometry Flywheel</w:t>
      </w:r>
    </w:p>
    <w:p>
      <w:pPr>
        <w:spacing w:after="0" w:line="230"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320" w:top="456"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-5080</wp:posOffset>
            </wp:positionV>
            <wp:extent cx="3668395" cy="26581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683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Additional Seller Offerings</w:t>
      </w:r>
    </w:p>
    <w:p>
      <w:pPr>
        <w:spacing w:after="0" w:line="114" w:lineRule="exact"/>
        <w:rPr>
          <w:sz w:val="20"/>
          <w:szCs w:val="20"/>
          <w:color w:val="auto"/>
        </w:rPr>
      </w:pPr>
    </w:p>
    <w:p>
      <w:pPr>
        <w:ind w:left="920" w:right="80" w:hanging="218"/>
        <w:spacing w:after="0" w:line="23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90" w:lineRule="exact"/>
        <w:rPr>
          <w:rFonts w:ascii="Arial" w:cs="Arial" w:eastAsia="Arial" w:hAnsi="Arial"/>
          <w:sz w:val="18"/>
          <w:szCs w:val="18"/>
          <w:color w:val="auto"/>
        </w:rPr>
      </w:pPr>
    </w:p>
    <w:p>
      <w:pPr>
        <w:ind w:left="920" w:hanging="218"/>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6"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0"/>
        <w:spacing w:after="0" w:line="237" w:lineRule="auto"/>
        <w:rPr>
          <w:sz w:val="20"/>
          <w:szCs w:val="20"/>
          <w:color w:val="auto"/>
        </w:rPr>
      </w:pPr>
      <w:r>
        <w:rPr>
          <w:rFonts w:ascii="Arial" w:cs="Arial" w:eastAsia="Arial" w:hAnsi="Arial"/>
          <w:sz w:val="18"/>
          <w:szCs w:val="18"/>
          <w:color w:val="auto"/>
        </w:rPr>
        <w:t>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-6350</wp:posOffset>
            </wp:positionV>
            <wp:extent cx="4619625" cy="2250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1962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have connected over 43,000 unique buyers, including nearly 30% of the Fortune 500, and nearly 5,000 unique sellers of a variety of sizes.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March 31, 2021, we generated 95% of our revenue from existing accounts. We define an existing account as an account where at least one buyer has made a purchase on our marketplace.</w:t>
      </w:r>
    </w:p>
    <w:p>
      <w:pPr>
        <w:spacing w:after="0" w:line="202" w:lineRule="exact"/>
        <w:rPr>
          <w:sz w:val="20"/>
          <w:szCs w:val="20"/>
          <w:color w:val="auto"/>
        </w:rPr>
      </w:pPr>
    </w:p>
    <w:p>
      <w:pPr>
        <w:jc w:val="both"/>
        <w:ind w:left="160" w:right="220" w:firstLine="546"/>
        <w:spacing w:after="0" w:line="236"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202" w:lineRule="exact"/>
        <w:rPr>
          <w:sz w:val="20"/>
          <w:szCs w:val="20"/>
          <w:color w:val="auto"/>
        </w:rPr>
      </w:pPr>
    </w:p>
    <w:p>
      <w:pPr>
        <w:ind w:left="160" w:right="380" w:firstLine="546"/>
        <w:spacing w:after="0" w:line="237" w:lineRule="auto"/>
        <w:rPr>
          <w:sz w:val="20"/>
          <w:szCs w:val="20"/>
          <w:color w:val="auto"/>
        </w:rPr>
      </w:pPr>
      <w:r>
        <w:rPr>
          <w:rFonts w:ascii="Arial" w:cs="Arial" w:eastAsia="Arial" w:hAnsi="Arial"/>
          <w:sz w:val="18"/>
          <w:szCs w:val="18"/>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with our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920" w:right="20" w:hanging="218"/>
        <w:spacing w:after="0" w:line="262"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9" w:lineRule="exact"/>
        <w:rPr>
          <w:rFonts w:ascii="Arial" w:cs="Arial" w:eastAsia="Arial" w:hAnsi="Arial"/>
          <w:sz w:val="17"/>
          <w:szCs w:val="17"/>
          <w:color w:val="auto"/>
        </w:rPr>
      </w:pPr>
    </w:p>
    <w:p>
      <w:pPr>
        <w:ind w:left="920" w:right="10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920" w:right="120" w:hanging="218"/>
        <w:spacing w:after="0" w:line="262"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69" w:lineRule="exact"/>
        <w:rPr>
          <w:rFonts w:ascii="Arial" w:cs="Arial" w:eastAsia="Arial" w:hAnsi="Arial"/>
          <w:sz w:val="17"/>
          <w:szCs w:val="17"/>
          <w:color w:val="auto"/>
        </w:rPr>
      </w:pPr>
    </w:p>
    <w:p>
      <w:pPr>
        <w:ind w:left="920" w:right="18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920" w:right="260" w:hanging="218"/>
        <w:spacing w:after="0" w:line="243"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84" w:lineRule="exact"/>
        <w:rPr>
          <w:rFonts w:ascii="Arial" w:cs="Arial" w:eastAsia="Arial" w:hAnsi="Arial"/>
          <w:sz w:val="18"/>
          <w:szCs w:val="18"/>
          <w:color w:val="auto"/>
        </w:rPr>
      </w:pPr>
    </w:p>
    <w:p>
      <w:pPr>
        <w:ind w:left="920" w:right="160" w:hanging="218"/>
        <w:spacing w:after="0" w:line="24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7" w:lineRule="exact"/>
        <w:rPr>
          <w:rFonts w:ascii="Arial" w:cs="Arial" w:eastAsia="Arial" w:hAnsi="Arial"/>
          <w:sz w:val="18"/>
          <w:szCs w:val="18"/>
          <w:color w:val="auto"/>
        </w:rPr>
      </w:pPr>
    </w:p>
    <w:p>
      <w:pPr>
        <w:ind w:left="920" w:right="80" w:hanging="218"/>
        <w:spacing w:after="0" w:line="24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six manufacturing processes for rapid prototyping, product development, or high-volume production. These processes can also be combined with</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920" w:right="220" w:hanging="218"/>
        <w:spacing w:after="0" w:line="243"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84" w:lineRule="exact"/>
        <w:rPr>
          <w:rFonts w:ascii="Arial" w:cs="Arial" w:eastAsia="Arial" w:hAnsi="Arial"/>
          <w:sz w:val="18"/>
          <w:szCs w:val="18"/>
          <w:color w:val="auto"/>
        </w:rPr>
      </w:pPr>
    </w:p>
    <w:p>
      <w:pPr>
        <w:ind w:left="920" w:right="40" w:hanging="218"/>
        <w:spacing w:after="0" w:line="24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920" w:right="140" w:hanging="218"/>
        <w:spacing w:after="0" w:line="270"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62" w:lineRule="exact"/>
        <w:rPr>
          <w:rFonts w:ascii="Arial" w:cs="Arial" w:eastAsia="Arial" w:hAnsi="Arial"/>
          <w:sz w:val="17"/>
          <w:szCs w:val="17"/>
          <w:color w:val="auto"/>
        </w:rPr>
      </w:pPr>
    </w:p>
    <w:p>
      <w:pPr>
        <w:ind w:left="920" w:right="20" w:hanging="218"/>
        <w:spacing w:after="0" w:line="243"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4" w:lineRule="exact"/>
        <w:rPr>
          <w:rFonts w:ascii="Arial" w:cs="Arial" w:eastAsia="Arial" w:hAnsi="Arial"/>
          <w:sz w:val="18"/>
          <w:szCs w:val="18"/>
          <w:color w:val="auto"/>
        </w:rPr>
      </w:pPr>
    </w:p>
    <w:p>
      <w:pPr>
        <w:ind w:left="920" w:right="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920" w:right="480" w:hanging="218"/>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20"/>
        <w:spacing w:after="0" w:line="239" w:lineRule="auto"/>
        <w:rPr>
          <w:sz w:val="20"/>
          <w:szCs w:val="20"/>
          <w:color w:val="auto"/>
        </w:rPr>
      </w:pPr>
      <w:r>
        <w:rPr>
          <w:rFonts w:ascii="Arial" w:cs="Arial" w:eastAsia="Arial" w:hAnsi="Arial"/>
          <w:sz w:val="18"/>
          <w:szCs w:val="18"/>
          <w:color w:val="auto"/>
        </w:rPr>
        <w:t>data in combination with our machine learning algorithms fuels the continuous learning of our models. As our models improve, our platform becomes more efficient and our offerings become more tailored for buyers and sellers.</w:t>
      </w:r>
    </w:p>
    <w:p>
      <w:pPr>
        <w:spacing w:after="0" w:line="87" w:lineRule="exact"/>
        <w:rPr>
          <w:sz w:val="20"/>
          <w:szCs w:val="20"/>
          <w:color w:val="auto"/>
        </w:rPr>
      </w:pPr>
    </w:p>
    <w:p>
      <w:pPr>
        <w:ind w:left="920" w:right="60" w:hanging="218"/>
        <w:spacing w:after="0" w:line="23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87" w:lineRule="exact"/>
        <w:rPr>
          <w:rFonts w:ascii="Arial" w:cs="Arial" w:eastAsia="Arial" w:hAnsi="Arial"/>
          <w:sz w:val="18"/>
          <w:szCs w:val="18"/>
          <w:color w:val="auto"/>
        </w:rPr>
      </w:pPr>
    </w:p>
    <w:p>
      <w:pPr>
        <w:jc w:val="both"/>
        <w:ind w:left="920" w:right="320" w:hanging="218"/>
        <w:spacing w:after="0" w:line="24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had a 34% year-over-year increase in accounts with at least $50,000 annual spend.</w:t>
      </w:r>
    </w:p>
    <w:p>
      <w:pPr>
        <w:spacing w:after="0" w:line="87" w:lineRule="exact"/>
        <w:rPr>
          <w:rFonts w:ascii="Arial" w:cs="Arial" w:eastAsia="Arial" w:hAnsi="Arial"/>
          <w:sz w:val="18"/>
          <w:szCs w:val="18"/>
          <w:color w:val="auto"/>
        </w:rPr>
      </w:pPr>
    </w:p>
    <w:p>
      <w:pPr>
        <w:ind w:left="920" w:right="80" w:hanging="218"/>
        <w:spacing w:after="0" w:line="24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920" w:right="220" w:hanging="218"/>
        <w:spacing w:after="0" w:line="24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6" w:right="5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79"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7"/>
          <w:szCs w:val="17"/>
          <w:b w:val="1"/>
          <w:bCs w:val="1"/>
          <w:color w:val="auto"/>
        </w:rPr>
        <w:t xml:space="preserve">Attract new buyers and grow wallet share with existing buyers. </w:t>
      </w:r>
      <w:r>
        <w:rPr>
          <w:rFonts w:ascii="Arial" w:cs="Arial" w:eastAsia="Arial" w:hAnsi="Arial"/>
          <w:sz w:val="17"/>
          <w:szCs w:val="17"/>
          <w:color w:val="auto"/>
        </w:rPr>
        <w:t>We intend to continue investing in acquiring new buyers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traditional 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At March 31, 2021, we had 412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7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b w:val="1"/>
          <w:b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our entire 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March 31, 2021,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180"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84" w:lineRule="exact"/>
        <w:rPr>
          <w:sz w:val="20"/>
          <w:szCs w:val="20"/>
          <w:color w:val="auto"/>
        </w:rPr>
      </w:pPr>
    </w:p>
    <w:p>
      <w:pPr>
        <w:ind w:left="160" w:right="80" w:firstLine="546"/>
        <w:spacing w:after="0" w:line="243" w:lineRule="auto"/>
        <w:rPr>
          <w:sz w:val="20"/>
          <w:szCs w:val="20"/>
          <w:color w:val="auto"/>
        </w:rPr>
      </w:pPr>
      <w:r>
        <w:rPr>
          <w:rFonts w:ascii="Arial" w:cs="Arial" w:eastAsia="Arial" w:hAnsi="Arial"/>
          <w:sz w:val="18"/>
          <w:szCs w:val="18"/>
          <w:b w:val="1"/>
          <w:b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and increase engagement. For the year ended December 31, 2020, 40% of our active sellers used our seller services. Although revenue from our seller services was approximately five percent of our total revenue for the year ended December 31, 2020, we expect</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57" w:lineRule="auto"/>
        <w:rPr>
          <w:sz w:val="20"/>
          <w:szCs w:val="20"/>
          <w:color w:val="auto"/>
        </w:rPr>
      </w:pPr>
      <w:r>
        <w:rPr>
          <w:rFonts w:ascii="Arial" w:cs="Arial" w:eastAsia="Arial" w:hAnsi="Arial"/>
          <w:sz w:val="17"/>
          <w:szCs w:val="17"/>
          <w:color w:val="auto"/>
        </w:rPr>
        <w:t>revenue from seller services to grow over time. In 2020, we introduced a new suite of financial services for sellers that offer us attractive growth opportunities as we aggressively market the Xometry Pay platform to all U.S. sellers, enhance features that allow quicker conversion of purchase orders to cash, and build toward a full-service digital wallet for sellers to use for payouts and purchases.</w:t>
      </w:r>
    </w:p>
    <w:p>
      <w:pPr>
        <w:spacing w:after="0" w:line="166"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b w:val="1"/>
          <w:b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81" w:lineRule="exact"/>
        <w:rPr>
          <w:sz w:val="20"/>
          <w:szCs w:val="20"/>
          <w:color w:val="auto"/>
        </w:rPr>
      </w:pPr>
    </w:p>
    <w:p>
      <w:pPr>
        <w:ind w:left="160" w:right="60" w:firstLine="546"/>
        <w:spacing w:after="0"/>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for 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Sales and Marketing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 We leverage the RFM (Recency, Frequency and Monetary) model, Lifetime Value data and other data points like lead scoring to better understand their unique needs, challenges and goals and to drive higher engagement with our platform.</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Marketing</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1"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81" w:lineRule="exact"/>
        <w:rPr>
          <w:sz w:val="20"/>
          <w:szCs w:val="20"/>
          <w:color w:val="auto"/>
        </w:rPr>
      </w:pPr>
    </w:p>
    <w:p>
      <w:pPr>
        <w:ind w:left="160" w:right="100" w:firstLine="546"/>
        <w:spacing w:after="0" w:line="243"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are 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78"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us to 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Development</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our leading priorities are:</w:t>
      </w:r>
    </w:p>
    <w:p>
      <w:pPr>
        <w:spacing w:after="0" w:line="79"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Enterprise integration</w:t>
      </w:r>
      <w:r>
        <w:rPr>
          <w:rFonts w:ascii="Arial" w:cs="Arial" w:eastAsia="Arial" w:hAnsi="Arial"/>
          <w:sz w:val="18"/>
          <w:szCs w:val="18"/>
          <w:color w:val="auto"/>
        </w:rPr>
        <w:t>. We are pursuing a strategy to further embed our platform into our various buyers’ workflows—whether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instant pricing available inside CAD software from Dassault, Autodesk, and PTC or streamlined purchasing support in procurement software like Ariba and Coupa. This is made possible by “productizing” our internal AI and workflow engine for novel uses.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6"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can improve the seller experience and increase efficiency of our network and marketplace. These new products and services are prioritized by our product development teams.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Values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prioritize the following core values:</w:t>
      </w:r>
    </w:p>
    <w:p>
      <w:pPr>
        <w:spacing w:after="0" w:line="79" w:lineRule="exact"/>
        <w:rPr>
          <w:sz w:val="20"/>
          <w:szCs w:val="20"/>
          <w:color w:val="auto"/>
        </w:rPr>
      </w:pPr>
    </w:p>
    <w:p>
      <w:pPr>
        <w:ind w:left="160" w:right="140" w:firstLine="546"/>
        <w:spacing w:after="0" w:line="262" w:lineRule="auto"/>
        <w:rPr>
          <w:sz w:val="20"/>
          <w:szCs w:val="20"/>
          <w:color w:val="auto"/>
        </w:rPr>
      </w:pPr>
      <w:r>
        <w:rPr>
          <w:rFonts w:ascii="Arial" w:cs="Arial" w:eastAsia="Arial" w:hAnsi="Arial"/>
          <w:sz w:val="17"/>
          <w:szCs w:val="17"/>
          <w:b w:val="1"/>
          <w:bCs w:val="1"/>
          <w:color w:val="auto"/>
        </w:rPr>
        <w:t xml:space="preserve">We are customer and partner focused. </w:t>
      </w:r>
      <w:r>
        <w:rPr>
          <w:rFonts w:ascii="Arial" w:cs="Arial" w:eastAsia="Arial" w:hAnsi="Arial"/>
          <w:sz w:val="17"/>
          <w:szCs w:val="17"/>
          <w:color w:val="auto"/>
        </w:rPr>
        <w:t>Customer satisfaction drives our business and we are singularly focused on building a</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that 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63" w:lineRule="exact"/>
        <w:rPr>
          <w:sz w:val="20"/>
          <w:szCs w:val="20"/>
          <w:color w:val="auto"/>
        </w:rPr>
      </w:pPr>
    </w:p>
    <w:p>
      <w:pPr>
        <w:ind w:left="160" w:right="140" w:firstLine="546"/>
        <w:spacing w:after="0" w:line="249"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w:t>
      </w:r>
      <w:r>
        <w:rPr>
          <w:rFonts w:ascii="Arial" w:cs="Arial" w:eastAsia="Arial" w:hAnsi="Arial"/>
          <w:sz w:val="18"/>
          <w:szCs w:val="18"/>
          <w:b w:val="1"/>
          <w:bCs w:val="1"/>
          <w:color w:val="auto"/>
        </w:rPr>
        <w:t xml:space="preserve"> </w:t>
      </w:r>
      <w:r>
        <w:rPr>
          <w:rFonts w:ascii="Arial" w:cs="Arial" w:eastAsia="Arial" w:hAnsi="Arial"/>
          <w:sz w:val="18"/>
          <w:szCs w:val="18"/>
          <w:color w:val="auto"/>
        </w:rPr>
        <w:t>start-ups, providing demonstrable value by increasing efficiency and accelerating speed to market. We aspire to revolutionize how global manufacturing functions in a digital world.</w:t>
      </w:r>
    </w:p>
    <w:p>
      <w:pPr>
        <w:spacing w:after="0" w:line="172" w:lineRule="exact"/>
        <w:rPr>
          <w:sz w:val="20"/>
          <w:szCs w:val="20"/>
          <w:color w:val="auto"/>
        </w:rPr>
      </w:pPr>
    </w:p>
    <w:p>
      <w:pPr>
        <w:ind w:left="160" w:right="480" w:firstLine="546"/>
        <w:spacing w:after="0" w:line="243"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celebrating and 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78" w:lineRule="exact"/>
        <w:rPr>
          <w:sz w:val="20"/>
          <w:szCs w:val="20"/>
          <w:color w:val="auto"/>
        </w:rPr>
      </w:pPr>
    </w:p>
    <w:p>
      <w:pPr>
        <w:ind w:left="160" w:right="120" w:firstLine="546"/>
        <w:spacing w:after="0" w:line="243"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78"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in reducing friction and increasing efficiency through the smart use of artificial intelligence, our talented team and our industry expertise. We acknowledge this a difficult task and we continue to aim for this ambitious target.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Employees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6"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0"/>
        <w:spacing w:after="0" w:line="239" w:lineRule="auto"/>
        <w:rPr>
          <w:sz w:val="20"/>
          <w:szCs w:val="20"/>
          <w:color w:val="auto"/>
        </w:rPr>
      </w:pPr>
      <w:r>
        <w:rPr>
          <w:rFonts w:ascii="Arial" w:cs="Arial" w:eastAsia="Arial" w:hAnsi="Arial"/>
          <w:sz w:val="18"/>
          <w:szCs w:val="18"/>
          <w:color w:val="auto"/>
        </w:rPr>
        <w:t>critical to attract and retain the talent necessary to grow our business. Our success depends on ideas. We can foster more productive ideas if we amplify all voices and provide the tools and resources to those who need them.</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79" w:lineRule="exact"/>
        <w:rPr>
          <w:sz w:val="20"/>
          <w:szCs w:val="20"/>
          <w:color w:val="auto"/>
        </w:rPr>
      </w:pPr>
    </w:p>
    <w:p>
      <w:pPr>
        <w:ind w:left="160" w:right="300" w:firstLine="546"/>
        <w:spacing w:after="0" w:line="265"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jobs from large corporations. Our partners include hundreds of minority, veteran, and women-owned companies.</w:t>
      </w:r>
    </w:p>
    <w:p>
      <w:pPr>
        <w:spacing w:after="0" w:line="158" w:lineRule="exact"/>
        <w:rPr>
          <w:sz w:val="20"/>
          <w:szCs w:val="20"/>
          <w:color w:val="auto"/>
        </w:rPr>
      </w:pPr>
    </w:p>
    <w:p>
      <w:pPr>
        <w:ind w:left="160" w:right="380" w:firstLine="546"/>
        <w:spacing w:after="0" w:line="265"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refining the requirements, assessment criteria and selection process for each of our roles.</w:t>
      </w:r>
    </w:p>
    <w:p>
      <w:pPr>
        <w:spacing w:after="0" w:line="158" w:lineRule="exact"/>
        <w:rPr>
          <w:sz w:val="20"/>
          <w:szCs w:val="20"/>
          <w:color w:val="auto"/>
        </w:rPr>
      </w:pPr>
    </w:p>
    <w:p>
      <w:pPr>
        <w:ind w:left="160" w:right="200" w:firstLine="546"/>
        <w:spacing w:after="0" w:line="249"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first day and remains part of our employee’s experience through regular panel discussions and focus groups to ignite conversations and ideas around DEI priorities.</w:t>
      </w:r>
    </w:p>
    <w:p>
      <w:pPr>
        <w:spacing w:after="0" w:line="172" w:lineRule="exact"/>
        <w:rPr>
          <w:sz w:val="20"/>
          <w:szCs w:val="20"/>
          <w:color w:val="auto"/>
        </w:rPr>
      </w:pPr>
    </w:p>
    <w:p>
      <w:pPr>
        <w:ind w:left="160" w:right="280" w:firstLine="546"/>
        <w:spacing w:after="0" w:line="265"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as thought leaders and change agents.</w:t>
      </w: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Commitment to ESG</w:t>
      </w:r>
    </w:p>
    <w:p>
      <w:pPr>
        <w:spacing w:after="0" w:line="230"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23" w:lineRule="exact"/>
        <w:rPr>
          <w:sz w:val="20"/>
          <w:szCs w:val="20"/>
          <w:color w:val="auto"/>
        </w:rPr>
      </w:pPr>
    </w:p>
    <w:p>
      <w:pPr>
        <w:ind w:left="160" w:right="60" w:firstLine="546"/>
        <w:spacing w:after="0" w:line="250" w:lineRule="auto"/>
        <w:rPr>
          <w:sz w:val="20"/>
          <w:szCs w:val="20"/>
          <w:color w:val="auto"/>
        </w:rPr>
      </w:pPr>
      <w:r>
        <w:rPr>
          <w:rFonts w:ascii="Arial" w:cs="Arial" w:eastAsia="Arial" w:hAnsi="Arial"/>
          <w:sz w:val="17"/>
          <w:szCs w:val="17"/>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96"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We have embraced the Pledge 1% movement, and are committed to donating 1% of our equity over time, to fund and support operations of Xometry.org. We intend to initially reserve 0.2% of our outstanding capital stock on the date of approval by our Board of Directors. We anticipate further annual stock grants to Xometry.org so our efforts are sustained and consistent.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Competition</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The domestic and global on-demand manufacturing industry is localized and highly fragmented and we compete for both buyers and sellers.</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6"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Stratasys and 3D Systems and independent machine shops and 3D printing service bureaus. For buyers, we compete on the basis of competitive pricing, user experience, and superior customer service.</w:t>
      </w:r>
    </w:p>
    <w:p>
      <w:pPr>
        <w:spacing w:after="0" w:line="203" w:lineRule="exact"/>
        <w:rPr>
          <w:sz w:val="20"/>
          <w:szCs w:val="20"/>
          <w:color w:val="auto"/>
        </w:rPr>
      </w:pPr>
    </w:p>
    <w:p>
      <w:pPr>
        <w:ind w:left="160" w:right="300" w:firstLine="546"/>
        <w:spacing w:after="0" w:line="235" w:lineRule="auto"/>
        <w:rPr>
          <w:sz w:val="20"/>
          <w:szCs w:val="20"/>
          <w:color w:val="auto"/>
        </w:rPr>
      </w:pPr>
      <w:r>
        <w:rPr>
          <w:rFonts w:ascii="Arial" w:cs="Arial" w:eastAsia="Arial" w:hAnsi="Arial"/>
          <w:sz w:val="18"/>
          <w:szCs w:val="18"/>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Intellectual Property</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95"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204"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As of March 31, 2021, we have five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6"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Facilities / Properties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2021 to 2024. We believe that these facilities are generally suitable to meet our needs.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Proceedings</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40"/>
          </w:cols>
          <w:pgMar w:left="320" w:top="456"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for our executive officers and directors as of May 15,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6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73"/>
        </w:trPr>
        <w:tc>
          <w:tcPr>
            <w:tcW w:w="476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Borders>
              <w:top w:val="single" w:sz="8" w:color="auto"/>
            </w:tcBorders>
          </w:tcPr>
          <w:p>
            <w:pPr>
              <w:spacing w:after="0"/>
              <w:rPr>
                <w:sz w:val="15"/>
                <w:szCs w:val="15"/>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Randolph Altschuler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Executive Officer, Co-Founder and 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James Rallo</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Peter Goguen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Operating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Bill Cronin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Revenue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Kathy Mayerhofer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Sales Officer</w:t>
            </w:r>
          </w:p>
        </w:tc>
      </w:tr>
      <w:tr>
        <w:trPr>
          <w:trHeight w:val="183"/>
        </w:trPr>
        <w:tc>
          <w:tcPr>
            <w:tcW w:w="47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Laurence Zuriff</w:t>
            </w:r>
          </w:p>
        </w:tc>
        <w:tc>
          <w:tcPr>
            <w:tcW w:w="280" w:type="dxa"/>
            <w:vAlign w:val="bottom"/>
          </w:tcPr>
          <w:p>
            <w:pPr>
              <w:spacing w:after="0" w:line="182"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8"/>
                <w:szCs w:val="18"/>
                <w:color w:val="auto"/>
              </w:rPr>
              <w:t>Chief Strategy Officer, Co-Founder and Director</w:t>
            </w:r>
          </w:p>
        </w:tc>
      </w:tr>
      <w:tr>
        <w:trPr>
          <w:trHeight w:val="219"/>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George Hornig(4)(5)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66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 and Chairman of the Board</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Emily Rollins(1)</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Deborah Bial(5)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Craig Driscoll(5)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Fabio Rosati(5)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13"/>
        </w:trPr>
        <w:tc>
          <w:tcPr>
            <w:tcW w:w="4760" w:type="dxa"/>
            <w:vAlign w:val="bottom"/>
            <w:gridSpan w:val="2"/>
          </w:tcPr>
          <w:p>
            <w:pPr>
              <w:ind w:left="360"/>
              <w:spacing w:after="0"/>
              <w:rPr>
                <w:sz w:val="20"/>
                <w:szCs w:val="20"/>
                <w:color w:val="auto"/>
              </w:rPr>
            </w:pPr>
            <w:r>
              <w:rPr>
                <w:rFonts w:ascii="Arial" w:cs="Arial" w:eastAsia="Arial" w:hAnsi="Arial"/>
                <w:sz w:val="18"/>
                <w:szCs w:val="18"/>
                <w:color w:val="auto"/>
              </w:rPr>
              <w:t>Katharine Weymouth(4)</w:t>
            </w:r>
          </w:p>
        </w:tc>
        <w:tc>
          <w:tcPr>
            <w:tcW w:w="28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700" w:hanging="533"/>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Chairperson of the Audit Committee.</w:t>
      </w:r>
    </w:p>
    <w:p>
      <w:pPr>
        <w:ind w:left="700" w:hanging="533"/>
        <w:spacing w:after="0" w:line="232"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Chairperson of the Compensation Committee.</w:t>
      </w:r>
    </w:p>
    <w:p>
      <w:pPr>
        <w:ind w:left="700" w:hanging="533"/>
        <w:spacing w:after="0" w:line="232"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w:t>
      </w:r>
    </w:p>
    <w:p>
      <w:pPr>
        <w:ind w:left="700" w:hanging="533"/>
        <w:spacing w:after="0" w:line="232"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00" w:hanging="533"/>
        <w:spacing w:after="0" w:line="232"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700" w:hanging="533"/>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08"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7"/>
          <w:szCs w:val="17"/>
          <w:b w:val="1"/>
          <w:bCs w:val="1"/>
          <w:color w:val="auto"/>
        </w:rPr>
        <w:t xml:space="preserve">Randolph Altschuler </w:t>
      </w:r>
      <w:r>
        <w:rPr>
          <w:rFonts w:ascii="Arial" w:cs="Arial" w:eastAsia="Arial" w:hAnsi="Arial"/>
          <w:sz w:val="17"/>
          <w:szCs w:val="17"/>
          <w:color w:val="auto"/>
        </w:rPr>
        <w:t>is our co-founder and has served as our Chief Executive Officer and as a member of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w:t>
      </w:r>
    </w:p>
    <w:p>
      <w:pPr>
        <w:spacing w:after="0" w:line="3"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81" w:lineRule="exact"/>
        <w:rPr>
          <w:sz w:val="20"/>
          <w:szCs w:val="20"/>
          <w:color w:val="auto"/>
        </w:rPr>
      </w:pPr>
    </w:p>
    <w:p>
      <w:pPr>
        <w:ind w:left="160" w:right="160" w:firstLine="546"/>
        <w:spacing w:after="0"/>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Liquidity Services, a network of e -commerce marketplaces, from February 2005 to April 2019. Between roles at Liquidity Services and Xometry, Mr. Rallo briefly served as Chief Financial Officer of Stimwave Technologies Incorporated, a medical device company. Mr. Rallo is a Certified Public Accountant and received a B.S. in Business and Accounting from Washington and Lee University and an M.B.A. from the University of Maryland College Park.</w:t>
      </w:r>
    </w:p>
    <w:p>
      <w:pPr>
        <w:spacing w:after="0" w:line="182" w:lineRule="exact"/>
        <w:rPr>
          <w:sz w:val="20"/>
          <w:szCs w:val="20"/>
          <w:color w:val="auto"/>
        </w:rPr>
      </w:pPr>
    </w:p>
    <w:p>
      <w:pPr>
        <w:jc w:val="both"/>
        <w:ind w:left="160" w:right="160" w:firstLine="546"/>
        <w:spacing w:after="0" w:line="249" w:lineRule="auto"/>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 Detroit Manufacturing Systems LLC, a provider of high-quality vehicle interior components, from April</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1" w:lineRule="exact"/>
        <w:rPr>
          <w:sz w:val="20"/>
          <w:szCs w:val="20"/>
          <w:color w:val="auto"/>
        </w:rPr>
      </w:pPr>
    </w:p>
    <w:p>
      <w:pPr>
        <w:ind w:left="160" w:firstLine="546"/>
        <w:spacing w:after="0"/>
        <w:rPr>
          <w:sz w:val="20"/>
          <w:szCs w:val="20"/>
          <w:color w:val="auto"/>
        </w:rPr>
      </w:pPr>
      <w:r>
        <w:rPr>
          <w:rFonts w:ascii="Arial" w:cs="Arial" w:eastAsia="Arial" w:hAnsi="Arial"/>
          <w:sz w:val="18"/>
          <w:szCs w:val="18"/>
          <w:b w:val="1"/>
          <w:bCs w:val="1"/>
          <w:color w:val="auto"/>
        </w:rPr>
        <w:t xml:space="preserve">Bill Cronin </w:t>
      </w:r>
      <w:r>
        <w:rPr>
          <w:rFonts w:ascii="Arial" w:cs="Arial" w:eastAsia="Arial" w:hAnsi="Arial"/>
          <w:sz w:val="18"/>
          <w:szCs w:val="18"/>
          <w:color w:val="auto"/>
        </w:rPr>
        <w:t>has served as our Chief Revenue Office since September 2018, and has served as our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82" w:lineRule="exact"/>
        <w:rPr>
          <w:sz w:val="20"/>
          <w:szCs w:val="20"/>
          <w:color w:val="auto"/>
        </w:rPr>
      </w:pPr>
    </w:p>
    <w:p>
      <w:pPr>
        <w:ind w:left="160" w:right="260" w:firstLine="546"/>
        <w:spacing w:after="0" w:line="243"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b w:val="1"/>
          <w:bCs w:val="1"/>
          <w:color w:val="auto"/>
        </w:rPr>
        <w:t xml:space="preserve">Laurence Zuriff </w:t>
      </w:r>
      <w:r>
        <w:rPr>
          <w:rFonts w:ascii="Arial" w:cs="Arial" w:eastAsia="Arial" w:hAnsi="Arial"/>
          <w:sz w:val="18"/>
          <w:szCs w:val="18"/>
          <w:color w:val="auto"/>
        </w:rPr>
        <w:t>is our co-founder and has served as our Chief Strategy Officer since April 2020, and as a member of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Non-Employee Directors</w:t>
      </w:r>
    </w:p>
    <w:p>
      <w:pPr>
        <w:spacing w:after="0" w:line="208"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2021. 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4"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2021. From 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81"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 Foundation, a youth leadership-development and college- success organization, a position she has held since 1989. Ms. Bial received a B.A. from Brandeis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University and an Ed.M and Ed.D. from Harvard University. We believe that Ms. Bial is qualified to serve on the board of directors because of her extensive experience and leadership abilities.</w:t>
      </w:r>
    </w:p>
    <w:p>
      <w:pPr>
        <w:spacing w:after="0" w:line="181"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Capital 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color w:val="auto"/>
        </w:rPr>
        <w:t xml:space="preserve">Fabio Rosati </w:t>
      </w:r>
      <w:r>
        <w:rPr>
          <w:rFonts w:ascii="Arial" w:cs="Arial" w:eastAsia="Arial" w:hAnsi="Arial"/>
          <w:sz w:val="18"/>
          <w:szCs w:val="18"/>
          <w:color w:val="auto"/>
        </w:rPr>
        <w:t>has served as a member of our board of directors since December 2017. Mr. Rosati is the Executive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81"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color w:val="auto"/>
        </w:rPr>
        <w:t xml:space="preserve">Katharine Weymouth </w:t>
      </w:r>
      <w:r>
        <w:rPr>
          <w:rFonts w:ascii="Arial" w:cs="Arial" w:eastAsia="Arial" w:hAnsi="Arial"/>
          <w:sz w:val="18"/>
          <w:szCs w:val="18"/>
          <w:color w:val="auto"/>
        </w:rPr>
        <w:t>has served as a member of our board of directors since October 2020. Ms. Weymouth is the Co-Founder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Senior Advisor of The Chef Market (formerly DineXpert), an on 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Six of our 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ectPr>
          <w:pgSz w:w="11900" w:h="16838" w:orient="portrait"/>
          <w:cols w:equalWidth="0" w:num="1">
            <w:col w:w="11080"/>
          </w:cols>
          <w:pgMar w:left="320" w:top="456" w:right="499" w:bottom="1440" w:gutter="0" w:footer="0" w:header="0"/>
        </w:sectPr>
      </w:pPr>
    </w:p>
    <w:p>
      <w:pPr>
        <w:spacing w:after="0" w:line="110"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first annual meeting of stockholders to be</w:t>
      </w:r>
    </w:p>
    <w:p>
      <w:pPr>
        <w:spacing w:after="0" w:line="12" w:lineRule="exact"/>
        <w:rPr>
          <w:sz w:val="20"/>
          <w:szCs w:val="20"/>
          <w:color w:val="auto"/>
        </w:rPr>
      </w:pPr>
    </w:p>
    <w:p>
      <w:pPr>
        <w:sectPr>
          <w:pgSz w:w="11900" w:h="16838" w:orient="portrait"/>
          <w:cols w:equalWidth="0" w:num="3">
            <w:col w:w="3200" w:space="720"/>
            <w:col w:w="420" w:space="720"/>
            <w:col w:w="6020"/>
          </w:cols>
          <w:pgMar w:left="320" w:top="456" w:right="49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held in 2022;</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080"/>
          </w:cols>
          <w:pgMar w:left="320" w:top="456" w:right="499" w:bottom="1440" w:gutter="0" w:footer="0" w:header="0"/>
          <w:type w:val="continuous"/>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60"/>
          </w:cols>
          <w:pgMar w:left="320" w:top="456" w:right="519" w:bottom="1440" w:gutter="0" w:footer="0" w:header="0"/>
        </w:sectPr>
      </w:pPr>
    </w:p>
    <w:p>
      <w:pPr>
        <w:spacing w:after="0" w:line="364"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 directors will be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second annual meeting of stockholders to</w:t>
      </w:r>
    </w:p>
    <w:p>
      <w:pPr>
        <w:spacing w:after="0" w:line="17" w:lineRule="exact"/>
        <w:rPr>
          <w:sz w:val="20"/>
          <w:szCs w:val="20"/>
          <w:color w:val="auto"/>
        </w:rPr>
      </w:pPr>
    </w:p>
    <w:p>
      <w:pPr>
        <w:sectPr>
          <w:pgSz w:w="11900" w:h="16838" w:orient="portrait"/>
          <w:cols w:equalWidth="0" w:num="3">
            <w:col w:w="3200" w:space="720"/>
            <w:col w:w="420" w:space="720"/>
            <w:col w:w="6000"/>
          </w:cols>
          <w:pgMar w:left="320" w:top="456" w:right="5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be held in 2023; and</w:t>
      </w:r>
    </w:p>
    <w:p>
      <w:pPr>
        <w:sectPr>
          <w:pgSz w:w="11900" w:h="16838" w:orient="portrait"/>
          <w:cols w:equalWidth="0" w:num="1">
            <w:col w:w="11060"/>
          </w:cols>
          <w:pgMar w:left="320" w:top="456" w:right="519" w:bottom="1440" w:gutter="0" w:footer="0" w:header="0"/>
          <w:type w:val="continuous"/>
        </w:sectPr>
      </w:pPr>
    </w:p>
    <w:p>
      <w:pPr>
        <w:spacing w:after="0" w:line="113"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III director will be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third annual meeting of stockholders to be</w:t>
      </w:r>
    </w:p>
    <w:p>
      <w:pPr>
        <w:spacing w:after="0" w:line="17" w:lineRule="exact"/>
        <w:rPr>
          <w:sz w:val="20"/>
          <w:szCs w:val="20"/>
          <w:color w:val="auto"/>
        </w:rPr>
      </w:pPr>
    </w:p>
    <w:p>
      <w:pPr>
        <w:sectPr>
          <w:pgSz w:w="11900" w:h="16838" w:orient="portrait"/>
          <w:cols w:equalWidth="0" w:num="3">
            <w:col w:w="3160" w:space="720"/>
            <w:col w:w="420" w:space="720"/>
            <w:col w:w="6040"/>
          </w:cols>
          <w:pgMar w:left="320" w:top="456" w:right="5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held in 2024.</w:t>
      </w:r>
    </w:p>
    <w:p>
      <w:pPr>
        <w:sectPr>
          <w:pgSz w:w="11900" w:h="16838" w:orient="portrait"/>
          <w:cols w:equalWidth="0" w:num="1">
            <w:col w:w="11060"/>
          </w:cols>
          <w:pgMar w:left="320" w:top="456" w:right="519" w:bottom="1440" w:gutter="0" w:footer="0" w:header="0"/>
          <w:type w:val="continuous"/>
        </w:sectPr>
      </w:pPr>
    </w:p>
    <w:p>
      <w:pPr>
        <w:spacing w:after="0" w:line="206"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Independence</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w:t>
      </w:r>
    </w:p>
    <w:p>
      <w:pPr>
        <w:ind w:left="160"/>
        <w:spacing w:after="0"/>
        <w:tabs>
          <w:tab w:leader="none" w:pos="9960" w:val="left"/>
        </w:tabs>
        <w:rPr>
          <w:sz w:val="20"/>
          <w:szCs w:val="20"/>
          <w:color w:val="auto"/>
        </w:rPr>
      </w:pPr>
      <w:r>
        <w:rPr>
          <w:rFonts w:ascii="Arial" w:cs="Arial" w:eastAsia="Arial" w:hAnsi="Arial"/>
          <w:sz w:val="18"/>
          <w:szCs w:val="18"/>
          <w:color w:val="auto"/>
        </w:rPr>
        <w:t>director concerning her or his background, employment and affiliations, our board of directors has determined that</w:t>
      </w:r>
      <w:r>
        <w:rPr>
          <w:sz w:val="20"/>
          <w:szCs w:val="20"/>
          <w:color w:val="auto"/>
        </w:rPr>
        <w:tab/>
      </w:r>
      <w:r>
        <w:rPr>
          <w:rFonts w:ascii="Arial" w:cs="Arial" w:eastAsia="Arial" w:hAnsi="Arial"/>
          <w:sz w:val="14"/>
          <w:szCs w:val="14"/>
          <w:color w:val="auto"/>
        </w:rPr>
        <w:t>,</w:t>
      </w:r>
    </w:p>
    <w:p>
      <w:pPr>
        <w:spacing w:after="0" w:line="1"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do not have relationships that would interfere with the exercise of independent judgment in carrying out the responsibilities</w:t>
      </w:r>
    </w:p>
    <w:p>
      <w:pPr>
        <w:spacing w:after="0" w:line="5"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0"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Our audit committee consists of Emily Rollins, George Hornig and Katharine Weymouth. Our board of directors has determined that each of Ms. Rollins, Mr. Hornig and Ms. Weymouth satisfies the independence requirements under Nasdaq listing standards and</w:t>
      </w:r>
    </w:p>
    <w:p>
      <w:pPr>
        <w:spacing w:after="0" w:line="1" w:lineRule="exact"/>
        <w:rPr>
          <w:sz w:val="20"/>
          <w:szCs w:val="20"/>
          <w:color w:val="auto"/>
        </w:rPr>
      </w:pPr>
    </w:p>
    <w:p>
      <w:pPr>
        <w:ind w:left="160" w:right="140"/>
        <w:spacing w:after="0" w:line="253" w:lineRule="auto"/>
        <w:rPr>
          <w:sz w:val="20"/>
          <w:szCs w:val="20"/>
          <w:color w:val="auto"/>
        </w:rPr>
      </w:pPr>
      <w:r>
        <w:rPr>
          <w:rFonts w:ascii="Arial" w:cs="Arial" w:eastAsia="Arial" w:hAnsi="Arial"/>
          <w:sz w:val="17"/>
          <w:szCs w:val="17"/>
          <w:color w:val="auto"/>
        </w:rPr>
        <w:t>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92" w:lineRule="exact"/>
        <w:rPr>
          <w:sz w:val="20"/>
          <w:szCs w:val="20"/>
          <w:color w:val="auto"/>
        </w:rPr>
      </w:pPr>
    </w:p>
    <w:p>
      <w:pPr>
        <w:ind w:left="160" w:right="400" w:firstLine="546"/>
        <w:spacing w:after="0" w:line="237"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9" w:lineRule="exact"/>
        <w:rPr>
          <w:sz w:val="20"/>
          <w:szCs w:val="20"/>
          <w:color w:val="auto"/>
        </w:rPr>
      </w:pPr>
    </w:p>
    <w:p>
      <w:pPr>
        <w:ind w:left="5480" w:right="2400" w:hanging="4778"/>
        <w:spacing w:after="0" w:line="410" w:lineRule="auto"/>
        <w:tabs>
          <w:tab w:leader="none" w:pos="9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122</w:t>
      </w:r>
    </w:p>
    <w:p>
      <w:pPr>
        <w:sectPr>
          <w:pgSz w:w="11900" w:h="16838" w:orient="portrait"/>
          <w:cols w:equalWidth="0" w:num="1">
            <w:col w:w="11060"/>
          </w:cols>
          <w:pgMar w:left="320" w:top="456" w:right="51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86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9" w:lineRule="exact"/>
        <w:rPr>
          <w:rFonts w:ascii="Arial" w:cs="Arial" w:eastAsia="Arial" w:hAnsi="Arial"/>
          <w:sz w:val="18"/>
          <w:szCs w:val="18"/>
          <w:color w:val="auto"/>
        </w:rPr>
      </w:pPr>
    </w:p>
    <w:p>
      <w:pPr>
        <w:ind w:left="920" w:right="74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3" w:lineRule="exact"/>
        <w:rPr>
          <w:rFonts w:ascii="Arial" w:cs="Arial" w:eastAsia="Arial" w:hAnsi="Arial"/>
          <w:sz w:val="18"/>
          <w:szCs w:val="18"/>
          <w:color w:val="auto"/>
        </w:rPr>
      </w:pPr>
    </w:p>
    <w:p>
      <w:pPr>
        <w:jc w:val="both"/>
        <w:ind w:left="920" w:hanging="218"/>
        <w:spacing w:after="0" w:line="237"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920" w:right="76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203" w:lineRule="exact"/>
        <w:rPr>
          <w:sz w:val="20"/>
          <w:szCs w:val="20"/>
          <w:color w:val="auto"/>
        </w:rPr>
      </w:pPr>
    </w:p>
    <w:p>
      <w:pPr>
        <w:ind w:left="160" w:right="420" w:firstLine="546"/>
        <w:spacing w:after="0" w:line="239"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compensation committee consists of George Hornig, Deborah Bial, Craig Driscoll and Fabio Rosati. The chair of our</w:t>
      </w:r>
    </w:p>
    <w:p>
      <w:pPr>
        <w:ind w:left="160" w:right="80"/>
        <w:spacing w:after="0" w:line="239" w:lineRule="auto"/>
        <w:rPr>
          <w:sz w:val="20"/>
          <w:szCs w:val="20"/>
          <w:color w:val="auto"/>
        </w:rPr>
      </w:pPr>
      <w:r>
        <w:rPr>
          <w:rFonts w:ascii="Arial" w:cs="Arial" w:eastAsia="Arial" w:hAnsi="Arial"/>
          <w:sz w:val="18"/>
          <w:szCs w:val="18"/>
          <w:color w:val="auto"/>
        </w:rPr>
        <w:t>compensation committee is . Our board of directors has determined that each of and is independent under Nasdaq listing standards, a “non-employee director” as defined in Rule 16b-3 promulgated under the Exchange Act.</w:t>
      </w:r>
    </w:p>
    <w:p>
      <w:pPr>
        <w:spacing w:after="0" w:line="203"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9" w:lineRule="exact"/>
        <w:rPr>
          <w:sz w:val="20"/>
          <w:szCs w:val="20"/>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3" w:lineRule="exact"/>
        <w:rPr>
          <w:rFonts w:ascii="Arial" w:cs="Arial" w:eastAsia="Arial" w:hAnsi="Arial"/>
          <w:sz w:val="18"/>
          <w:szCs w:val="18"/>
          <w:color w:val="auto"/>
        </w:rPr>
      </w:pPr>
    </w:p>
    <w:p>
      <w:pPr>
        <w:ind w:left="920" w:right="20" w:hanging="218"/>
        <w:spacing w:after="0" w:line="237"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rFonts w:ascii="Arial" w:cs="Arial" w:eastAsia="Arial" w:hAnsi="Arial"/>
          <w:sz w:val="18"/>
          <w:szCs w:val="18"/>
          <w:color w:val="auto"/>
        </w:rPr>
      </w:pPr>
    </w:p>
    <w:p>
      <w:pPr>
        <w:ind w:left="920" w:right="680" w:hanging="218"/>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20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Global Select Market.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27"/>
        </w:trPr>
        <w:tc>
          <w:tcPr>
            <w:tcW w:w="648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tc>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5"/>
        </w:trPr>
        <w:tc>
          <w:tcPr>
            <w:tcW w:w="6480" w:type="dxa"/>
            <w:vAlign w:val="bottom"/>
            <w:gridSpan w:val="3"/>
          </w:tcPr>
          <w:p>
            <w:pPr>
              <w:ind w:left="720"/>
              <w:spacing w:after="0"/>
              <w:rPr>
                <w:sz w:val="20"/>
                <w:szCs w:val="20"/>
                <w:color w:val="auto"/>
              </w:rPr>
            </w:pPr>
            <w:r>
              <w:rPr>
                <w:rFonts w:ascii="Arial" w:cs="Arial" w:eastAsia="Arial" w:hAnsi="Arial"/>
                <w:sz w:val="18"/>
                <w:szCs w:val="18"/>
                <w:color w:val="auto"/>
              </w:rPr>
              <w:t>Our nominating and corporate governance committee will consist of</w:t>
            </w:r>
          </w:p>
        </w:tc>
        <w:tc>
          <w:tcPr>
            <w:tcW w:w="1160" w:type="dxa"/>
            <w:vAlign w:val="bottom"/>
          </w:tcPr>
          <w:p>
            <w:pPr>
              <w:ind w:left="440"/>
              <w:spacing w:after="0"/>
              <w:rPr>
                <w:sz w:val="20"/>
                <w:szCs w:val="20"/>
                <w:color w:val="auto"/>
              </w:rPr>
            </w:pPr>
            <w:r>
              <w:rPr>
                <w:rFonts w:ascii="Arial" w:cs="Arial" w:eastAsia="Arial" w:hAnsi="Arial"/>
                <w:sz w:val="18"/>
                <w:szCs w:val="18"/>
                <w:color w:val="auto"/>
              </w:rPr>
              <w:t>and</w:t>
            </w:r>
          </w:p>
        </w:tc>
        <w:tc>
          <w:tcPr>
            <w:tcW w:w="3040" w:type="dxa"/>
            <w:vAlign w:val="bottom"/>
          </w:tcPr>
          <w:p>
            <w:pPr>
              <w:ind w:left="420"/>
              <w:spacing w:after="0"/>
              <w:rPr>
                <w:sz w:val="20"/>
                <w:szCs w:val="20"/>
                <w:color w:val="auto"/>
              </w:rPr>
            </w:pPr>
            <w:r>
              <w:rPr>
                <w:rFonts w:ascii="Arial" w:cs="Arial" w:eastAsia="Arial" w:hAnsi="Arial"/>
                <w:sz w:val="18"/>
                <w:szCs w:val="18"/>
                <w:color w:val="auto"/>
                <w:w w:val="98"/>
              </w:rPr>
              <w:t>. The chair of our nominating and</w:t>
            </w:r>
          </w:p>
        </w:tc>
      </w:tr>
      <w:tr>
        <w:trPr>
          <w:trHeight w:val="201"/>
        </w:trPr>
        <w:tc>
          <w:tcPr>
            <w:tcW w:w="37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corporate governance committee will be</w:t>
            </w:r>
          </w:p>
        </w:tc>
        <w:tc>
          <w:tcPr>
            <w:tcW w:w="694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 Our board of directors has determined that each member of the nominating and</w:t>
            </w:r>
          </w:p>
        </w:tc>
      </w:tr>
    </w:tbl>
    <w:p>
      <w:pPr>
        <w:ind w:lef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corporate governance committee is independent under the Nasdaq listing standards.</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14" w:lineRule="exact"/>
        <w:rPr>
          <w:sz w:val="20"/>
          <w:szCs w:val="20"/>
          <w:color w:val="auto"/>
        </w:rPr>
      </w:pPr>
    </w:p>
    <w:p>
      <w:pPr>
        <w:ind w:left="920" w:right="1140" w:hanging="218"/>
        <w:spacing w:after="0" w:line="23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9" w:lineRule="exact"/>
        <w:rPr>
          <w:rFonts w:ascii="Arial" w:cs="Arial" w:eastAsia="Arial" w:hAnsi="Arial"/>
          <w:sz w:val="18"/>
          <w:szCs w:val="18"/>
          <w:color w:val="auto"/>
        </w:rPr>
      </w:pPr>
    </w:p>
    <w:p>
      <w:pPr>
        <w:ind w:left="920" w:right="800" w:hanging="218"/>
        <w:spacing w:after="0" w:line="23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25" w:lineRule="exact"/>
        <w:rPr>
          <w:rFonts w:ascii="Arial" w:cs="Arial" w:eastAsia="Arial" w:hAnsi="Arial"/>
          <w:sz w:val="17"/>
          <w:szCs w:val="17"/>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0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Code of Conduct</w:t>
      </w:r>
    </w:p>
    <w:p>
      <w:pPr>
        <w:spacing w:after="0" w:line="230"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0"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41"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 Compensation</w:t>
      </w:r>
    </w:p>
    <w:p>
      <w:pPr>
        <w:spacing w:after="0" w:line="230"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840" w:type="dxa"/>
            <w:vAlign w:val="bottom"/>
            <w:vMerge w:val="restart"/>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7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6840" w:type="dxa"/>
            <w:vAlign w:val="bottom"/>
            <w:vMerge w:val="continue"/>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in Cash</w:t>
            </w:r>
          </w:p>
        </w:tc>
        <w:tc>
          <w:tcPr>
            <w:tcW w:w="720" w:type="dxa"/>
            <w:vAlign w:val="bottom"/>
          </w:tcPr>
          <w:p>
            <w:pPr>
              <w:spacing w:after="0"/>
              <w:rPr>
                <w:sz w:val="15"/>
                <w:szCs w:val="15"/>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Awards(1)</w:t>
            </w: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2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George Hornig</w:t>
            </w:r>
          </w:p>
        </w:tc>
        <w:tc>
          <w:tcPr>
            <w:tcW w:w="4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line="188"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26"/>
              <w:spacing w:after="0" w:line="188"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3"/>
              <w:spacing w:after="0" w:line="188" w:lineRule="exact"/>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40" w:type="dxa"/>
            <w:vAlign w:val="bottom"/>
            <w:gridSpan w:val="2"/>
          </w:tcPr>
          <w:p>
            <w:pPr>
              <w:spacing w:after="0" w:line="201" w:lineRule="exact"/>
              <w:rPr>
                <w:sz w:val="20"/>
                <w:szCs w:val="20"/>
                <w:color w:val="auto"/>
              </w:rPr>
            </w:pPr>
            <w:r>
              <w:rPr>
                <w:rFonts w:ascii="Arial" w:cs="Arial" w:eastAsia="Arial" w:hAnsi="Arial"/>
                <w:sz w:val="18"/>
                <w:szCs w:val="18"/>
                <w:color w:val="auto"/>
              </w:rPr>
              <w:t>Emily Rollins(2)</w:t>
            </w:r>
          </w:p>
        </w:tc>
        <w:tc>
          <w:tcPr>
            <w:tcW w:w="420" w:type="dxa"/>
            <w:vAlign w:val="bottom"/>
          </w:tcPr>
          <w:p>
            <w:pPr>
              <w:spacing w:after="0"/>
              <w:rPr>
                <w:sz w:val="17"/>
                <w:szCs w:val="17"/>
                <w:color w:val="auto"/>
              </w:rPr>
            </w:pPr>
          </w:p>
        </w:tc>
        <w:tc>
          <w:tcPr>
            <w:tcW w:w="62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48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Bial</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rPr>
              <w:t>312,200</w:t>
            </w:r>
          </w:p>
        </w:tc>
        <w:tc>
          <w:tcPr>
            <w:tcW w:w="4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40" w:type="dxa"/>
            <w:vAlign w:val="bottom"/>
            <w:gridSpan w:val="2"/>
          </w:tcPr>
          <w:p>
            <w:pPr>
              <w:spacing w:after="0" w:line="201" w:lineRule="exact"/>
              <w:rPr>
                <w:sz w:val="20"/>
                <w:szCs w:val="20"/>
                <w:color w:val="auto"/>
              </w:rPr>
            </w:pPr>
            <w:r>
              <w:rPr>
                <w:rFonts w:ascii="Arial" w:cs="Arial" w:eastAsia="Arial" w:hAnsi="Arial"/>
                <w:sz w:val="18"/>
                <w:szCs w:val="18"/>
                <w:color w:val="auto"/>
              </w:rPr>
              <w:t>Craig Driscoll</w:t>
            </w:r>
          </w:p>
        </w:tc>
        <w:tc>
          <w:tcPr>
            <w:tcW w:w="420" w:type="dxa"/>
            <w:vAlign w:val="bottom"/>
          </w:tcPr>
          <w:p>
            <w:pPr>
              <w:spacing w:after="0"/>
              <w:rPr>
                <w:sz w:val="17"/>
                <w:szCs w:val="17"/>
                <w:color w:val="auto"/>
              </w:rPr>
            </w:pPr>
          </w:p>
        </w:tc>
        <w:tc>
          <w:tcPr>
            <w:tcW w:w="62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48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Fabio Rosati</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24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4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720"/>
              <w:spacing w:after="0"/>
              <w:rPr>
                <w:sz w:val="20"/>
                <w:szCs w:val="20"/>
                <w:color w:val="auto"/>
              </w:rPr>
            </w:pPr>
            <w:r>
              <w:rPr>
                <w:rFonts w:ascii="Arial" w:cs="Arial" w:eastAsia="Arial" w:hAnsi="Arial"/>
                <w:sz w:val="18"/>
                <w:szCs w:val="18"/>
                <w:color w:val="auto"/>
              </w:rPr>
              <w:t>312,200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700" w:right="280" w:hanging="533"/>
        <w:spacing w:after="0" w:line="232"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Arial" w:cs="Arial" w:eastAsia="Arial" w:hAnsi="Arial"/>
          <w:sz w:val="18"/>
          <w:szCs w:val="18"/>
          <w:color w:val="auto"/>
        </w:rPr>
      </w:pPr>
    </w:p>
    <w:p>
      <w:pPr>
        <w:ind w:left="700" w:hanging="533"/>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Rollins joined our board in March 2021.</w:t>
      </w:r>
    </w:p>
    <w:p>
      <w:pPr>
        <w:spacing w:after="0" w:line="208"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0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We intend to adopt a non-employee director compensation policy following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3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named executive officers, consisting of our principal executive officer and the next two most highly compensated executive officers, as of December 31, 2020, were:</w:t>
      </w:r>
    </w:p>
    <w:p>
      <w:pPr>
        <w:spacing w:after="0" w:line="109" w:lineRule="exact"/>
        <w:rPr>
          <w:sz w:val="20"/>
          <w:szCs w:val="20"/>
          <w:color w:val="auto"/>
        </w:rPr>
      </w:pPr>
    </w:p>
    <w:p>
      <w:pPr>
        <w:ind w:left="920" w:hanging="2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Summary Compensation Table</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Name and Principal Position</w:t>
            </w:r>
          </w:p>
        </w:tc>
        <w:tc>
          <w:tcPr>
            <w:tcW w:w="9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center"/>
              <w:ind w:right="344"/>
              <w:spacing w:after="0" w:line="157" w:lineRule="exact"/>
              <w:rPr>
                <w:sz w:val="20"/>
                <w:szCs w:val="20"/>
                <w:color w:val="auto"/>
              </w:rPr>
            </w:pPr>
            <w:r>
              <w:rPr>
                <w:rFonts w:ascii="Arial" w:cs="Arial" w:eastAsia="Arial" w:hAnsi="Arial"/>
                <w:sz w:val="14"/>
                <w:szCs w:val="14"/>
                <w:b w:val="1"/>
                <w:bCs w:val="1"/>
                <w:color w:val="auto"/>
              </w:rPr>
              <w:t>Bonus</w:t>
            </w:r>
          </w:p>
        </w:tc>
        <w:tc>
          <w:tcPr>
            <w:tcW w:w="11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Awards</w:t>
            </w:r>
          </w:p>
        </w:tc>
        <w:tc>
          <w:tcPr>
            <w:tcW w:w="142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Compensation</w:t>
            </w:r>
          </w:p>
        </w:tc>
        <w:tc>
          <w:tcPr>
            <w:tcW w:w="12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4160" w:type="dxa"/>
            <w:vAlign w:val="bottom"/>
            <w:gridSpan w:val="2"/>
            <w:vMerge w:val="continue"/>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Randolph Altschuler</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w:t>
            </w:r>
          </w:p>
        </w:tc>
        <w:tc>
          <w:tcPr>
            <w:tcW w:w="420" w:type="dxa"/>
            <w:vAlign w:val="bottom"/>
            <w:tcBorders>
              <w:top w:val="single" w:sz="8" w:color="CCEEFF"/>
            </w:tcBorders>
            <w:shd w:val="clear" w:color="auto" w:fill="CCEEFF"/>
          </w:tcPr>
          <w:p>
            <w:pPr>
              <w:jc w:val="right"/>
              <w:ind w:right="164"/>
              <w:spacing w:after="0" w:line="161" w:lineRule="exact"/>
              <w:rPr>
                <w:sz w:val="20"/>
                <w:szCs w:val="20"/>
                <w:color w:val="auto"/>
              </w:rPr>
            </w:pPr>
            <w:r>
              <w:rPr>
                <w:rFonts w:ascii="Arial" w:cs="Arial" w:eastAsia="Arial" w:hAnsi="Arial"/>
                <w:sz w:val="15"/>
                <w:szCs w:val="15"/>
                <w:color w:val="auto"/>
                <w:w w:val="87"/>
              </w:rPr>
              <w:t>(3)</w:t>
            </w:r>
          </w:p>
        </w:tc>
        <w:tc>
          <w:tcPr>
            <w:tcW w:w="860" w:type="dxa"/>
            <w:vAlign w:val="bottom"/>
            <w:tcBorders>
              <w:top w:val="single" w:sz="8" w:color="auto"/>
            </w:tcBorders>
            <w:shd w:val="clear" w:color="auto" w:fill="CCEEFF"/>
          </w:tcPr>
          <w:p>
            <w:pPr>
              <w:jc w:val="right"/>
              <w:ind w:right="21"/>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60" w:type="dxa"/>
            <w:vAlign w:val="bottom"/>
            <w:gridSpan w:val="2"/>
          </w:tcPr>
          <w:p>
            <w:pPr>
              <w:spacing w:after="0" w:line="182" w:lineRule="exact"/>
              <w:rPr>
                <w:sz w:val="20"/>
                <w:szCs w:val="20"/>
                <w:color w:val="auto"/>
              </w:rPr>
            </w:pPr>
            <w:r>
              <w:rPr>
                <w:rFonts w:ascii="Arial" w:cs="Arial" w:eastAsia="Arial" w:hAnsi="Arial"/>
                <w:sz w:val="18"/>
                <w:szCs w:val="18"/>
                <w:color w:val="auto"/>
              </w:rPr>
              <w:t>James Rallo</w:t>
            </w:r>
            <w:r>
              <w:rPr>
                <w:rFonts w:ascii="Arial" w:cs="Arial" w:eastAsia="Arial" w:hAnsi="Arial"/>
                <w:sz w:val="15"/>
                <w:szCs w:val="15"/>
                <w:color w:val="auto"/>
              </w:rPr>
              <w:t>(2)</w:t>
            </w:r>
          </w:p>
        </w:tc>
        <w:tc>
          <w:tcPr>
            <w:tcW w:w="9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223,125</w:t>
            </w:r>
          </w:p>
        </w:tc>
        <w:tc>
          <w:tcPr>
            <w:tcW w:w="114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1,674,700</w:t>
            </w:r>
          </w:p>
        </w:tc>
        <w:tc>
          <w:tcPr>
            <w:tcW w:w="1420" w:type="dxa"/>
            <w:vAlign w:val="bottom"/>
            <w:gridSpan w:val="2"/>
          </w:tcPr>
          <w:p>
            <w:pPr>
              <w:ind w:left="460"/>
              <w:spacing w:after="0" w:line="182" w:lineRule="exact"/>
              <w:rPr>
                <w:sz w:val="20"/>
                <w:szCs w:val="20"/>
                <w:color w:val="auto"/>
              </w:rPr>
            </w:pPr>
            <w:r>
              <w:rPr>
                <w:rFonts w:ascii="Arial" w:cs="Arial" w:eastAsia="Arial" w:hAnsi="Arial"/>
                <w:sz w:val="18"/>
                <w:szCs w:val="18"/>
                <w:color w:val="auto"/>
              </w:rPr>
              <w:t>74,696</w:t>
            </w:r>
            <w:r>
              <w:rPr>
                <w:rFonts w:ascii="Arial" w:cs="Arial" w:eastAsia="Arial" w:hAnsi="Arial"/>
                <w:sz w:val="15"/>
                <w:szCs w:val="15"/>
                <w:color w:val="auto"/>
              </w:rPr>
              <w:t>(4)</w:t>
            </w:r>
          </w:p>
        </w:tc>
        <w:tc>
          <w:tcPr>
            <w:tcW w:w="1260" w:type="dxa"/>
            <w:vAlign w:val="bottom"/>
            <w:gridSpan w:val="2"/>
          </w:tcPr>
          <w:p>
            <w:pPr>
              <w:ind w:left="74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1,972,521</w:t>
            </w:r>
          </w:p>
        </w:tc>
        <w:tc>
          <w:tcPr>
            <w:tcW w:w="0" w:type="dxa"/>
            <w:vAlign w:val="bottom"/>
          </w:tcPr>
          <w:p>
            <w:pPr>
              <w:spacing w:after="0"/>
              <w:rPr>
                <w:sz w:val="1"/>
                <w:szCs w:val="1"/>
                <w:color w:val="auto"/>
              </w:rPr>
            </w:pPr>
          </w:p>
        </w:tc>
      </w:tr>
      <w:tr>
        <w:trPr>
          <w:trHeight w:val="231"/>
        </w:trPr>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1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Peter Goguen</w:t>
            </w:r>
          </w:p>
        </w:tc>
        <w:tc>
          <w:tcPr>
            <w:tcW w:w="94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333,800</w:t>
            </w:r>
          </w:p>
        </w:tc>
        <w:tc>
          <w:tcPr>
            <w:tcW w:w="1140" w:type="dxa"/>
            <w:vAlign w:val="bottom"/>
            <w:gridSpan w:val="2"/>
            <w:shd w:val="clear" w:color="auto" w:fill="CCEEFF"/>
          </w:tcPr>
          <w:p>
            <w:pPr>
              <w:ind w:left="440"/>
              <w:spacing w:after="0" w:line="18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182,500</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460"/>
              <w:spacing w:after="0" w:line="183" w:lineRule="exact"/>
              <w:rPr>
                <w:sz w:val="20"/>
                <w:szCs w:val="20"/>
                <w:color w:val="auto"/>
              </w:rPr>
            </w:pPr>
            <w:r>
              <w:rPr>
                <w:rFonts w:ascii="Arial" w:cs="Arial" w:eastAsia="Arial" w:hAnsi="Arial"/>
                <w:sz w:val="18"/>
                <w:szCs w:val="18"/>
                <w:color w:val="auto"/>
              </w:rPr>
              <w:t>91,911</w:t>
            </w:r>
          </w:p>
        </w:tc>
        <w:tc>
          <w:tcPr>
            <w:tcW w:w="1260" w:type="dxa"/>
            <w:vAlign w:val="bottom"/>
            <w:gridSpan w:val="2"/>
            <w:shd w:val="clear" w:color="auto" w:fill="CCEEFF"/>
          </w:tcPr>
          <w:p>
            <w:pPr>
              <w:ind w:left="74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608,211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700" w:right="80" w:hanging="533"/>
        <w:spacing w:after="0" w:line="232"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spacing w:after="0" w:line="3" w:lineRule="exact"/>
        <w:rPr>
          <w:rFonts w:ascii="Arial" w:cs="Arial" w:eastAsia="Arial" w:hAnsi="Arial"/>
          <w:sz w:val="18"/>
          <w:szCs w:val="18"/>
          <w:color w:val="auto"/>
        </w:rPr>
      </w:pPr>
    </w:p>
    <w:p>
      <w:pPr>
        <w:ind w:left="700" w:hanging="533"/>
        <w:spacing w:after="0" w:line="232"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Rallo joined the Company in April 2020.</w:t>
      </w:r>
    </w:p>
    <w:p>
      <w:pPr>
        <w:ind w:left="700" w:hanging="533"/>
        <w:spacing w:after="0" w:line="232"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 discretionary bonus earned by Mr. Altschuler in 2020 and paid in March 2021.</w:t>
      </w:r>
    </w:p>
    <w:p>
      <w:pPr>
        <w:ind w:left="700" w:hanging="533"/>
        <w:spacing w:after="0" w:line="23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3" w:lineRule="exact"/>
        <w:rPr>
          <w:sz w:val="20"/>
          <w:szCs w:val="20"/>
          <w:color w:val="auto"/>
        </w:rPr>
      </w:pPr>
    </w:p>
    <w:p>
      <w:pPr>
        <w:jc w:val="both"/>
        <w:ind w:left="160" w:right="260" w:firstLine="546"/>
        <w:spacing w:after="0" w:line="237" w:lineRule="auto"/>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Xometry’s board of directors and compensation committee will oversee the compensation policies, plans and programs and review and determine compensation to be paid to Xometry’s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6"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37" w:lineRule="auto"/>
        <w:rPr>
          <w:sz w:val="20"/>
          <w:szCs w:val="20"/>
          <w:color w:val="auto"/>
        </w:rPr>
      </w:pPr>
      <w:r>
        <w:rPr>
          <w:rFonts w:ascii="Arial" w:cs="Arial" w:eastAsia="Arial" w:hAnsi="Arial"/>
          <w:sz w:val="18"/>
          <w:szCs w:val="18"/>
          <w:color w:val="auto"/>
        </w:rPr>
        <w:t>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20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2020, Mr. Goguen was eligible to receive a target bonus of $100,140, or 30% of his base salary, based on the attainment of company performance goals set by the compensation committee. Mr. Goguen received an aggregate target bonus of $91,911 in 2020. Mr. Goguen’s bonus target decreased from 30% to 20% effective February 2021.</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w:t>
      </w:r>
    </w:p>
    <w:p>
      <w:pPr>
        <w:spacing w:after="0" w:line="23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Option Awards(1)</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Number of</w:t>
            </w:r>
          </w:p>
        </w:tc>
        <w:tc>
          <w:tcPr>
            <w:tcW w:w="1620" w:type="dxa"/>
            <w:vAlign w:val="bottom"/>
            <w:gridSpan w:val="2"/>
          </w:tcPr>
          <w:p>
            <w:pPr>
              <w:jc w:val="center"/>
              <w:ind w:right="584"/>
              <w:spacing w:after="0" w:line="141"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Securities</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Unexercised</w:t>
            </w: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Options</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7"/>
        </w:trPr>
        <w:tc>
          <w:tcPr>
            <w:tcW w:w="60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Randolph Altschuler</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145,832</w:t>
            </w:r>
          </w:p>
        </w:tc>
        <w:tc>
          <w:tcPr>
            <w:tcW w:w="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54,168</w:t>
            </w:r>
          </w:p>
        </w:tc>
        <w:tc>
          <w:tcPr>
            <w:tcW w:w="640" w:type="dxa"/>
            <w:vAlign w:val="bottom"/>
            <w:tcBorders>
              <w:top w:val="single" w:sz="8" w:color="CCEEFF"/>
            </w:tcBorders>
            <w:shd w:val="clear" w:color="auto" w:fill="CCEEFF"/>
          </w:tcPr>
          <w:p>
            <w:pPr>
              <w:jc w:val="right"/>
              <w:ind w:right="384"/>
              <w:spacing w:after="0" w:line="164" w:lineRule="exact"/>
              <w:rPr>
                <w:sz w:val="20"/>
                <w:szCs w:val="20"/>
                <w:color w:val="auto"/>
              </w:rPr>
            </w:pPr>
            <w:r>
              <w:rPr>
                <w:rFonts w:ascii="Arial" w:cs="Arial" w:eastAsia="Arial" w:hAnsi="Arial"/>
                <w:sz w:val="15"/>
                <w:szCs w:val="15"/>
                <w:color w:val="auto"/>
                <w:w w:val="87"/>
              </w:rPr>
              <w:t>(2)</w:t>
            </w:r>
          </w:p>
        </w:tc>
        <w:tc>
          <w:tcPr>
            <w:tcW w:w="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1.65</w:t>
            </w: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1/29/2028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102,195</w:t>
            </w:r>
          </w:p>
        </w:tc>
        <w:tc>
          <w:tcPr>
            <w:tcW w:w="1620" w:type="dxa"/>
            <w:vAlign w:val="bottom"/>
            <w:gridSpan w:val="2"/>
          </w:tcPr>
          <w:p>
            <w:pPr>
              <w:jc w:val="right"/>
              <w:ind w:right="384"/>
              <w:spacing w:after="0" w:line="201" w:lineRule="exact"/>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8/7/2029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Rallo</w:t>
            </w:r>
          </w:p>
        </w:tc>
        <w:tc>
          <w:tcPr>
            <w:tcW w:w="132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5/5/2030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Peter Goguen</w:t>
            </w: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4/5/2028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19,166</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2/19/2029</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700" w:right="720" w:hanging="533"/>
        <w:spacing w:after="0" w:line="232"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option awards listed in this table were granted pursuant to our 2016 Plan, the terms of which are described below under “Executive Compensation—Employee Benefit Plans”.</w:t>
      </w:r>
    </w:p>
    <w:p>
      <w:pPr>
        <w:spacing w:after="0" w:line="1" w:lineRule="exact"/>
        <w:rPr>
          <w:rFonts w:ascii="Arial" w:cs="Arial" w:eastAsia="Arial" w:hAnsi="Arial"/>
          <w:sz w:val="18"/>
          <w:szCs w:val="18"/>
          <w:color w:val="auto"/>
        </w:rPr>
      </w:pPr>
    </w:p>
    <w:p>
      <w:pPr>
        <w:ind w:left="700" w:right="160" w:hanging="533"/>
        <w:spacing w:after="0" w:line="232"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January 1, 2019, with the remaining 75% vesting in equal monthly installments over the three years thereafter, subject to Mr. Altschuler’s continuous service through each such vesting date.</w:t>
      </w:r>
    </w:p>
    <w:p>
      <w:pPr>
        <w:spacing w:after="0" w:line="1" w:lineRule="exact"/>
        <w:rPr>
          <w:rFonts w:ascii="Arial" w:cs="Arial" w:eastAsia="Arial" w:hAnsi="Arial"/>
          <w:sz w:val="18"/>
          <w:szCs w:val="18"/>
          <w:color w:val="auto"/>
        </w:rPr>
      </w:pPr>
    </w:p>
    <w:p>
      <w:pPr>
        <w:ind w:left="700" w:right="60" w:hanging="533"/>
        <w:spacing w:after="0" w:line="232"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May 2, 2020, with the remaining 75% vesting in equal monthly installments over the three years thereafter, subject to Mr. Altschuler’s continuous service through each such vesting date.</w:t>
      </w:r>
    </w:p>
    <w:p>
      <w:pPr>
        <w:spacing w:after="0" w:line="1" w:lineRule="exact"/>
        <w:rPr>
          <w:rFonts w:ascii="Arial" w:cs="Arial" w:eastAsia="Arial" w:hAnsi="Arial"/>
          <w:sz w:val="18"/>
          <w:szCs w:val="18"/>
          <w:color w:val="auto"/>
        </w:rPr>
      </w:pPr>
    </w:p>
    <w:p>
      <w:pPr>
        <w:ind w:left="700" w:right="340" w:hanging="533"/>
        <w:spacing w:after="0" w:line="246"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25% of the shares underlying this option vested on April 13, 2021, with the remaining 75% vesting in equal monthly installments over the three years thereafter, subject in each case to Mr. Rallo’s continuous service through each such vesting date.</w:t>
      </w:r>
    </w:p>
    <w:p>
      <w:pPr>
        <w:ind w:left="700" w:right="160" w:hanging="533"/>
        <w:spacing w:after="0" w:line="232"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January 1, 2020, with the remaining 75% vesting in equal monthly installments over the three years thereafter, subject to Mr. Goguen’s continuous service through each such vesting date.</w:t>
      </w:r>
    </w:p>
    <w:p>
      <w:pPr>
        <w:spacing w:after="0" w:line="1" w:lineRule="exact"/>
        <w:rPr>
          <w:rFonts w:ascii="Arial" w:cs="Arial" w:eastAsia="Arial" w:hAnsi="Arial"/>
          <w:sz w:val="18"/>
          <w:szCs w:val="18"/>
          <w:color w:val="auto"/>
        </w:rPr>
      </w:pPr>
    </w:p>
    <w:p>
      <w:pPr>
        <w:ind w:left="700" w:right="340" w:hanging="533"/>
        <w:spacing w:after="0" w:line="268"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25% of the shares underlying this option vested on April 28, 2021, with the remaining 75% vesting in equal monthly installments over the three years thereafter, subject in each case to Mr. Goguen’s continuous service through each such vesting date.</w:t>
      </w:r>
    </w:p>
    <w:p>
      <w:pPr>
        <w:spacing w:after="0" w:line="26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of our named executive officers is an at-will employee.</w:t>
      </w:r>
    </w:p>
    <w:p>
      <w:pPr>
        <w:spacing w:after="0" w:line="186"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i w:val="1"/>
          <w:iCs w:val="1"/>
          <w:color w:val="auto"/>
        </w:rPr>
        <w:t xml:space="preserve">James Rallo. </w:t>
      </w:r>
      <w:r>
        <w:rPr>
          <w:rFonts w:ascii="Arial" w:cs="Arial" w:eastAsia="Arial" w:hAnsi="Arial"/>
          <w:sz w:val="18"/>
          <w:szCs w:val="18"/>
          <w:color w:val="auto"/>
        </w:rPr>
        <w:t>In 2020, we entered into an employment agreement with James Rallo, our Chief Financial Officer.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 has no specific term and provides for at-will employment. At the time of his agreement, Mr. Rallo was entitled to an initial annual base salary of $ 315,000. Additionally, he is eligible to receive an annual performance bonus with a target amount of 33% of his annual base salary, based on the bonus plan formula used for our senior executives. In 2020, Mr. Rallo was entitled to a guaranteed target bonus, prorated for the number of days he was employed, subject to his continued employment through December 31, 2020. In addition, pursuant to the employment agreement, in May 2020 Mr. Rallo was granted an incentive stock option to purchase 458,822 shares of our common stock pursuant to the 2016 Plan, vesting 25% on the first anniversary of the start date and afterward in thirty-six equal monthly installments, subject to Mr. Rallo’s continued employment through the applicable vesting date.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Pursuant to Mr. Rallo’s employment agreement, if he resigns for Good Reason or we terminate his employment without Cause (each as defined in his employment agreement) not in connection with a Change in Control (as defined in the company’s 2016 Equity Incentive Plan), then he will be eligible to receive the following severance benefits: (1) nine months of base salary, less applicable tax withholdings and paid in accordance with our regular payroll practices; and (2) up to nine months of COBRA premiums paid by the company. In addition, if Mr. Rallo resigns for Good Reason or we terminate his employment without Cause within three months prior to or twelve months following the effective date of a Change in Control, then he will also be eligible to receive the following severance benefits:</w:t>
      </w:r>
    </w:p>
    <w:p>
      <w:pPr>
        <w:ind w:left="440" w:hanging="273"/>
        <w:spacing w:after="0" w:line="234"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pro-rated target annual performance bonus for the calendar year in which his termination occurs, less applicable tax withholdings;</w:t>
      </w:r>
    </w:p>
    <w:p>
      <w:pPr>
        <w:jc w:val="both"/>
        <w:ind w:left="160" w:right="140" w:firstLine="7"/>
        <w:spacing w:after="0" w:line="236" w:lineRule="auto"/>
        <w:tabs>
          <w:tab w:leader="none" w:pos="4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performance bonus for the preceding bonus year if his termination occurs between January 1 and March 15 and such annual performance bonus has not yet been paid by the company; and (3) all of the outstanding and unvested equity awards he held immediately prior to his termination date will become fully vested and immediately exercisable. As a condition to receiving the severance benefits set forth above, Mr. Rallo must sign and comply with a general release agreement in a form presented by us.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Employee Benefit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Xometry provides a retirement savings plan for the benefit of its employees, including its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Incentive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1"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2016 Plan provides for the grant of incentive stock options (“ISOs”), nonstatutory stock options (“NSOs”),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restricted stock, restricted stock units, and other stock awards (collectively, “Awards”) to Xometry’s employees, directors, and consultants who provide services to Xometry. Xometry has granted ISOs and NSOs under the 2016 Plan. ISOs may only be granted to our employees, or employees of a parent 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6"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200" w:firstLine="546"/>
        <w:spacing w:after="0" w:line="249"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Subject to certain capitalization adjustments, the aggregate number of shares of Xometry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issued pursuant to stock awards under the 2016 Plan will not exceed 5,694,149 shares. The maximum number of shares of Xometry common stock that may be issued pursuant to the exercise of ISOs under the 2016 Plan is 28,470,745 shares.</w:t>
      </w:r>
    </w:p>
    <w:p>
      <w:pPr>
        <w:spacing w:after="0" w:line="194"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 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8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203" w:lineRule="exact"/>
        <w:rPr>
          <w:sz w:val="20"/>
          <w:szCs w:val="20"/>
          <w:color w:val="auto"/>
        </w:rPr>
      </w:pPr>
    </w:p>
    <w:p>
      <w:pPr>
        <w:ind w:left="160" w:right="280" w:firstLine="546"/>
        <w:spacing w:after="0" w:line="236"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March 31, 2021, options to purchase 4,034,012 shares of Xometry’s common stock were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2016 Plan. ISOs and NSOs are granted under stock option agreements adopted by the plan administrator. The plan administrator 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 no event may an option be exercised beyond the expiration of its term. If an optionholder’s service relationship with Xometry or any of its affiliates ceases due to termination for Cause, the optionholder will be prohibited from exercising options from and after the date of termination.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common stock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1"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 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84" w:lineRule="exact"/>
        <w:rPr>
          <w:sz w:val="20"/>
          <w:szCs w:val="20"/>
          <w:color w:val="auto"/>
        </w:rPr>
      </w:pPr>
    </w:p>
    <w:p>
      <w:pPr>
        <w:ind w:lef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reverse 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78" w:lineRule="exact"/>
        <w:rPr>
          <w:sz w:val="20"/>
          <w:szCs w:val="20"/>
          <w:color w:val="auto"/>
        </w:rPr>
      </w:pPr>
    </w:p>
    <w:p>
      <w:pPr>
        <w:ind w:left="160" w:right="620" w:firstLine="546"/>
        <w:spacing w:after="0" w:line="265"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(defined below), unless otherwise provided in an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award agreement or other written agreement between Xometry and the award holder, the plan administrator may take one or more of the following actions with respect to such stock awards:</w:t>
      </w:r>
    </w:p>
    <w:p>
      <w:pPr>
        <w:spacing w:after="0" w:line="109" w:lineRule="exact"/>
        <w:rPr>
          <w:sz w:val="20"/>
          <w:szCs w:val="20"/>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109" w:lineRule="exact"/>
        <w:rPr>
          <w:rFonts w:ascii="Arial" w:cs="Arial" w:eastAsia="Arial" w:hAnsi="Arial"/>
          <w:sz w:val="18"/>
          <w:szCs w:val="18"/>
          <w:color w:val="auto"/>
        </w:rPr>
      </w:pPr>
    </w:p>
    <w:p>
      <w:pPr>
        <w:ind w:left="920" w:right="240" w:hanging="218"/>
        <w:spacing w:after="0" w:line="237"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80" w:lineRule="exact"/>
        <w:rPr>
          <w:sz w:val="20"/>
          <w:szCs w:val="20"/>
          <w:color w:val="auto"/>
        </w:rPr>
      </w:pPr>
    </w:p>
    <w:p>
      <w:pPr>
        <w:jc w:val="both"/>
        <w:ind w:left="160" w:right="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subject to additional acceleration of vesting and exercisability in the event of a change in control, but in the absence of such a provision, no acceleration will occur upon a change in control.</w:t>
      </w:r>
    </w:p>
    <w:p>
      <w:pPr>
        <w:spacing w:after="0" w:line="19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74" w:lineRule="exact"/>
        <w:rPr>
          <w:sz w:val="20"/>
          <w:szCs w:val="20"/>
          <w:color w:val="auto"/>
        </w:rPr>
      </w:pPr>
    </w:p>
    <w:p>
      <w:pPr>
        <w:jc w:val="both"/>
        <w:ind w:left="160" w:right="400" w:firstLine="546"/>
        <w:spacing w:after="0" w:line="270" w:lineRule="auto"/>
        <w:rPr>
          <w:sz w:val="20"/>
          <w:szCs w:val="20"/>
          <w:color w:val="auto"/>
        </w:rPr>
      </w:pPr>
      <w:r>
        <w:rPr>
          <w:rFonts w:ascii="Arial" w:cs="Arial" w:eastAsia="Arial" w:hAnsi="Arial"/>
          <w:sz w:val="17"/>
          <w:szCs w:val="17"/>
          <w:b w:val="1"/>
          <w:bCs w:val="1"/>
          <w:i w:val="1"/>
          <w:iCs w:val="1"/>
          <w:color w:val="auto"/>
        </w:rPr>
        <w:t xml:space="preserve">Plan Amendment or Termination. </w:t>
      </w:r>
      <w:r>
        <w:rPr>
          <w:rFonts w:ascii="Arial" w:cs="Arial" w:eastAsia="Arial" w:hAnsi="Arial"/>
          <w:sz w:val="17"/>
          <w:szCs w:val="17"/>
          <w:color w:val="auto"/>
        </w:rPr>
        <w:t>Xometry’s board of directors has the authority to amend, suspend, or terminate the 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provided that such action does not impair the existing rights of any participant without such participant’s written consent. Certain material amendments also require the approval of Xometry’s stockholders. Unless terminated sooner, the 2016 Plan will automatically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terminate on February 2, 2026. No stock awards may be granted under the 2016 Plan while it is suspended or after it is terminated.</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0"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9" w:lineRule="exact"/>
        <w:rPr>
          <w:sz w:val="20"/>
          <w:szCs w:val="20"/>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8"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3" w:lineRule="exact"/>
        <w:rPr>
          <w:sz w:val="20"/>
          <w:szCs w:val="20"/>
          <w:color w:val="auto"/>
        </w:rPr>
      </w:pPr>
    </w:p>
    <w:p>
      <w:pPr>
        <w:ind w:left="160" w:right="20" w:firstLine="546"/>
        <w:spacing w:after="0" w:line="248" w:lineRule="auto"/>
        <w:rPr>
          <w:sz w:val="20"/>
          <w:szCs w:val="20"/>
          <w:color w:val="auto"/>
        </w:rPr>
      </w:pPr>
      <w:r>
        <w:rPr>
          <w:rFonts w:ascii="Arial" w:cs="Arial" w:eastAsia="Arial" w:hAnsi="Arial"/>
          <w:sz w:val="17"/>
          <w:szCs w:val="17"/>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96"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10b5-1 Sales Plans</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0"/>
          </w:cols>
          <w:pgMar w:left="320" w:top="456" w:right="5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109" w:lineRule="exact"/>
        <w:rPr>
          <w:sz w:val="20"/>
          <w:szCs w:val="20"/>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3"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Party Tender Offer</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95"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203" w:lineRule="exact"/>
        <w:rPr>
          <w:sz w:val="20"/>
          <w:szCs w:val="20"/>
          <w:color w:val="auto"/>
        </w:rPr>
      </w:pPr>
    </w:p>
    <w:p>
      <w:pPr>
        <w:ind w:left="160" w:right="480" w:firstLine="546"/>
        <w:spacing w:after="0" w:line="237" w:lineRule="auto"/>
        <w:rPr>
          <w:sz w:val="20"/>
          <w:szCs w:val="20"/>
          <w:color w:val="auto"/>
        </w:rPr>
      </w:pPr>
      <w:r>
        <w:rPr>
          <w:rFonts w:ascii="Arial" w:cs="Arial" w:eastAsia="Arial" w:hAnsi="Arial"/>
          <w:sz w:val="18"/>
          <w:szCs w:val="18"/>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 Financing</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Series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Series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2820" w:type="dxa"/>
            <w:vAlign w:val="bottom"/>
            <w:vMerge w:val="restart"/>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Preferred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7"/>
        </w:trPr>
        <w:tc>
          <w:tcPr>
            <w:tcW w:w="42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24,912</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4,168,550.53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42,521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14,592</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15,161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11,761</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85,137</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14,303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14,864</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83,425</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Foundry Group</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59,633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20,470</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21,273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16,510</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119,399</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 Rowe Price Associates, Inc.</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654,011</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224,493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233,298</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181,056</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1,309,467</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30,296,809.69</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D Preferred Stock Financing</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740" w:type="dxa"/>
            <w:vAlign w:val="bottom"/>
            <w:vMerge w:val="restart"/>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7"/>
        </w:trPr>
        <w:tc>
          <w:tcPr>
            <w:tcW w:w="81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399,573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4,000,045.40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372,548</w:t>
            </w:r>
          </w:p>
        </w:tc>
        <w:tc>
          <w:tcPr>
            <w:tcW w:w="32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2,497,300</w:t>
            </w:r>
          </w:p>
        </w:tc>
        <w:tc>
          <w:tcPr>
            <w:tcW w:w="320" w:type="dxa"/>
            <w:vAlign w:val="bottom"/>
            <w:gridSpan w:val="2"/>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24,999,970.85</w:t>
            </w:r>
          </w:p>
        </w:tc>
        <w:tc>
          <w:tcPr>
            <w:tcW w:w="0" w:type="dxa"/>
            <w:vAlign w:val="bottom"/>
          </w:tcPr>
          <w:p>
            <w:pPr>
              <w:spacing w:after="0"/>
              <w:rPr>
                <w:sz w:val="1"/>
                <w:szCs w:val="1"/>
                <w:color w:val="auto"/>
              </w:rPr>
            </w:pPr>
          </w:p>
        </w:tc>
      </w:tr>
      <w:tr>
        <w:trPr>
          <w:trHeight w:val="213"/>
        </w:trPr>
        <w:tc>
          <w:tcPr>
            <w:tcW w:w="818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787,238</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30"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Agreements</w:t>
      </w:r>
    </w:p>
    <w:p>
      <w:pPr>
        <w:spacing w:after="0" w:line="230"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entities affiliated with BMW i Ventures SCS, SICAV RAIF and entities affiliated with Greenspring Associates.</w:t>
      </w:r>
    </w:p>
    <w:p>
      <w:pPr>
        <w:spacing w:after="0" w:line="206"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30" w:lineRule="exact"/>
        <w:rPr>
          <w:sz w:val="20"/>
          <w:szCs w:val="20"/>
          <w:color w:val="auto"/>
        </w:rPr>
      </w:pPr>
    </w:p>
    <w:p>
      <w:pPr>
        <w:jc w:val="both"/>
        <w:ind w:left="160" w:right="160" w:firstLine="546"/>
        <w:spacing w:after="0" w:line="23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160" w:right="180" w:firstLine="546"/>
        <w:spacing w:after="0" w:line="268"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Agreements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30"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46" w:lineRule="auto"/>
        <w:rPr>
          <w:sz w:val="20"/>
          <w:szCs w:val="20"/>
          <w:color w:val="auto"/>
        </w:rPr>
      </w:pPr>
      <w:r>
        <w:rPr>
          <w:rFonts w:ascii="Arial" w:cs="Arial" w:eastAsia="Arial" w:hAnsi="Arial"/>
          <w:sz w:val="17"/>
          <w:szCs w:val="17"/>
          <w:color w:val="auto"/>
        </w:rPr>
        <w:t>board of directors or our audit committee. Any request for us to enter into a transaction with an executive officer, director, nominee for election as a director, beneficial owner of more than 5% of any class of our common stock or any member of the immediate family of any</w:t>
      </w:r>
    </w:p>
    <w:p>
      <w:pPr>
        <w:ind w:left="160"/>
        <w:spacing w:after="0" w:line="235" w:lineRule="auto"/>
        <w:rPr>
          <w:sz w:val="20"/>
          <w:szCs w:val="20"/>
          <w:color w:val="auto"/>
        </w:rPr>
      </w:pPr>
      <w:r>
        <w:rPr>
          <w:rFonts w:ascii="Arial" w:cs="Arial" w:eastAsia="Arial" w:hAnsi="Arial"/>
          <w:sz w:val="18"/>
          <w:szCs w:val="18"/>
          <w:color w:val="auto"/>
        </w:rPr>
        <w:t>of the foregoing persons, in which the amount involved exceeds $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6"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May 30, 2021 by:</w:t>
      </w:r>
    </w:p>
    <w:p>
      <w:pPr>
        <w:spacing w:after="0" w:line="114" w:lineRule="exact"/>
        <w:rPr>
          <w:sz w:val="20"/>
          <w:szCs w:val="20"/>
          <w:color w:val="auto"/>
        </w:rPr>
      </w:pPr>
    </w:p>
    <w:p>
      <w:pPr>
        <w:ind w:left="920" w:hanging="218"/>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common stock (by number or by voting power).</w:t>
      </w:r>
    </w:p>
    <w:p>
      <w:pPr>
        <w:spacing w:after="0" w:line="208" w:lineRule="exact"/>
        <w:rPr>
          <w:sz w:val="20"/>
          <w:szCs w:val="20"/>
          <w:color w:val="auto"/>
        </w:rPr>
      </w:pPr>
    </w:p>
    <w:p>
      <w:pPr>
        <w:ind w:left="160" w:right="360" w:firstLine="546"/>
        <w:spacing w:after="0" w:line="236"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2"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Applicable percentage ownership before the offering is based on shares of common stock outstanding as of May 30, 2021, assuming the automatic conversion of all outstanding shares of preferred stock into shares of common stock. Applicable percentage</w:t>
      </w:r>
    </w:p>
    <w:p>
      <w:pPr>
        <w:spacing w:after="0" w:line="1"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ownership after the offering is based on (1) shares of common stock outstanding immediately after the completion of this offering, assuming no exercise by the underwriters of their option to purchase additional shares of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May 30, 2021. However, except as described above, we did not deem such shares outstanding for the purpose of computing the percentage ownership of any other person.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ectPr>
          <w:pgSz w:w="11900" w:h="16838" w:orient="portrait"/>
          <w:cols w:equalWidth="0" w:num="1">
            <w:col w:w="11020"/>
          </w:cols>
          <w:pgMar w:left="320" w:top="45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Stockholders:</w:t>
      </w:r>
    </w:p>
    <w:p>
      <w:pPr>
        <w:spacing w:after="0" w:line="7" w:lineRule="exact"/>
        <w:rPr>
          <w:sz w:val="20"/>
          <w:szCs w:val="20"/>
          <w:color w:val="auto"/>
        </w:rPr>
      </w:pPr>
    </w:p>
    <w:p>
      <w:pPr>
        <w:ind w:left="160" w:right="780"/>
        <w:spacing w:after="0" w:line="232" w:lineRule="auto"/>
        <w:rPr>
          <w:sz w:val="20"/>
          <w:szCs w:val="20"/>
          <w:color w:val="auto"/>
        </w:rPr>
      </w:pPr>
      <w:r>
        <w:rPr>
          <w:rFonts w:ascii="Arial" w:cs="Arial" w:eastAsia="Arial" w:hAnsi="Arial"/>
          <w:sz w:val="18"/>
          <w:szCs w:val="18"/>
          <w:color w:val="auto"/>
        </w:rPr>
        <w:t>Entities associated with Highland Capital Partners Entities associated with T. Rowe Price Associates, Inc. Entities associated with Foundry Group BMW i Ventures SCS, SICAV RAIF</w:t>
      </w:r>
    </w:p>
    <w:p>
      <w:pPr>
        <w:ind w:left="160"/>
        <w:spacing w:after="0" w:line="235" w:lineRule="auto"/>
        <w:rPr>
          <w:sz w:val="20"/>
          <w:szCs w:val="20"/>
          <w:color w:val="auto"/>
        </w:rPr>
      </w:pPr>
      <w:r>
        <w:rPr>
          <w:rFonts w:ascii="Arial" w:cs="Arial" w:eastAsia="Arial" w:hAnsi="Arial"/>
          <w:sz w:val="18"/>
          <w:szCs w:val="18"/>
          <w:color w:val="auto"/>
        </w:rPr>
        <w:t>Entities associated with Greenspring Associates, LLC</w:t>
      </w:r>
    </w:p>
    <w:p>
      <w:pPr>
        <w:ind w:left="160"/>
        <w:spacing w:after="0" w:line="232" w:lineRule="auto"/>
        <w:rPr>
          <w:sz w:val="20"/>
          <w:szCs w:val="20"/>
          <w:color w:val="auto"/>
        </w:rPr>
      </w:pPr>
      <w:r>
        <w:rPr>
          <w:rFonts w:ascii="Arial" w:cs="Arial" w:eastAsia="Arial" w:hAnsi="Arial"/>
          <w:sz w:val="18"/>
          <w:szCs w:val="18"/>
          <w:color w:val="auto"/>
        </w:rPr>
        <w:t>Randolph Altschuler</w:t>
      </w:r>
    </w:p>
    <w:p>
      <w:pPr>
        <w:ind w:left="160"/>
        <w:spacing w:after="0" w:line="233" w:lineRule="auto"/>
        <w:rPr>
          <w:sz w:val="20"/>
          <w:szCs w:val="20"/>
          <w:color w:val="auto"/>
        </w:rPr>
      </w:pPr>
      <w:r>
        <w:rPr>
          <w:rFonts w:ascii="Arial" w:cs="Arial" w:eastAsia="Arial" w:hAnsi="Arial"/>
          <w:sz w:val="18"/>
          <w:szCs w:val="18"/>
          <w:color w:val="auto"/>
        </w:rPr>
        <w:t>Laurence Zuriff</w:t>
      </w:r>
    </w:p>
    <w:p>
      <w:pPr>
        <w:ind w:left="160"/>
        <w:spacing w:after="0" w:line="232" w:lineRule="auto"/>
        <w:rPr>
          <w:sz w:val="20"/>
          <w:szCs w:val="20"/>
          <w:color w:val="auto"/>
        </w:rPr>
      </w:pPr>
      <w:r>
        <w:rPr>
          <w:rFonts w:ascii="Arial" w:cs="Arial" w:eastAsia="Arial" w:hAnsi="Arial"/>
          <w:sz w:val="18"/>
          <w:szCs w:val="18"/>
          <w:b w:val="1"/>
          <w:bCs w:val="1"/>
          <w:color w:val="auto"/>
        </w:rPr>
        <w:t>Directors and Named Executive Officers:</w:t>
      </w:r>
    </w:p>
    <w:p>
      <w:pPr>
        <w:ind w:left="160"/>
        <w:spacing w:after="0" w:line="233" w:lineRule="auto"/>
        <w:rPr>
          <w:sz w:val="20"/>
          <w:szCs w:val="20"/>
          <w:color w:val="auto"/>
        </w:rPr>
      </w:pPr>
      <w:r>
        <w:rPr>
          <w:rFonts w:ascii="Arial" w:cs="Arial" w:eastAsia="Arial" w:hAnsi="Arial"/>
          <w:sz w:val="18"/>
          <w:szCs w:val="18"/>
          <w:color w:val="auto"/>
        </w:rPr>
        <w:t>Randolph Altschuler</w:t>
      </w:r>
    </w:p>
    <w:p>
      <w:pPr>
        <w:ind w:left="160"/>
        <w:spacing w:after="0" w:line="233" w:lineRule="auto"/>
        <w:rPr>
          <w:sz w:val="20"/>
          <w:szCs w:val="20"/>
          <w:color w:val="auto"/>
        </w:rPr>
      </w:pPr>
      <w:r>
        <w:rPr>
          <w:rFonts w:ascii="Arial" w:cs="Arial" w:eastAsia="Arial" w:hAnsi="Arial"/>
          <w:sz w:val="18"/>
          <w:szCs w:val="18"/>
          <w:color w:val="auto"/>
        </w:rPr>
        <w:t>James Rallo</w:t>
      </w:r>
    </w:p>
    <w:p>
      <w:pPr>
        <w:ind w:left="160"/>
        <w:spacing w:after="0" w:line="232" w:lineRule="auto"/>
        <w:rPr>
          <w:sz w:val="20"/>
          <w:szCs w:val="20"/>
          <w:color w:val="auto"/>
        </w:rPr>
      </w:pPr>
      <w:r>
        <w:rPr>
          <w:rFonts w:ascii="Arial" w:cs="Arial" w:eastAsia="Arial" w:hAnsi="Arial"/>
          <w:sz w:val="18"/>
          <w:szCs w:val="18"/>
          <w:color w:val="auto"/>
        </w:rPr>
        <w:t>Peter Goguen</w:t>
      </w:r>
    </w:p>
    <w:p>
      <w:pPr>
        <w:ind w:left="160"/>
        <w:spacing w:after="0" w:line="233" w:lineRule="auto"/>
        <w:rPr>
          <w:sz w:val="20"/>
          <w:szCs w:val="20"/>
          <w:color w:val="auto"/>
        </w:rPr>
      </w:pPr>
      <w:r>
        <w:rPr>
          <w:rFonts w:ascii="Arial" w:cs="Arial" w:eastAsia="Arial" w:hAnsi="Arial"/>
          <w:sz w:val="18"/>
          <w:szCs w:val="18"/>
          <w:color w:val="auto"/>
        </w:rPr>
        <w:t>Laurence Zuriff</w:t>
      </w:r>
    </w:p>
    <w:p>
      <w:pPr>
        <w:ind w:left="160"/>
        <w:spacing w:after="0"/>
        <w:rPr>
          <w:sz w:val="20"/>
          <w:szCs w:val="20"/>
          <w:color w:val="auto"/>
        </w:rPr>
      </w:pPr>
      <w:r>
        <w:rPr>
          <w:rFonts w:ascii="Arial" w:cs="Arial" w:eastAsia="Arial" w:hAnsi="Arial"/>
          <w:sz w:val="18"/>
          <w:szCs w:val="18"/>
          <w:color w:val="auto"/>
        </w:rPr>
        <w:t>George Hornig</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Emily Rollins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Deborah Bial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Craig Driscoll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Fabio Rosati</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Katharine Weymouth</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 directors and executive officers 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7645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Beneficial Ownership</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Beneficial Ownership</w:t>
            </w:r>
          </w:p>
        </w:tc>
      </w:tr>
      <w:tr>
        <w:trPr>
          <w:trHeight w:val="174"/>
        </w:trPr>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Before the Offering</w:t>
            </w: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After the Offering</w:t>
            </w:r>
          </w:p>
        </w:tc>
      </w:tr>
      <w:tr>
        <w:trPr>
          <w:trHeight w:val="141"/>
        </w:trPr>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249"/>
              <w:spacing w:after="0" w:line="141" w:lineRule="exact"/>
              <w:rPr>
                <w:sz w:val="20"/>
                <w:szCs w:val="20"/>
                <w:color w:val="auto"/>
              </w:rPr>
            </w:pPr>
            <w:r>
              <w:rPr>
                <w:rFonts w:ascii="Arial" w:cs="Arial" w:eastAsia="Arial" w:hAnsi="Arial"/>
                <w:sz w:val="14"/>
                <w:szCs w:val="14"/>
                <w:b w:val="1"/>
                <w:bCs w:val="1"/>
                <w:color w:val="auto"/>
              </w:rPr>
              <w:t>% of</w:t>
            </w:r>
          </w:p>
        </w:tc>
      </w:tr>
      <w:tr>
        <w:trPr>
          <w:trHeight w:val="160"/>
        </w:trPr>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269"/>
              <w:spacing w:after="0"/>
              <w:rPr>
                <w:sz w:val="20"/>
                <w:szCs w:val="20"/>
                <w:color w:val="auto"/>
              </w:rPr>
            </w:pPr>
            <w:r>
              <w:rPr>
                <w:rFonts w:ascii="Arial" w:cs="Arial" w:eastAsia="Arial" w:hAnsi="Arial"/>
                <w:sz w:val="14"/>
                <w:szCs w:val="14"/>
                <w:b w:val="1"/>
                <w:bCs w:val="1"/>
                <w:color w:val="auto"/>
                <w:w w:val="95"/>
              </w:rPr>
              <w:t>Total</w:t>
            </w:r>
          </w:p>
        </w:tc>
      </w:tr>
      <w:tr>
        <w:trPr>
          <w:trHeight w:val="160"/>
        </w:trPr>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269"/>
              <w:spacing w:after="0"/>
              <w:rPr>
                <w:sz w:val="20"/>
                <w:szCs w:val="20"/>
                <w:color w:val="auto"/>
              </w:rPr>
            </w:pPr>
            <w:r>
              <w:rPr>
                <w:rFonts w:ascii="Arial" w:cs="Arial" w:eastAsia="Arial" w:hAnsi="Arial"/>
                <w:sz w:val="14"/>
                <w:szCs w:val="14"/>
                <w:b w:val="1"/>
                <w:bCs w:val="1"/>
                <w:color w:val="auto"/>
              </w:rPr>
              <w:t>Voting</w:t>
            </w:r>
          </w:p>
        </w:tc>
      </w:tr>
      <w:tr>
        <w:trPr>
          <w:trHeight w:val="160"/>
        </w:trPr>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Voting</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249"/>
              <w:spacing w:after="0"/>
              <w:rPr>
                <w:sz w:val="20"/>
                <w:szCs w:val="20"/>
                <w:color w:val="auto"/>
              </w:rPr>
            </w:pPr>
            <w:r>
              <w:rPr>
                <w:rFonts w:ascii="Arial" w:cs="Arial" w:eastAsia="Arial" w:hAnsi="Arial"/>
                <w:sz w:val="14"/>
                <w:szCs w:val="14"/>
                <w:b w:val="1"/>
                <w:bCs w:val="1"/>
                <w:color w:val="auto"/>
                <w:w w:val="99"/>
              </w:rPr>
              <w:t>Power</w:t>
            </w:r>
          </w:p>
        </w:tc>
      </w:tr>
      <w:tr>
        <w:trPr>
          <w:trHeight w:val="160"/>
        </w:trPr>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Power</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249"/>
              <w:spacing w:after="0"/>
              <w:rPr>
                <w:sz w:val="20"/>
                <w:szCs w:val="20"/>
                <w:color w:val="auto"/>
              </w:rPr>
            </w:pPr>
            <w:r>
              <w:rPr>
                <w:rFonts w:ascii="Arial" w:cs="Arial" w:eastAsia="Arial" w:hAnsi="Arial"/>
                <w:sz w:val="14"/>
                <w:szCs w:val="14"/>
                <w:b w:val="1"/>
                <w:bCs w:val="1"/>
                <w:color w:val="auto"/>
              </w:rPr>
              <w:t>After</w:t>
            </w:r>
          </w:p>
        </w:tc>
      </w:tr>
      <w:tr>
        <w:trPr>
          <w:trHeight w:val="160"/>
        </w:trPr>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Before</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3"/>
                <w:szCs w:val="13"/>
                <w:color w:val="auto"/>
              </w:rPr>
            </w:pPr>
          </w:p>
        </w:tc>
        <w:tc>
          <w:tcPr>
            <w:tcW w:w="1260" w:type="dxa"/>
            <w:vAlign w:val="bottom"/>
            <w:gridSpan w:val="2"/>
          </w:tcPr>
          <w:p>
            <w:pPr>
              <w:jc w:val="center"/>
              <w:ind w:right="249"/>
              <w:spacing w:after="0"/>
              <w:rPr>
                <w:sz w:val="20"/>
                <w:szCs w:val="20"/>
                <w:color w:val="auto"/>
              </w:rPr>
            </w:pPr>
            <w:r>
              <w:rPr>
                <w:rFonts w:ascii="Arial" w:cs="Arial" w:eastAsia="Arial" w:hAnsi="Arial"/>
                <w:sz w:val="14"/>
                <w:szCs w:val="14"/>
                <w:b w:val="1"/>
                <w:bCs w:val="1"/>
                <w:color w:val="auto"/>
              </w:rPr>
              <w:t>the</w:t>
            </w:r>
          </w:p>
        </w:tc>
      </w:tr>
      <w:tr>
        <w:trPr>
          <w:trHeight w:val="174"/>
        </w:trPr>
        <w:tc>
          <w:tcPr>
            <w:tcW w:w="820" w:type="dxa"/>
            <w:vAlign w:val="bottom"/>
            <w:gridSpan w:val="2"/>
          </w:tcPr>
          <w:p>
            <w:pPr>
              <w:jc w:val="center"/>
              <w:ind w:left="369"/>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the</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Stock</w:t>
            </w:r>
          </w:p>
        </w:tc>
        <w:tc>
          <w:tcPr>
            <w:tcW w:w="340" w:type="dxa"/>
            <w:vAlign w:val="bottom"/>
          </w:tcPr>
          <w:p>
            <w:pPr>
              <w:spacing w:after="0"/>
              <w:rPr>
                <w:sz w:val="15"/>
                <w:szCs w:val="15"/>
                <w:color w:val="auto"/>
              </w:rPr>
            </w:pPr>
          </w:p>
        </w:tc>
        <w:tc>
          <w:tcPr>
            <w:tcW w:w="1260" w:type="dxa"/>
            <w:vAlign w:val="bottom"/>
            <w:gridSpan w:val="2"/>
          </w:tcPr>
          <w:p>
            <w:pPr>
              <w:jc w:val="center"/>
              <w:ind w:right="249"/>
              <w:spacing w:after="0" w:line="174" w:lineRule="exact"/>
              <w:rPr>
                <w:sz w:val="20"/>
                <w:szCs w:val="20"/>
                <w:color w:val="auto"/>
              </w:rPr>
            </w:pPr>
            <w:r>
              <w:rPr>
                <w:rFonts w:ascii="Arial" w:cs="Arial" w:eastAsia="Arial" w:hAnsi="Arial"/>
                <w:sz w:val="12"/>
                <w:szCs w:val="12"/>
                <w:b w:val="1"/>
                <w:bCs w:val="1"/>
                <w:color w:val="auto"/>
              </w:rPr>
              <w:t>Offering</w:t>
            </w:r>
            <w:r>
              <w:rPr>
                <w:rFonts w:ascii="Arial" w:cs="Arial" w:eastAsia="Arial" w:hAnsi="Arial"/>
                <w:sz w:val="20"/>
                <w:szCs w:val="20"/>
                <w:b w:val="1"/>
                <w:bCs w:val="1"/>
                <w:color w:val="auto"/>
                <w:vertAlign w:val="superscript"/>
              </w:rPr>
              <w:t>(1)</w:t>
            </w:r>
          </w:p>
        </w:tc>
      </w:tr>
      <w:tr>
        <w:trPr>
          <w:trHeight w:val="154"/>
        </w:trPr>
        <w:tc>
          <w:tcPr>
            <w:tcW w:w="660" w:type="dxa"/>
            <w:vAlign w:val="bottom"/>
            <w:tcBorders>
              <w:top w:val="single" w:sz="8" w:color="auto"/>
            </w:tcBorders>
          </w:tcPr>
          <w:p>
            <w:pPr>
              <w:ind w:left="80"/>
              <w:spacing w:after="0" w:line="154"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0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Offering</w:t>
            </w:r>
          </w:p>
        </w:tc>
        <w:tc>
          <w:tcPr>
            <w:tcW w:w="6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3"/>
                <w:szCs w:val="13"/>
                <w:color w:val="auto"/>
              </w:rPr>
            </w:pPr>
          </w:p>
        </w:tc>
        <w:tc>
          <w:tcPr>
            <w:tcW w:w="340" w:type="dxa"/>
            <w:vAlign w:val="bottom"/>
            <w:tcBorders>
              <w:top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4"/>
                <w:szCs w:val="14"/>
                <w:b w:val="1"/>
                <w:bCs w:val="1"/>
                <w:color w:val="auto"/>
              </w:rPr>
              <w:t>Shares</w:t>
            </w:r>
          </w:p>
        </w:tc>
      </w:tr>
      <w:tr>
        <w:trPr>
          <w:trHeight w:val="20"/>
        </w:trPr>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-7620</wp:posOffset>
            </wp:positionV>
            <wp:extent cx="6929755" cy="135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254635</wp:posOffset>
            </wp:positionV>
            <wp:extent cx="6929755" cy="1276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509270</wp:posOffset>
            </wp:positionV>
            <wp:extent cx="6929755" cy="1276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764540</wp:posOffset>
            </wp:positionV>
            <wp:extent cx="6929755" cy="1276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1019175</wp:posOffset>
            </wp:positionV>
            <wp:extent cx="6929755" cy="1276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1273810</wp:posOffset>
            </wp:positionV>
            <wp:extent cx="6929755" cy="1276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1528445</wp:posOffset>
            </wp:positionV>
            <wp:extent cx="6929755" cy="1276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1791970</wp:posOffset>
            </wp:positionV>
            <wp:extent cx="6929755" cy="135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2063750</wp:posOffset>
            </wp:positionV>
            <wp:extent cx="6929755" cy="135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2335530</wp:posOffset>
            </wp:positionV>
            <wp:extent cx="6929755" cy="135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4272" w:lineRule="exact"/>
        <w:rPr>
          <w:sz w:val="20"/>
          <w:szCs w:val="20"/>
          <w:color w:val="auto"/>
        </w:rPr>
      </w:pPr>
    </w:p>
    <w:p>
      <w:pPr>
        <w:sectPr>
          <w:pgSz w:w="11900" w:h="16838" w:orient="portrait"/>
          <w:cols w:equalWidth="0" w:num="2">
            <w:col w:w="5240" w:space="720"/>
            <w:col w:w="5060"/>
          </w:cols>
          <w:pgMar w:left="320" w:top="456" w:right="559" w:bottom="1440" w:gutter="0" w:footer="0" w:header="0"/>
          <w:type w:val="continuous"/>
        </w:sectPr>
      </w:pPr>
    </w:p>
    <w:p>
      <w:pPr>
        <w:ind w:left="700" w:hanging="533"/>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ind w:left="700" w:right="280" w:hanging="533"/>
        <w:spacing w:after="0" w:line="23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our common stock, as a single class. The holders of our common stock are entitled to one vote per share. See the section titled “Description of Capital Stock—Common Stock” for additional information about the voting rights of our common stock.</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320" w:top="456" w:right="55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one class of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ectPr>
          <w:pgSz w:w="11900" w:h="16838" w:orient="portrait"/>
          <w:cols w:equalWidth="0" w:num="1">
            <w:col w:w="11040"/>
          </w:cols>
          <w:pgMar w:left="320" w:top="456" w:right="539" w:bottom="1440" w:gutter="0" w:footer="0" w:header="0"/>
        </w:sectPr>
      </w:pPr>
    </w:p>
    <w:p>
      <w:pPr>
        <w:spacing w:after="0" w:line="20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per share, of which: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shares, all with a par value of $0.000001</w:t>
      </w:r>
    </w:p>
    <w:p>
      <w:pPr>
        <w:spacing w:after="0" w:line="325" w:lineRule="exact"/>
        <w:rPr>
          <w:sz w:val="20"/>
          <w:szCs w:val="20"/>
          <w:color w:val="auto"/>
        </w:rPr>
      </w:pPr>
    </w:p>
    <w:p>
      <w:pPr>
        <w:sectPr>
          <w:pgSz w:w="11900" w:h="16838" w:orient="portrait"/>
          <w:cols w:equalWidth="0" w:num="2">
            <w:col w:w="7060" w:space="720"/>
            <w:col w:w="3260"/>
          </w:cols>
          <w:pgMar w:left="320" w:top="456" w:right="53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common stock; and</w:t>
      </w:r>
    </w:p>
    <w:p>
      <w:pPr>
        <w:spacing w:after="0" w:line="125" w:lineRule="exact"/>
        <w:rPr>
          <w:sz w:val="20"/>
          <w:szCs w:val="20"/>
          <w:color w:val="auto"/>
        </w:rPr>
      </w:pPr>
    </w:p>
    <w:p>
      <w:pPr>
        <w:sectPr>
          <w:pgSz w:w="11900" w:h="16838" w:orient="portrait"/>
          <w:cols w:equalWidth="0" w:num="2">
            <w:col w:w="1040" w:space="720"/>
            <w:col w:w="9280"/>
          </w:cols>
          <w:pgMar w:left="320" w:top="456" w:right="53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preferred stock.</w:t>
      </w:r>
    </w:p>
    <w:p>
      <w:pPr>
        <w:spacing w:after="0" w:line="200" w:lineRule="exact"/>
        <w:rPr>
          <w:sz w:val="20"/>
          <w:szCs w:val="20"/>
          <w:color w:val="auto"/>
        </w:rPr>
      </w:pPr>
    </w:p>
    <w:p>
      <w:pPr>
        <w:sectPr>
          <w:pgSz w:w="11900" w:h="16838" w:orient="portrait"/>
          <w:cols w:equalWidth="0" w:num="2">
            <w:col w:w="1040" w:space="720"/>
            <w:col w:w="9280"/>
          </w:cols>
          <w:pgMar w:left="320" w:top="456" w:right="539" w:bottom="1440" w:gutter="0" w:footer="0" w:header="0"/>
          <w:type w:val="continuous"/>
        </w:sectPr>
      </w:pPr>
    </w:p>
    <w:p>
      <w:pPr>
        <w:spacing w:after="0" w:line="19"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As of , we had outstanding shares of common stock, which assumes the conversion of shares of preferred stock into shares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outstanding</w:t>
      </w:r>
    </w:p>
    <w:p>
      <w:pPr>
        <w:spacing w:after="0" w:line="416" w:lineRule="exact"/>
        <w:rPr>
          <w:sz w:val="20"/>
          <w:szCs w:val="20"/>
          <w:color w:val="auto"/>
        </w:rPr>
      </w:pPr>
    </w:p>
    <w:p>
      <w:pPr>
        <w:sectPr>
          <w:pgSz w:w="11900" w:h="16838" w:orient="portrait"/>
          <w:cols w:equalWidth="0" w:num="2">
            <w:col w:w="9080" w:space="720"/>
            <w:col w:w="1240"/>
          </w:cols>
          <w:pgMar w:left="320" w:top="456" w:right="539" w:bottom="1440" w:gutter="0" w:footer="0" w:header="0"/>
          <w:type w:val="continuous"/>
        </w:sectPr>
      </w:pPr>
    </w:p>
    <w:p>
      <w:pPr>
        <w:spacing w:after="0" w:line="3" w:lineRule="exact"/>
        <w:rPr>
          <w:sz w:val="20"/>
          <w:szCs w:val="20"/>
          <w:color w:val="auto"/>
        </w:rPr>
      </w:pPr>
    </w:p>
    <w:p>
      <w:pPr>
        <w:ind w:left="720"/>
        <w:spacing w:after="0"/>
        <w:tabs>
          <w:tab w:leader="none" w:pos="4780" w:val="left"/>
          <w:tab w:leader="none" w:pos="7760" w:val="left"/>
        </w:tabs>
        <w:rPr>
          <w:sz w:val="20"/>
          <w:szCs w:val="20"/>
          <w:color w:val="auto"/>
        </w:rPr>
      </w:pPr>
      <w:r>
        <w:rPr>
          <w:rFonts w:ascii="Arial" w:cs="Arial" w:eastAsia="Arial" w:hAnsi="Arial"/>
          <w:sz w:val="18"/>
          <w:szCs w:val="18"/>
          <w:color w:val="auto"/>
        </w:rPr>
        <w:t>Our outstanding capital stock was held by</w:t>
      </w:r>
      <w:r>
        <w:rPr>
          <w:sz w:val="20"/>
          <w:szCs w:val="20"/>
          <w:color w:val="auto"/>
        </w:rPr>
        <w:tab/>
      </w:r>
      <w:r>
        <w:rPr>
          <w:rFonts w:ascii="Arial" w:cs="Arial" w:eastAsia="Arial" w:hAnsi="Arial"/>
          <w:sz w:val="18"/>
          <w:szCs w:val="18"/>
          <w:color w:val="auto"/>
        </w:rPr>
        <w:t>stockholders of record as of</w:t>
      </w:r>
      <w:r>
        <w:rPr>
          <w:sz w:val="20"/>
          <w:szCs w:val="20"/>
          <w:color w:val="auto"/>
        </w:rPr>
        <w:tab/>
      </w:r>
      <w:r>
        <w:rPr>
          <w:rFonts w:ascii="Arial" w:cs="Arial" w:eastAsia="Arial" w:hAnsi="Arial"/>
          <w:sz w:val="17"/>
          <w:szCs w:val="17"/>
          <w:color w:val="auto"/>
        </w:rPr>
        <w:t>. Our board of directors will be</w:t>
      </w:r>
    </w:p>
    <w:p>
      <w:pPr>
        <w:sectPr>
          <w:pgSz w:w="11900" w:h="16838" w:orient="portrait"/>
          <w:cols w:equalWidth="0" w:num="1">
            <w:col w:w="11040"/>
          </w:cols>
          <w:pgMar w:left="320" w:top="456" w:right="539" w:bottom="1440" w:gutter="0" w:footer="0" w:header="0"/>
          <w:type w:val="continuous"/>
        </w:sectPr>
      </w:pPr>
    </w:p>
    <w:p>
      <w:pPr>
        <w:spacing w:after="0" w:line="6" w:lineRule="exact"/>
        <w:rPr>
          <w:sz w:val="20"/>
          <w:szCs w:val="20"/>
          <w:color w:val="auto"/>
        </w:rPr>
      </w:pPr>
    </w:p>
    <w:p>
      <w:pPr>
        <w:ind w:left="160" w:right="260"/>
        <w:spacing w:after="0" w:line="232" w:lineRule="auto"/>
        <w:rPr>
          <w:sz w:val="20"/>
          <w:szCs w:val="20"/>
          <w:color w:val="auto"/>
        </w:rPr>
      </w:pPr>
      <w:r>
        <w:rPr>
          <w:rFonts w:ascii="Arial" w:cs="Arial" w:eastAsia="Arial" w:hAnsi="Arial"/>
          <w:sz w:val="18"/>
          <w:szCs w:val="18"/>
          <w:color w:val="auto"/>
        </w:rPr>
        <w:t>authorized, without stockholder approval except as required by the listing standards of Nasdaq, to issue additional shares of our capital stock.</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The common stock is entitled to one vote per share on any matter that is submitted to a vote of our stockholders. Holders of shares of common stock will vote together as a single class on all matters (including the election of directors) submitted to a vote of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02"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2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Except as otherwise will be expressly provided in our amended and restated certificate of incorporation that will be in effect on the completion of this offering or required by applicable law, all shares of common stock will have the same rights and privileges and rank equally, share ratably and be identical in all respects for all matters, including those described below.</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6" w:right="5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firstLine="546"/>
        <w:spacing w:after="0"/>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82" w:lineRule="exact"/>
        <w:rPr>
          <w:sz w:val="20"/>
          <w:szCs w:val="20"/>
          <w:color w:val="auto"/>
        </w:rPr>
      </w:pPr>
    </w:p>
    <w:p>
      <w:pPr>
        <w:ind w:left="160" w:right="60" w:firstLine="546"/>
        <w:spacing w:after="0" w:line="243"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liquidation, dissolution or winding-up, the holders of common stock will be entitled to share equally,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78" w:lineRule="exact"/>
        <w:rPr>
          <w:sz w:val="20"/>
          <w:szCs w:val="20"/>
          <w:color w:val="auto"/>
        </w:rPr>
      </w:pPr>
    </w:p>
    <w:p>
      <w:pPr>
        <w:ind w:left="160" w:right="140" w:firstLine="546"/>
        <w:spacing w:after="0" w:line="250" w:lineRule="auto"/>
        <w:rPr>
          <w:sz w:val="20"/>
          <w:szCs w:val="20"/>
          <w:color w:val="auto"/>
        </w:rPr>
      </w:pPr>
      <w:r>
        <w:rPr>
          <w:rFonts w:ascii="Arial" w:cs="Arial" w:eastAsia="Arial" w:hAnsi="Arial"/>
          <w:sz w:val="17"/>
          <w:szCs w:val="17"/>
          <w:b w:val="1"/>
          <w:bCs w:val="1"/>
          <w:i w:val="1"/>
          <w:iCs w:val="1"/>
          <w:color w:val="auto"/>
        </w:rPr>
        <w:t>Change of Control Transactions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holders of common stock will be treated equally and identically with respect to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78" w:lineRule="exact"/>
        <w:rPr>
          <w:sz w:val="20"/>
          <w:szCs w:val="20"/>
          <w:color w:val="auto"/>
        </w:rPr>
      </w:pPr>
    </w:p>
    <w:p>
      <w:pPr>
        <w:ind w:left="160" w:right="960" w:firstLine="546"/>
        <w:spacing w:after="0" w:line="265"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common stock,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the other classes will be subdivided or combined in the same manner.</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In connection with this offering, our legal counsel will opine that the shares of our common stock to be issued under this offering will be fully paid and non-assessable.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w:t>
      </w:r>
    </w:p>
    <w:p>
      <w:pPr>
        <w:spacing w:after="0" w:line="223" w:lineRule="exact"/>
        <w:rPr>
          <w:sz w:val="20"/>
          <w:szCs w:val="20"/>
          <w:color w:val="auto"/>
        </w:rPr>
      </w:pPr>
    </w:p>
    <w:p>
      <w:pPr>
        <w:ind w:left="720"/>
        <w:spacing w:after="0"/>
        <w:tabs>
          <w:tab w:leader="none" w:pos="1900" w:val="left"/>
          <w:tab w:leader="none" w:pos="36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there were</w:t>
      </w:r>
      <w:r>
        <w:rPr>
          <w:sz w:val="20"/>
          <w:szCs w:val="20"/>
          <w:color w:val="auto"/>
        </w:rPr>
        <w:tab/>
      </w:r>
      <w:r>
        <w:rPr>
          <w:rFonts w:ascii="Arial" w:cs="Arial" w:eastAsia="Arial" w:hAnsi="Arial"/>
          <w:sz w:val="17"/>
          <w:szCs w:val="17"/>
          <w:color w:val="auto"/>
        </w:rPr>
        <w:t>shares of our preferred stock outstanding. In connection with this offering, each outstanding</w:t>
      </w:r>
    </w:p>
    <w:p>
      <w:pPr>
        <w:ind w:left="160"/>
        <w:spacing w:after="0"/>
        <w:rPr>
          <w:sz w:val="20"/>
          <w:szCs w:val="20"/>
          <w:color w:val="auto"/>
        </w:rPr>
      </w:pPr>
      <w:r>
        <w:rPr>
          <w:rFonts w:ascii="Arial" w:cs="Arial" w:eastAsia="Arial" w:hAnsi="Arial"/>
          <w:sz w:val="18"/>
          <w:szCs w:val="18"/>
          <w:color w:val="auto"/>
        </w:rPr>
        <w:t>share of our preferred stock will convert into one share of our common stock.</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On the completion of this offering and under our amended and restated certificate of incorporation that will be in effect on the</w:t>
      </w:r>
    </w:p>
    <w:p>
      <w:pPr>
        <w:jc w:val="center"/>
        <w:ind w:right="-99"/>
        <w:spacing w:after="0" w:line="232" w:lineRule="auto"/>
        <w:rPr>
          <w:sz w:val="20"/>
          <w:szCs w:val="20"/>
          <w:color w:val="auto"/>
        </w:rPr>
      </w:pPr>
      <w:r>
        <w:rPr>
          <w:rFonts w:ascii="Arial" w:cs="Arial" w:eastAsia="Arial" w:hAnsi="Arial"/>
          <w:sz w:val="18"/>
          <w:szCs w:val="18"/>
          <w:color w:val="auto"/>
        </w:rPr>
        <w:t>completion of this offering, our board of directors may, without further action by our stockholders, fix the rights, preferences, privileges and</w:t>
      </w:r>
    </w:p>
    <w:p>
      <w:pPr>
        <w:spacing w:after="0" w:line="1"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restrictions of up to an aggregate of shares of preferred stock in one or more series and authorize their issuance. These rights, preferences and privileges could include dividend rights, conversion rights, voting rights, terms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060"/>
          </w:cols>
          <w:pgMar w:left="320" w:top="456" w:right="519" w:bottom="1440" w:gutter="0" w:footer="0" w:header="0"/>
        </w:sectPr>
      </w:pP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As of , we had outstanding options to purchase price of approximately $ per share, under our 2016 Plan.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with a weighted-average exercise</w:t>
      </w:r>
    </w:p>
    <w:p>
      <w:pPr>
        <w:spacing w:after="0" w:line="416" w:lineRule="exact"/>
        <w:rPr>
          <w:sz w:val="20"/>
          <w:szCs w:val="20"/>
          <w:color w:val="auto"/>
        </w:rPr>
      </w:pPr>
    </w:p>
    <w:p>
      <w:pPr>
        <w:sectPr>
          <w:pgSz w:w="11900" w:h="16838" w:orient="portrait"/>
          <w:cols w:equalWidth="0" w:num="2">
            <w:col w:w="5360" w:space="600"/>
            <w:col w:w="5100"/>
          </w:cols>
          <w:pgMar w:left="320" w:top="456" w:right="519" w:bottom="1440" w:gutter="0" w:footer="0" w:header="0"/>
          <w:type w:val="continuous"/>
        </w:sectPr>
      </w:pP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1060"/>
          </w:cols>
          <w:pgMar w:left="320" w:top="456" w:right="519" w:bottom="1440" w:gutter="0" w:footer="0" w:header="0"/>
          <w:type w:val="continuous"/>
        </w:sectPr>
      </w:pPr>
    </w:p>
    <w:p>
      <w:pPr>
        <w:spacing w:after="0" w:line="241"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As of , we had outstanding warrants to purchase price of approximately $ per share.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with a weighted-average exercise</w:t>
      </w:r>
    </w:p>
    <w:p>
      <w:pPr>
        <w:spacing w:after="0" w:line="416" w:lineRule="exact"/>
        <w:rPr>
          <w:sz w:val="20"/>
          <w:szCs w:val="20"/>
          <w:color w:val="auto"/>
        </w:rPr>
      </w:pPr>
    </w:p>
    <w:p>
      <w:pPr>
        <w:sectPr>
          <w:pgSz w:w="11900" w:h="16838" w:orient="portrait"/>
          <w:cols w:equalWidth="0" w:num="2">
            <w:col w:w="5340" w:space="720"/>
            <w:col w:w="5000"/>
          </w:cols>
          <w:pgMar w:left="320" w:top="456" w:right="519" w:bottom="1440" w:gutter="0" w:footer="0" w:header="0"/>
          <w:type w:val="continuous"/>
        </w:sectPr>
      </w:pP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02"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6" w:lineRule="exact"/>
        <w:rPr>
          <w:sz w:val="20"/>
          <w:szCs w:val="20"/>
          <w:color w:val="auto"/>
        </w:rPr>
      </w:pPr>
    </w:p>
    <w:p>
      <w:pPr>
        <w:ind w:left="720"/>
        <w:spacing w:after="0"/>
        <w:tabs>
          <w:tab w:leader="none" w:pos="392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7"/>
          <w:szCs w:val="17"/>
          <w:color w:val="auto"/>
        </w:rPr>
        <w:t>shares of our common stock will be entitled to certain demand registration rights. At any</w:t>
      </w:r>
    </w:p>
    <w:p>
      <w:pPr>
        <w:jc w:val="both"/>
        <w:ind w:left="160" w:right="500"/>
        <w:spacing w:after="0" w:line="237" w:lineRule="auto"/>
        <w:rPr>
          <w:sz w:val="20"/>
          <w:szCs w:val="20"/>
          <w:color w:val="auto"/>
        </w:rPr>
      </w:pPr>
      <w:r>
        <w:rPr>
          <w:rFonts w:ascii="Arial" w:cs="Arial" w:eastAsia="Arial" w:hAnsi="Arial"/>
          <w:sz w:val="18"/>
          <w:szCs w:val="18"/>
          <w:color w:val="auto"/>
        </w:rPr>
        <w:t>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ectPr>
          <w:pgSz w:w="11900" w:h="16838" w:orient="portrait"/>
          <w:cols w:equalWidth="0" w:num="1">
            <w:col w:w="11060"/>
          </w:cols>
          <w:pgMar w:left="320" w:top="456" w:right="519" w:bottom="1440" w:gutter="0" w:footer="0" w:header="0"/>
          <w:type w:val="continuous"/>
        </w:sectPr>
      </w:pPr>
    </w:p>
    <w:p>
      <w:pPr>
        <w:spacing w:after="0" w:line="123" w:lineRule="exact"/>
        <w:rPr>
          <w:sz w:val="20"/>
          <w:szCs w:val="20"/>
          <w:color w:val="auto"/>
        </w:rPr>
      </w:pPr>
    </w:p>
    <w:p>
      <w:pPr>
        <w:ind w:left="160" w:right="80" w:firstLine="546"/>
        <w:spacing w:after="0" w:line="268" w:lineRule="auto"/>
        <w:rPr>
          <w:sz w:val="20"/>
          <w:szCs w:val="20"/>
          <w:color w:val="auto"/>
        </w:rPr>
      </w:pPr>
      <w:r>
        <w:rPr>
          <w:rFonts w:ascii="Arial" w:cs="Arial" w:eastAsia="Arial" w:hAnsi="Arial"/>
          <w:sz w:val="17"/>
          <w:szCs w:val="17"/>
          <w:color w:val="auto"/>
        </w:rPr>
        <w:t>In connection with this offering, the holders of an aggregate of necessary percentage of holders waived, their rights to notice of this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were entitled to, and the</w:t>
      </w:r>
    </w:p>
    <w:p>
      <w:pPr>
        <w:spacing w:after="0" w:line="353" w:lineRule="exact"/>
        <w:rPr>
          <w:sz w:val="20"/>
          <w:szCs w:val="20"/>
          <w:color w:val="auto"/>
        </w:rPr>
      </w:pPr>
    </w:p>
    <w:p>
      <w:pPr>
        <w:sectPr>
          <w:pgSz w:w="11900" w:h="16838" w:orient="portrait"/>
          <w:cols w:equalWidth="0" w:num="2">
            <w:col w:w="5660" w:space="720"/>
            <w:col w:w="4680"/>
          </w:cols>
          <w:pgMar w:left="320" w:top="456" w:right="51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060"/>
          </w:cols>
          <w:pgMar w:left="320" w:top="456" w:right="51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spacing w:after="0" w:line="234" w:lineRule="auto"/>
        <w:rPr>
          <w:sz w:val="20"/>
          <w:szCs w:val="20"/>
          <w:color w:val="auto"/>
        </w:rPr>
      </w:pPr>
      <w:r>
        <w:rPr>
          <w:rFonts w:ascii="Arial" w:cs="Arial" w:eastAsia="Arial" w:hAnsi="Arial"/>
          <w:sz w:val="18"/>
          <w:szCs w:val="18"/>
          <w:color w:val="auto"/>
        </w:rPr>
        <w:t>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The holders of an aggregate of shares of common stock will be entitled to certain Form S-3 registration rights. The holders of at least 30% of these shares can make a request that we register their shares on Form S-3 if we are qualified to file a registration</w:t>
      </w:r>
    </w:p>
    <w:p>
      <w:pPr>
        <w:spacing w:after="0" w:line="1" w:lineRule="exact"/>
        <w:rPr>
          <w:sz w:val="20"/>
          <w:szCs w:val="20"/>
          <w:color w:val="auto"/>
        </w:rPr>
      </w:pPr>
    </w:p>
    <w:p>
      <w:pPr>
        <w:ind w:left="160" w:right="840"/>
        <w:spacing w:after="0" w:line="239" w:lineRule="auto"/>
        <w:rPr>
          <w:sz w:val="20"/>
          <w:szCs w:val="20"/>
          <w:color w:val="auto"/>
        </w:rPr>
      </w:pPr>
      <w:r>
        <w:rPr>
          <w:rFonts w:ascii="Arial" w:cs="Arial" w:eastAsia="Arial" w:hAnsi="Arial"/>
          <w:sz w:val="18"/>
          <w:szCs w:val="18"/>
          <w:color w:val="auto"/>
        </w:rPr>
        <w:t>statement on Form S-3 and if the reasonably anticipated aggregate gross proceeds of the shares offered would equal or exceed $3 million. We will not be required to effect more than two registrations on Form S-3 within any 12-month period.</w:t>
      </w:r>
    </w:p>
    <w:p>
      <w:pPr>
        <w:spacing w:after="0" w:line="39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Anti-Takeover Provisions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204"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further provide for a dual-class common stock structure, which provides our current investors, officers and employees with control over all matters requiring stockholder approval, including the election of directors and significant corporate transactions, such as a merger or other sale of our company or its assets.</w:t>
      </w:r>
    </w:p>
    <w:p>
      <w:pPr>
        <w:spacing w:after="0" w:line="202" w:lineRule="exact"/>
        <w:rPr>
          <w:sz w:val="20"/>
          <w:szCs w:val="20"/>
          <w:color w:val="auto"/>
        </w:rPr>
      </w:pPr>
    </w:p>
    <w:p>
      <w:pPr>
        <w:ind w:left="160" w:right="820" w:firstLine="546"/>
        <w:spacing w:after="0" w:line="268" w:lineRule="auto"/>
        <w:rPr>
          <w:sz w:val="20"/>
          <w:szCs w:val="20"/>
          <w:color w:val="auto"/>
        </w:rPr>
      </w:pPr>
      <w:r>
        <w:rPr>
          <w:rFonts w:ascii="Arial" w:cs="Arial" w:eastAsia="Arial" w:hAnsi="Arial"/>
          <w:sz w:val="17"/>
          <w:szCs w:val="17"/>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4"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Choice of Forum</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amended and restated certificate of incorporation to be effective on the completion of this offering will provide that the Court of</w:t>
      </w:r>
    </w:p>
    <w:p>
      <w:pPr>
        <w:ind w:left="160"/>
        <w:spacing w:after="0" w:line="238" w:lineRule="auto"/>
        <w:rPr>
          <w:sz w:val="20"/>
          <w:szCs w:val="20"/>
          <w:color w:val="auto"/>
        </w:rPr>
      </w:pPr>
      <w:r>
        <w:rPr>
          <w:rFonts w:ascii="Arial" w:cs="Arial" w:eastAsia="Arial" w:hAnsi="Arial"/>
          <w:sz w:val="18"/>
          <w:szCs w:val="18"/>
          <w:color w:val="auto"/>
        </w:rPr>
        <w:t>Chancery of the State of Delaware be the exclusive forum for actions or proceedings brought under Delaware statutory or common law:</w:t>
      </w:r>
    </w:p>
    <w:p>
      <w:pPr>
        <w:ind w:left="160" w:right="20" w:firstLine="7"/>
        <w:spacing w:after="0" w:line="234" w:lineRule="auto"/>
        <w:tabs>
          <w:tab w:leader="none" w:pos="4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Our common stock is currently not listed on any securities exchange. We have applied to have our common stock approved for listing on The Nasdaq Global Select Market under the symbol “XMTR”.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Transfer Agent and Registrar</w:t>
      </w:r>
    </w:p>
    <w:p>
      <w:pPr>
        <w:sectPr>
          <w:pgSz w:w="11900" w:h="16838" w:orient="portrait"/>
          <w:cols w:equalWidth="0" w:num="1">
            <w:col w:w="11060"/>
          </w:cols>
          <w:pgMar w:left="320" w:top="456" w:right="519" w:bottom="1440" w:gutter="0" w:footer="0" w:header="0"/>
        </w:sectPr>
      </w:pPr>
    </w:p>
    <w:p>
      <w:pPr>
        <w:spacing w:after="0" w:line="123"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On the completion of this offering, the transfer agent and registrar for our common stock will be address is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 The transfer agent’s</w:t>
      </w:r>
    </w:p>
    <w:p>
      <w:pPr>
        <w:spacing w:after="0" w:line="352" w:lineRule="exact"/>
        <w:rPr>
          <w:sz w:val="20"/>
          <w:szCs w:val="20"/>
          <w:color w:val="auto"/>
        </w:rPr>
      </w:pPr>
    </w:p>
    <w:p>
      <w:pPr>
        <w:sectPr>
          <w:pgSz w:w="11900" w:h="16838" w:orient="portrait"/>
          <w:cols w:equalWidth="0" w:num="2">
            <w:col w:w="8300" w:space="720"/>
            <w:col w:w="2040"/>
          </w:cols>
          <w:pgMar w:left="320" w:top="456" w:right="51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060"/>
          </w:cols>
          <w:pgMar w:left="320" w:top="456" w:right="51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30"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96" w:lineRule="exact"/>
        <w:rPr>
          <w:sz w:val="20"/>
          <w:szCs w:val="20"/>
          <w:color w:val="auto"/>
        </w:rPr>
      </w:pPr>
    </w:p>
    <w:p>
      <w:pPr>
        <w:ind w:left="720"/>
        <w:spacing w:after="0"/>
        <w:tabs>
          <w:tab w:leader="none" w:pos="4540" w:val="left"/>
          <w:tab w:leader="none" w:pos="8880" w:val="left"/>
        </w:tabs>
        <w:rPr>
          <w:sz w:val="20"/>
          <w:szCs w:val="20"/>
          <w:color w:val="auto"/>
        </w:rPr>
      </w:pPr>
      <w:r>
        <w:rPr>
          <w:rFonts w:ascii="Arial" w:cs="Arial" w:eastAsia="Arial" w:hAnsi="Arial"/>
          <w:sz w:val="18"/>
          <w:szCs w:val="18"/>
          <w:color w:val="auto"/>
        </w:rPr>
        <w:t>Based on our shares outstanding as of</w:t>
      </w:r>
      <w:r>
        <w:rPr>
          <w:sz w:val="20"/>
          <w:szCs w:val="20"/>
          <w:color w:val="auto"/>
        </w:rPr>
        <w:tab/>
      </w:r>
      <w:r>
        <w:rPr>
          <w:rFonts w:ascii="Arial" w:cs="Arial" w:eastAsia="Arial" w:hAnsi="Arial"/>
          <w:sz w:val="18"/>
          <w:szCs w:val="18"/>
          <w:color w:val="auto"/>
        </w:rPr>
        <w:t>, on the completion of this offering, a total of</w:t>
      </w:r>
      <w:r>
        <w:rPr>
          <w:sz w:val="20"/>
          <w:szCs w:val="20"/>
          <w:color w:val="auto"/>
        </w:rPr>
        <w:tab/>
      </w:r>
      <w:r>
        <w:rPr>
          <w:rFonts w:ascii="Arial" w:cs="Arial" w:eastAsia="Arial" w:hAnsi="Arial"/>
          <w:sz w:val="17"/>
          <w:szCs w:val="17"/>
          <w:color w:val="auto"/>
        </w:rPr>
        <w:t>shares of common stock</w:t>
      </w:r>
    </w:p>
    <w:p>
      <w:pPr>
        <w:ind w:left="160"/>
        <w:spacing w:after="0" w:line="232" w:lineRule="auto"/>
        <w:rPr>
          <w:sz w:val="20"/>
          <w:szCs w:val="20"/>
          <w:color w:val="auto"/>
        </w:rPr>
      </w:pPr>
      <w:r>
        <w:rPr>
          <w:rFonts w:ascii="Arial" w:cs="Arial" w:eastAsia="Arial" w:hAnsi="Arial"/>
          <w:sz w:val="18"/>
          <w:szCs w:val="18"/>
          <w:color w:val="auto"/>
        </w:rPr>
        <w:t>will be outstanding, assuming the automatic conversion of all of our outstanding shares of preferred stock into an aggregate of</w:t>
      </w:r>
    </w:p>
    <w:p>
      <w:pPr>
        <w:ind w:left="160"/>
        <w:spacing w:after="0" w:line="233" w:lineRule="auto"/>
        <w:rPr>
          <w:sz w:val="20"/>
          <w:szCs w:val="20"/>
          <w:color w:val="auto"/>
        </w:rPr>
      </w:pPr>
      <w:r>
        <w:rPr>
          <w:rFonts w:ascii="Arial" w:cs="Arial" w:eastAsia="Arial" w:hAnsi="Arial"/>
          <w:sz w:val="18"/>
          <w:szCs w:val="18"/>
          <w:color w:val="auto"/>
        </w:rPr>
        <w:t>shares of common stock. Of these shares, all of the common stock sold in this offering by us, plus any shares sold by us on exercise of</w:t>
      </w:r>
    </w:p>
    <w:p>
      <w:pPr>
        <w:ind w:left="160"/>
        <w:spacing w:after="0" w:line="232" w:lineRule="auto"/>
        <w:rPr>
          <w:sz w:val="20"/>
          <w:szCs w:val="20"/>
          <w:color w:val="auto"/>
        </w:rPr>
      </w:pPr>
      <w:r>
        <w:rPr>
          <w:rFonts w:ascii="Arial" w:cs="Arial" w:eastAsia="Arial" w:hAnsi="Arial"/>
          <w:sz w:val="18"/>
          <w:szCs w:val="18"/>
          <w:color w:val="auto"/>
        </w:rPr>
        <w:t>the underwriters’ option to purchase additional common stock, will be freely tradable in the public market without restriction or further</w:t>
      </w:r>
    </w:p>
    <w:p>
      <w:pPr>
        <w:ind w:left="160"/>
        <w:spacing w:after="0" w:line="233" w:lineRule="auto"/>
        <w:rPr>
          <w:sz w:val="20"/>
          <w:szCs w:val="20"/>
          <w:color w:val="auto"/>
        </w:rPr>
      </w:pPr>
      <w:r>
        <w:rPr>
          <w:rFonts w:ascii="Arial" w:cs="Arial" w:eastAsia="Arial" w:hAnsi="Arial"/>
          <w:sz w:val="18"/>
          <w:szCs w:val="18"/>
          <w:color w:val="auto"/>
        </w:rPr>
        <w:t>registration under the Securities Act, unless these shares are held by “affiliates,” as that term is defined in Rule 144 under the Securities</w:t>
      </w:r>
    </w:p>
    <w:p>
      <w:pPr>
        <w:ind w:left="160"/>
        <w:spacing w:after="0"/>
        <w:rPr>
          <w:sz w:val="20"/>
          <w:szCs w:val="20"/>
          <w:color w:val="auto"/>
        </w:rPr>
      </w:pPr>
      <w:r>
        <w:rPr>
          <w:rFonts w:ascii="Arial" w:cs="Arial" w:eastAsia="Arial" w:hAnsi="Arial"/>
          <w:sz w:val="18"/>
          <w:szCs w:val="18"/>
          <w:color w:val="auto"/>
        </w:rPr>
        <w:t>Act.</w:t>
      </w:r>
    </w:p>
    <w:p>
      <w:pPr>
        <w:spacing w:after="0" w:line="208"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The remaining shares of common stock will be, and shares of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20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144</w:t>
      </w:r>
    </w:p>
    <w:p>
      <w:pPr>
        <w:spacing w:after="0" w:line="23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20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09" w:lineRule="exact"/>
        <w:rPr>
          <w:sz w:val="20"/>
          <w:szCs w:val="20"/>
          <w:color w:val="auto"/>
        </w:rPr>
      </w:pPr>
    </w:p>
    <w:p>
      <w:pPr>
        <w:ind w:left="920" w:right="340" w:hanging="219"/>
        <w:spacing w:after="0" w:line="239" w:lineRule="auto"/>
        <w:tabs>
          <w:tab w:leader="none" w:pos="900" w:val="left"/>
        </w:tabs>
        <w:rPr>
          <w:sz w:val="20"/>
          <w:szCs w:val="20"/>
          <w:color w:val="auto"/>
        </w:rPr>
      </w:pPr>
      <w:r>
        <w:rPr>
          <w:rFonts w:ascii="Arial" w:cs="Arial" w:eastAsia="Arial" w:hAnsi="Arial"/>
          <w:sz w:val="18"/>
          <w:szCs w:val="18"/>
          <w:color w:val="auto"/>
        </w:rPr>
        <w:t>•</w:t>
        <w:tab/>
        <w:t>1% of the number of common stock then outstanding, which will equal approximately shares immediately after this offering, assuming no exercise of the underwriters’ option to purchase additional shares of common stock from us;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00" w:hanging="218"/>
        <w:spacing w:after="0" w:line="239" w:lineRule="auto"/>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203"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701</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S-8 Registration Statements</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common stock that are issuable under our 2016 Plan and 2021 Plan.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Lock-up Arrangements</w:t>
      </w:r>
    </w:p>
    <w:p>
      <w:pPr>
        <w:spacing w:after="0" w:line="230" w:lineRule="exact"/>
        <w:rPr>
          <w:sz w:val="20"/>
          <w:szCs w:val="20"/>
          <w:color w:val="auto"/>
        </w:rPr>
      </w:pPr>
    </w:p>
    <w:p>
      <w:pPr>
        <w:ind w:left="160" w:right="180" w:firstLine="546"/>
        <w:spacing w:after="0" w:line="246"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common stock outstanding immediately on the completion of this offering, have agreed, or will agree, with the</w:t>
      </w:r>
    </w:p>
    <w:p>
      <w:pPr>
        <w:ind w:left="160"/>
        <w:spacing w:after="0" w:line="235" w:lineRule="auto"/>
        <w:rPr>
          <w:sz w:val="20"/>
          <w:szCs w:val="20"/>
          <w:color w:val="auto"/>
        </w:rPr>
      </w:pPr>
      <w:r>
        <w:rPr>
          <w:rFonts w:ascii="Arial" w:cs="Arial" w:eastAsia="Arial" w:hAnsi="Arial"/>
          <w:sz w:val="18"/>
          <w:szCs w:val="18"/>
          <w:color w:val="auto"/>
        </w:rPr>
        <w:t>underwriters that, until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agreements at any time.</w:t>
      </w:r>
    </w:p>
    <w:p>
      <w:pPr>
        <w:spacing w:after="0" w:line="202"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w:t>
      </w:r>
    </w:p>
    <w:p>
      <w:pPr>
        <w:ind w:left="160"/>
        <w:spacing w:after="0"/>
        <w:tabs>
          <w:tab w:leader="none" w:pos="6220" w:val="left"/>
        </w:tabs>
        <w:rPr>
          <w:sz w:val="20"/>
          <w:szCs w:val="20"/>
          <w:color w:val="auto"/>
        </w:rPr>
      </w:pPr>
      <w:r>
        <w:rPr>
          <w:rFonts w:ascii="Arial" w:cs="Arial" w:eastAsia="Arial" w:hAnsi="Arial"/>
          <w:sz w:val="18"/>
          <w:szCs w:val="18"/>
          <w:color w:val="auto"/>
        </w:rPr>
        <w:t>holders to offer, sell or transfer our equity securities for a period of</w:t>
      </w:r>
      <w:r>
        <w:rPr>
          <w:sz w:val="20"/>
          <w:szCs w:val="20"/>
          <w:color w:val="auto"/>
        </w:rPr>
        <w:tab/>
      </w:r>
      <w:r>
        <w:rPr>
          <w:rFonts w:ascii="Arial" w:cs="Arial" w:eastAsia="Arial" w:hAnsi="Arial"/>
          <w:sz w:val="17"/>
          <w:szCs w:val="17"/>
          <w:color w:val="auto"/>
        </w:rPr>
        <w:t>days following the date of this prospectus.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23" w:lineRule="exact"/>
        <w:rPr>
          <w:sz w:val="20"/>
          <w:szCs w:val="20"/>
          <w:color w:val="auto"/>
        </w:rPr>
      </w:pPr>
    </w:p>
    <w:p>
      <w:pPr>
        <w:ind w:left="720"/>
        <w:spacing w:after="0"/>
        <w:tabs>
          <w:tab w:leader="none" w:pos="552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7"/>
          <w:szCs w:val="17"/>
          <w:color w:val="auto"/>
        </w:rPr>
        <w:t>shares of our common stock or their transferees, will be entitled to</w:t>
      </w:r>
    </w:p>
    <w:p>
      <w:pPr>
        <w:jc w:val="right"/>
        <w:ind w:left="160" w:right="5200"/>
        <w:spacing w:after="0" w:line="410" w:lineRule="auto"/>
        <w:rPr>
          <w:sz w:val="20"/>
          <w:szCs w:val="20"/>
          <w:color w:val="auto"/>
        </w:rPr>
      </w:pPr>
      <w:r>
        <w:rPr>
          <w:rFonts w:ascii="Arial" w:cs="Arial" w:eastAsia="Arial" w:hAnsi="Arial"/>
          <w:sz w:val="18"/>
          <w:szCs w:val="18"/>
          <w:color w:val="auto"/>
        </w:rPr>
        <w:t>certain rights with respect to the registration of the offer and sale of their 147</w:t>
      </w:r>
    </w:p>
    <w:p>
      <w:pPr>
        <w:sectPr>
          <w:pgSz w:w="11900" w:h="16838" w:orient="portrait"/>
          <w:cols w:equalWidth="0" w:num="1">
            <w:col w:w="11040"/>
          </w:cols>
          <w:pgMar w:left="320" w:top="456"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80"/>
          </w:cols>
          <w:pgMar w:left="320" w:top="456" w:right="5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w:t>
      </w:r>
    </w:p>
    <w:p>
      <w:pPr>
        <w:spacing w:after="0" w:line="208"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200" w:lineRule="exact"/>
        <w:rPr>
          <w:sz w:val="20"/>
          <w:szCs w:val="20"/>
          <w:color w:val="auto"/>
        </w:rPr>
      </w:pP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common stock pursuant to this offering should consult their own tax advisors concerning the U.S. federal income, gift, estate, and other tax consequences of acquiring, owning, and disposing of our common stock in light of their particular situations as well as any consequences arising under the laws of any other taxing jurisdiction, including any state, local, or non-U.S. tax consequences, or under any applicable income tax treaty.</w:t>
      </w:r>
    </w:p>
    <w:p>
      <w:pPr>
        <w:spacing w:after="0" w:line="204"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109" w:lineRule="exact"/>
        <w:rPr>
          <w:sz w:val="20"/>
          <w:szCs w:val="20"/>
          <w:color w:val="auto"/>
        </w:rPr>
      </w:pPr>
    </w:p>
    <w:p>
      <w:pPr>
        <w:ind w:left="920" w:hanging="21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6"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3" w:lineRule="exact"/>
        <w:rPr>
          <w:rFonts w:ascii="Arial" w:cs="Arial" w:eastAsia="Arial" w:hAnsi="Arial"/>
          <w:sz w:val="18"/>
          <w:szCs w:val="18"/>
          <w:color w:val="auto"/>
        </w:rPr>
      </w:pPr>
    </w:p>
    <w:p>
      <w:pPr>
        <w:ind w:left="920" w:right="360" w:hanging="218"/>
        <w:spacing w:after="0" w:line="246"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ind w:left="92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20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0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Gain on Disposition of Our Common Stock</w:t>
      </w:r>
    </w:p>
    <w:p>
      <w:pPr>
        <w:spacing w:after="0" w:line="12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w:t>
      </w:r>
    </w:p>
    <w:p>
      <w:pPr>
        <w:spacing w:after="0" w:line="3"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Section 897(c)(2) at any time within the shorter of the five-year period preceding such disposition or such holder’s holding period in our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in our common stock and (2) our common stock is “regularly traded,” as defined by applicable Treasury Regulations, on an established securities market. There can be no assurance that our common stock will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21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Information returns are required to be filed with the IRS in connection with payments of distributions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 common stock or on the proceeds from a sale or other disposition of our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204"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6"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30" w:lineRule="exact"/>
        <w:rPr>
          <w:sz w:val="20"/>
          <w:szCs w:val="20"/>
          <w:color w:val="auto"/>
        </w:rPr>
      </w:pPr>
    </w:p>
    <w:p>
      <w:pPr>
        <w:ind w:left="160" w:right="200" w:firstLine="546"/>
        <w:spacing w:after="0" w:line="257"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and UBS Securities LLC are the representatives of the underwriters.</w:t>
      </w:r>
    </w:p>
    <w:p>
      <w:pPr>
        <w:spacing w:after="0" w:line="214" w:lineRule="exact"/>
        <w:rPr>
          <w:sz w:val="20"/>
          <w:szCs w:val="20"/>
          <w:color w:val="auto"/>
        </w:rPr>
      </w:pPr>
    </w:p>
    <w:p>
      <w:pPr>
        <w:ind w:left="160"/>
        <w:spacing w:after="0"/>
        <w:tabs>
          <w:tab w:leader="none" w:pos="984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35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J.P. Morgan Securities LLC</w:t>
      </w:r>
    </w:p>
    <w:p>
      <w:pPr>
        <w:ind w:left="160"/>
        <w:spacing w:after="0" w:line="232" w:lineRule="auto"/>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3" w:lineRule="auto"/>
        <w:rPr>
          <w:sz w:val="20"/>
          <w:szCs w:val="20"/>
          <w:color w:val="auto"/>
        </w:rPr>
      </w:pPr>
      <w:r>
        <w:rPr>
          <w:rFonts w:ascii="Arial" w:cs="Arial" w:eastAsia="Arial" w:hAnsi="Arial"/>
          <w:sz w:val="18"/>
          <w:szCs w:val="18"/>
          <w:color w:val="auto"/>
        </w:rPr>
        <w:t>Citigroup Global Markets Inc.</w:t>
      </w:r>
    </w:p>
    <w:p>
      <w:pPr>
        <w:ind w:left="160"/>
        <w:spacing w:after="0" w:line="232" w:lineRule="auto"/>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William Blair &amp; Company, L.L.C.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44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-3175</wp:posOffset>
            </wp:positionV>
            <wp:extent cx="739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13335</wp:posOffset>
            </wp:positionV>
            <wp:extent cx="7391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41"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3" w:lineRule="exact"/>
        <w:rPr>
          <w:sz w:val="20"/>
          <w:szCs w:val="20"/>
          <w:color w:val="auto"/>
        </w:rPr>
      </w:pPr>
    </w:p>
    <w:p>
      <w:pPr>
        <w:jc w:val="both"/>
        <w:ind w:left="160" w:right="20" w:firstLine="546"/>
        <w:spacing w:after="0" w:line="236"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w:t>
      </w:r>
    </w:p>
    <w:tbl>
      <w:tblPr>
        <w:tblLayout w:type="fixed"/>
        <w:tblInd w:w="160" w:type="dxa"/>
        <w:tblCellMar>
          <w:top w:w="0" w:type="dxa"/>
          <w:left w:w="0" w:type="dxa"/>
          <w:bottom w:w="0" w:type="dxa"/>
          <w:right w:w="0" w:type="dxa"/>
        </w:tblCellMar>
      </w:tblPr>
      <w:tr>
        <w:trPr>
          <w:trHeight w:val="201"/>
        </w:trPr>
        <w:tc>
          <w:tcPr>
            <w:tcW w:w="9980" w:type="dxa"/>
            <w:vAlign w:val="bottom"/>
            <w:gridSpan w:val="6"/>
          </w:tcPr>
          <w:p>
            <w:pPr>
              <w:spacing w:after="0" w:line="201"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additional shares.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6"/>
        </w:trPr>
        <w:tc>
          <w:tcPr>
            <w:tcW w:w="1180" w:type="dxa"/>
            <w:vAlign w:val="bottom"/>
          </w:tcPr>
          <w:p>
            <w:pPr>
              <w:spacing w:after="0"/>
              <w:rPr>
                <w:sz w:val="24"/>
                <w:szCs w:val="24"/>
                <w:color w:val="auto"/>
              </w:rPr>
            </w:pPr>
          </w:p>
        </w:tc>
        <w:tc>
          <w:tcPr>
            <w:tcW w:w="8800" w:type="dxa"/>
            <w:vAlign w:val="bottom"/>
            <w:gridSpan w:val="5"/>
          </w:tcPr>
          <w:p>
            <w:pPr>
              <w:ind w:left="3440"/>
              <w:spacing w:after="0"/>
              <w:rPr>
                <w:sz w:val="20"/>
                <w:szCs w:val="20"/>
                <w:color w:val="auto"/>
              </w:rPr>
            </w:pPr>
            <w:r>
              <w:rPr>
                <w:rFonts w:ascii="Arial" w:cs="Arial" w:eastAsia="Arial" w:hAnsi="Arial"/>
                <w:sz w:val="18"/>
                <w:szCs w:val="18"/>
                <w:color w:val="auto"/>
              </w:rPr>
              <w:t>Paid by the Company</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8"/>
        </w:trPr>
        <w:tc>
          <w:tcPr>
            <w:tcW w:w="1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1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Per Share</w:t>
            </w:r>
          </w:p>
        </w:tc>
        <w:tc>
          <w:tcPr>
            <w:tcW w:w="34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8220" w:type="dxa"/>
            <w:vAlign w:val="bottom"/>
            <w:gridSpan w:val="4"/>
          </w:tcPr>
          <w:p>
            <w:pPr>
              <w:ind w:left="7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160" w:right="280"/>
        <w:spacing w:after="0" w:line="236"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common stock during the period from the date of this prospectus continuing through the date that is days after the date of this prospectus, except with the prior written consent of the representatives, subject to certain exceptions. See “Shares Available for Future Sale” for a discussion of certain transfer restrictions.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applied to list our common stock for trading on The Nasdaq Global Select Market under the symbol “XMTR”.</w:t>
      </w:r>
    </w:p>
    <w:p>
      <w:pPr>
        <w:spacing w:after="0" w:line="208"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9"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320" w:top="456" w:right="5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European Economic Area</w:t>
      </w:r>
    </w:p>
    <w:p>
      <w:pPr>
        <w:spacing w:after="0" w:line="230"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w:t>
      </w:r>
    </w:p>
    <w:p>
      <w:pPr>
        <w:spacing w:after="0" w:line="2"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Regulation, except that offers of shares may be made to the public in that Relevant State at any time under the following exemptions under the Prospectus Regulation:</w:t>
      </w:r>
    </w:p>
    <w:p>
      <w:pPr>
        <w:spacing w:after="0" w:line="109" w:lineRule="exact"/>
        <w:rPr>
          <w:sz w:val="20"/>
          <w:szCs w:val="20"/>
          <w:color w:val="auto"/>
        </w:rPr>
      </w:pPr>
    </w:p>
    <w:p>
      <w:pPr>
        <w:ind w:left="1340" w:hanging="638"/>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3" w:lineRule="exact"/>
        <w:rPr>
          <w:rFonts w:ascii="Arial" w:cs="Arial" w:eastAsia="Arial" w:hAnsi="Arial"/>
          <w:sz w:val="18"/>
          <w:szCs w:val="18"/>
          <w:color w:val="auto"/>
        </w:rPr>
      </w:pPr>
    </w:p>
    <w:p>
      <w:pPr>
        <w:ind w:left="1340" w:right="400" w:hanging="638"/>
        <w:spacing w:after="0" w:line="239" w:lineRule="auto"/>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09" w:lineRule="exact"/>
        <w:rPr>
          <w:rFonts w:ascii="Arial" w:cs="Arial" w:eastAsia="Arial" w:hAnsi="Arial"/>
          <w:sz w:val="18"/>
          <w:szCs w:val="18"/>
          <w:color w:val="auto"/>
        </w:rPr>
      </w:pPr>
    </w:p>
    <w:p>
      <w:pPr>
        <w:jc w:val="both"/>
        <w:ind w:left="1340" w:right="20" w:hanging="638"/>
        <w:spacing w:after="0" w:line="237" w:lineRule="auto"/>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2" w:lineRule="exact"/>
        <w:rPr>
          <w:sz w:val="20"/>
          <w:szCs w:val="20"/>
          <w:color w:val="auto"/>
        </w:rPr>
      </w:pPr>
    </w:p>
    <w:p>
      <w:pPr>
        <w:ind w:left="160" w:right="80" w:firstLine="546"/>
        <w:spacing w:after="0" w:line="257"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United Kingdom</w:t>
      </w:r>
    </w:p>
    <w:p>
      <w:pPr>
        <w:spacing w:after="0" w:line="230" w:lineRule="exact"/>
        <w:rPr>
          <w:sz w:val="20"/>
          <w:szCs w:val="20"/>
          <w:color w:val="auto"/>
        </w:rPr>
      </w:pPr>
    </w:p>
    <w:p>
      <w:pPr>
        <w:ind w:left="160" w:right="180" w:firstLine="546"/>
        <w:spacing w:after="0" w:line="251" w:lineRule="auto"/>
        <w:rPr>
          <w:sz w:val="20"/>
          <w:szCs w:val="20"/>
          <w:color w:val="auto"/>
        </w:rPr>
      </w:pPr>
      <w:r>
        <w:rPr>
          <w:rFonts w:ascii="Arial" w:cs="Arial" w:eastAsia="Arial" w:hAnsi="Arial"/>
          <w:sz w:val="17"/>
          <w:szCs w:val="17"/>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01" w:lineRule="exact"/>
        <w:rPr>
          <w:sz w:val="20"/>
          <w:szCs w:val="20"/>
          <w:color w:val="auto"/>
        </w:rPr>
      </w:pPr>
    </w:p>
    <w:p>
      <w:pPr>
        <w:ind w:left="5480" w:right="2080" w:hanging="4778"/>
        <w:spacing w:after="0" w:line="410" w:lineRule="auto"/>
        <w:tabs>
          <w:tab w:leader="none" w:pos="9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 155</w:t>
      </w:r>
    </w:p>
    <w:p>
      <w:pPr>
        <w:sectPr>
          <w:pgSz w:w="11900" w:h="16838" w:orient="portrait"/>
          <w:cols w:equalWidth="0" w:num="1">
            <w:col w:w="11040"/>
          </w:cols>
          <w:pgMar w:left="320" w:top="456"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98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203"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6"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Canada</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4"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Hong Kong</w:t>
      </w:r>
    </w:p>
    <w:p>
      <w:pPr>
        <w:spacing w:after="0" w:line="23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Singapore</w:t>
      </w:r>
    </w:p>
    <w:p>
      <w:pPr>
        <w:spacing w:after="0" w:line="33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2" w:lineRule="exact"/>
        <w:rPr>
          <w:sz w:val="20"/>
          <w:szCs w:val="20"/>
          <w:color w:val="auto"/>
        </w:rPr>
      </w:pPr>
    </w:p>
    <w:p>
      <w:pPr>
        <w:ind w:left="920" w:right="680" w:hanging="218"/>
        <w:spacing w:after="0" w:line="239"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6"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03"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Japan</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estimates that its share of the total expenses of the offering, excluding underwriting discounts and commissions, will</w:t>
      </w:r>
    </w:p>
    <w:p>
      <w:pPr>
        <w:spacing w:after="0" w:line="5"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be approximately $ . The Company has agreed to reimburse the underwriters for expenses relating to clearance of this offering with the Financial Industry Regulatory Authority up to $ .</w:t>
      </w:r>
    </w:p>
    <w:p>
      <w:pPr>
        <w:spacing w:after="0" w:line="203"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w:t>
      </w:r>
    </w:p>
    <w:p>
      <w:pPr>
        <w:spacing w:after="0" w:line="20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0" w:lineRule="exact"/>
        <w:rPr>
          <w:sz w:val="20"/>
          <w:szCs w:val="20"/>
          <w:color w:val="auto"/>
        </w:rPr>
      </w:pPr>
    </w:p>
    <w:p>
      <w:pPr>
        <w:ind w:left="160" w:right="20" w:firstLine="546"/>
        <w:spacing w:after="0" w:line="24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94"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60"/>
          </w:cols>
          <w:pgMar w:left="320" w:top="456"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Consolidated Financial Statements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Page(s)</w:t>
            </w:r>
          </w:p>
        </w:tc>
      </w:tr>
      <w:tr>
        <w:trPr>
          <w:trHeight w:val="261"/>
        </w:trPr>
        <w:tc>
          <w:tcPr>
            <w:tcW w:w="10360" w:type="dxa"/>
            <w:vAlign w:val="bottom"/>
            <w:gridSpan w:val="8"/>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Report 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6"/>
        </w:trPr>
        <w:tc>
          <w:tcPr>
            <w:tcW w:w="45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5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10000" w:type="dxa"/>
            <w:vAlign w:val="bottom"/>
            <w:gridSpan w:val="7"/>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Consolidated Balance Sheets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Consolidated Statements of Operations and Comprehensive Loss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Changes in Convertible Preferred Stock and Stockholders’ Deficit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8"/>
        </w:trPr>
        <w:tc>
          <w:tcPr>
            <w:tcW w:w="36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69">
              <w:r>
                <w:rPr>
                  <w:rFonts w:ascii="Arial" w:cs="Arial" w:eastAsia="Arial" w:hAnsi="Arial"/>
                  <w:sz w:val="18"/>
                  <w:szCs w:val="18"/>
                  <w:color w:val="0000EE"/>
                  <w:w w:val="98"/>
                </w:rPr>
                <w:t>Consolidated Statements of Cash Flows</w:t>
              </w:r>
            </w:hyperlink>
          </w:p>
        </w:tc>
        <w:tc>
          <w:tcPr>
            <w:tcW w:w="4200" w:type="dxa"/>
            <w:vAlign w:val="bottom"/>
            <w:tcBorders>
              <w:top w:val="single" w:sz="8" w:color="0000EE"/>
            </w:tcBorders>
            <w:gridSpan w:val="3"/>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88"/>
        </w:trPr>
        <w:tc>
          <w:tcPr>
            <w:tcW w:w="34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70">
              <w:r>
                <w:rPr>
                  <w:rFonts w:ascii="Arial" w:cs="Arial" w:eastAsia="Arial" w:hAnsi="Arial"/>
                  <w:sz w:val="18"/>
                  <w:szCs w:val="18"/>
                  <w:color w:val="0000EE"/>
                  <w:w w:val="98"/>
                </w:rPr>
                <w:t>Notes to Consolidated Financial Statements</w:t>
              </w:r>
            </w:hyperlink>
          </w:p>
        </w:tc>
        <w:tc>
          <w:tcPr>
            <w:tcW w:w="68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F-8</w:t>
            </w:r>
          </w:p>
        </w:tc>
      </w:tr>
    </w:tbl>
    <w:p>
      <w:pPr>
        <w:sectPr>
          <w:pgSz w:w="11900" w:h="16838" w:orient="portrait"/>
          <w:cols w:equalWidth="0" w:num="1">
            <w:col w:w="11020"/>
          </w:cols>
          <w:pgMar w:left="320" w:top="456" w:right="5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Board of Directors</w:t>
      </w:r>
    </w:p>
    <w:p>
      <w:pPr>
        <w:ind w:left="160"/>
        <w:spacing w:after="0"/>
        <w:rPr>
          <w:sz w:val="20"/>
          <w:szCs w:val="20"/>
          <w:color w:val="auto"/>
        </w:rPr>
      </w:pPr>
      <w:r>
        <w:rPr>
          <w:rFonts w:ascii="Arial" w:cs="Arial" w:eastAsia="Arial" w:hAnsi="Arial"/>
          <w:sz w:val="18"/>
          <w:szCs w:val="18"/>
          <w:color w:val="auto"/>
        </w:rPr>
        <w:t>Xometry, Inc.:</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Accounting Principle</w:t>
      </w:r>
    </w:p>
    <w:p>
      <w:pPr>
        <w:spacing w:after="0" w:line="119" w:lineRule="exact"/>
        <w:rPr>
          <w:sz w:val="20"/>
          <w:szCs w:val="20"/>
          <w:color w:val="auto"/>
        </w:rPr>
      </w:pPr>
    </w:p>
    <w:p>
      <w:pPr>
        <w:ind w:left="160" w:right="800"/>
        <w:spacing w:after="0" w:line="239"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as of January 1, 2019 due to the adoption of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for Opinion</w:t>
      </w:r>
    </w:p>
    <w:p>
      <w:pPr>
        <w:spacing w:after="0" w:line="119"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McLean, Virginia</w:t>
      </w:r>
    </w:p>
    <w:p>
      <w:pPr>
        <w:ind w:left="160"/>
        <w:spacing w:after="0"/>
        <w:rPr>
          <w:sz w:val="20"/>
          <w:szCs w:val="20"/>
          <w:color w:val="auto"/>
        </w:rPr>
      </w:pPr>
      <w:r>
        <w:rPr>
          <w:rFonts w:ascii="Arial" w:cs="Arial" w:eastAsia="Arial" w:hAnsi="Arial"/>
          <w:sz w:val="18"/>
          <w:szCs w:val="18"/>
          <w:color w:val="auto"/>
        </w:rPr>
        <w:t>April 13, 2021</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9"/>
              <w:spacing w:after="0" w:line="154"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59,874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10,860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less allowance for doubtful accounts of $0.6 million in 2020 and $0.4 million in 2019; and $0.6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million as of March 31, 2021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14,574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12,405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1,314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77,655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65,408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6,113</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4,216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6,671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lease assets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1,922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2,425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833</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2,188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88,963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5,640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7,935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13,606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2,355</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1,821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current portion</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Finance lease liabilities, current portion</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15,753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38,381</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15,855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11,433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Operating lease liabilities, net of current portion</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2,050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lease liabilities, net of current portion</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0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39,499</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29,352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44,268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13)</w:t>
            </w: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Seed-1, $0.000001 par value. 4,200,000 shares authorized, issued and outstanding as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Seed-2, $0.000001 par value. 2,188,322 shares authorized, issued and outstanding as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A-1, $0.000001 par value. 4,211,094 shares authorized, issued and outstanding</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8,704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A-2, $0.000001 par value. 1,591,230 shares authorized, issued and outstanding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12,839</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6,957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12,839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B, $0.000001 par value. 4,132,055 shares authorized and 4,044,271 issued and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as 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20,347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20,347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C, $0.000001 par value. 3,754,201 shares authorized, issued and outstanding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26,004</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24,756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26,004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D, $0.000001 par value. 5,494,064 and 5,600,000 shares authorized and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5,494,064 shares issued and outstanding as of December 31, 2020 and 2019; and 5,494,064 shares authorized,</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and outstanding as of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54,929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E, $0.000001 par value. 2,400,000 shares authorized and 2,275,759 shares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issued and outstanding as of December 31, 2020; and March 31, 2021 (unaudited)</w:t>
            </w:r>
          </w:p>
        </w:tc>
        <w:tc>
          <w:tcPr>
            <w:tcW w:w="10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8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30,757</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deficit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Common stock, $0.000001 par value. Authorized 42,000,000 and 39,600,000 shares; 7,755,782 shares and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7,289,571 shares issued and outstanding as of December 31, 2020 and 2019; Authorized 42,000,000 shares;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8,239,494 issued and outstanding as of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(111,962)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(77,609)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(111,249)</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(73,097)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(120,369)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88,963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2"/>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141,406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80,228</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43,922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108,120</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65,492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34,087</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33,286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14,736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22,567</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14,599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7,563</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14,111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10,314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12,186</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10,637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3,664</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12,046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8,016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Impairment of goodwill and intangible assets</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1,592</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1,719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62,502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45,285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19,884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(29,216)</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(30,549)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(10,049)</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(1,089)</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60"/>
              <w:spacing w:after="0" w:line="201" w:lineRule="exact"/>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(5.32)</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(4.88)</w:t>
            </w:r>
          </w:p>
        </w:tc>
        <w:tc>
          <w:tcPr>
            <w:tcW w:w="3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number of shares outstanding used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compute net loss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w w:val="97"/>
              </w:rPr>
              <w:t>7,492,876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9"/>
              </w:rPr>
              <w:t>6,345,498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w w:val="97"/>
              </w:rPr>
              <w:t>7,924,848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(30,875)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(30,994)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(10,471)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1260" w:type="dxa"/>
            <w:vAlign w:val="bottom"/>
          </w:tcPr>
          <w:p>
            <w:pPr>
              <w:spacing w:after="0"/>
              <w:rPr>
                <w:sz w:val="7"/>
                <w:szCs w:val="7"/>
                <w:color w:val="auto"/>
              </w:rPr>
            </w:pPr>
          </w:p>
        </w:tc>
        <w:tc>
          <w:tcPr>
            <w:tcW w:w="78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5"/>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9"/>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20" w:type="dxa"/>
            <w:vAlign w:val="bottom"/>
            <w:tcBorders>
              <w:right w:val="single" w:sz="8" w:color="auto"/>
            </w:tcBorders>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Additional</w:t>
            </w:r>
          </w:p>
        </w:tc>
        <w:tc>
          <w:tcPr>
            <w:tcW w:w="60" w:type="dxa"/>
            <w:vAlign w:val="bottom"/>
          </w:tcPr>
          <w:p>
            <w:pPr>
              <w:spacing w:after="0"/>
              <w:rPr>
                <w:sz w:val="2"/>
                <w:szCs w:val="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1260" w:type="dxa"/>
            <w:vAlign w:val="bottom"/>
          </w:tcPr>
          <w:p>
            <w:pPr>
              <w:spacing w:after="0"/>
              <w:rPr>
                <w:sz w:val="4"/>
                <w:szCs w:val="4"/>
                <w:color w:val="auto"/>
              </w:rPr>
            </w:pPr>
          </w:p>
        </w:tc>
        <w:tc>
          <w:tcPr>
            <w:tcW w:w="500" w:type="dxa"/>
            <w:vAlign w:val="bottom"/>
            <w:gridSpan w:val="3"/>
            <w:vMerge w:val="restart"/>
          </w:tcPr>
          <w:p>
            <w:pPr>
              <w:ind w:left="220"/>
              <w:spacing w:after="0"/>
              <w:rPr>
                <w:sz w:val="20"/>
                <w:szCs w:val="20"/>
                <w:color w:val="auto"/>
              </w:rPr>
            </w:pPr>
            <w:r>
              <w:rPr>
                <w:rFonts w:ascii="Arial" w:cs="Arial" w:eastAsia="Arial" w:hAnsi="Arial"/>
                <w:sz w:val="7"/>
                <w:szCs w:val="7"/>
                <w:b w:val="1"/>
                <w:bCs w:val="1"/>
                <w:color w:val="auto"/>
              </w:rPr>
              <w:t>Seed-1</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Seed-2</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3"/>
            <w:vMerge w:val="restart"/>
          </w:tcPr>
          <w:p>
            <w:pPr>
              <w:ind w:left="180"/>
              <w:spacing w:after="0"/>
              <w:rPr>
                <w:sz w:val="20"/>
                <w:szCs w:val="20"/>
                <w:color w:val="auto"/>
              </w:rPr>
            </w:pPr>
            <w:r>
              <w:rPr>
                <w:rFonts w:ascii="Arial" w:cs="Arial" w:eastAsia="Arial" w:hAnsi="Arial"/>
                <w:sz w:val="7"/>
                <w:szCs w:val="7"/>
                <w:b w:val="1"/>
                <w:bCs w:val="1"/>
                <w:color w:val="auto"/>
                <w:w w:val="99"/>
              </w:rPr>
              <w:t>Series A-1</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5"/>
            <w:vMerge w:val="restart"/>
          </w:tcPr>
          <w:p>
            <w:pPr>
              <w:jc w:val="right"/>
              <w:ind w:right="300"/>
              <w:spacing w:after="0"/>
              <w:rPr>
                <w:sz w:val="20"/>
                <w:szCs w:val="20"/>
                <w:color w:val="auto"/>
              </w:rPr>
            </w:pPr>
            <w:r>
              <w:rPr>
                <w:rFonts w:ascii="Arial" w:cs="Arial" w:eastAsia="Arial" w:hAnsi="Arial"/>
                <w:sz w:val="7"/>
                <w:szCs w:val="7"/>
                <w:b w:val="1"/>
                <w:bCs w:val="1"/>
                <w:color w:val="auto"/>
              </w:rPr>
              <w:t>Series A-2</w:t>
            </w:r>
          </w:p>
        </w:tc>
        <w:tc>
          <w:tcPr>
            <w:tcW w:w="86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B</w:t>
            </w:r>
          </w:p>
        </w:tc>
        <w:tc>
          <w:tcPr>
            <w:tcW w:w="84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C</w:t>
            </w:r>
          </w:p>
        </w:tc>
        <w:tc>
          <w:tcPr>
            <w:tcW w:w="500" w:type="dxa"/>
            <w:vAlign w:val="bottom"/>
            <w:gridSpan w:val="2"/>
            <w:vMerge w:val="restart"/>
          </w:tcPr>
          <w:p>
            <w:pPr>
              <w:jc w:val="center"/>
              <w:ind w:left="184"/>
              <w:spacing w:after="0"/>
              <w:rPr>
                <w:sz w:val="20"/>
                <w:szCs w:val="20"/>
                <w:color w:val="auto"/>
              </w:rPr>
            </w:pPr>
            <w:r>
              <w:rPr>
                <w:rFonts w:ascii="Arial" w:cs="Arial" w:eastAsia="Arial" w:hAnsi="Arial"/>
                <w:sz w:val="7"/>
                <w:szCs w:val="7"/>
                <w:b w:val="1"/>
                <w:bCs w:val="1"/>
                <w:color w:val="auto"/>
                <w:w w:val="99"/>
              </w:rPr>
              <w:t>Series D</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7"/>
                <w:szCs w:val="7"/>
                <w:b w:val="1"/>
                <w:bCs w:val="1"/>
                <w:color w:val="auto"/>
                <w:w w:val="86"/>
              </w:rPr>
              <w:t>Series E</w:t>
            </w:r>
          </w:p>
        </w:tc>
        <w:tc>
          <w:tcPr>
            <w:tcW w:w="2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720" w:type="dxa"/>
            <w:vAlign w:val="bottom"/>
            <w:gridSpan w:val="4"/>
            <w:vMerge w:val="restart"/>
          </w:tcPr>
          <w:p>
            <w:pPr>
              <w:ind w:left="100"/>
              <w:spacing w:after="0"/>
              <w:rPr>
                <w:sz w:val="20"/>
                <w:szCs w:val="20"/>
                <w:color w:val="auto"/>
              </w:rPr>
            </w:pPr>
            <w:r>
              <w:rPr>
                <w:rFonts w:ascii="Arial" w:cs="Arial" w:eastAsia="Arial" w:hAnsi="Arial"/>
                <w:sz w:val="7"/>
                <w:szCs w:val="7"/>
                <w:b w:val="1"/>
                <w:bCs w:val="1"/>
                <w:color w:val="auto"/>
              </w:rPr>
              <w:t>Common Stock</w:t>
            </w:r>
          </w:p>
        </w:tc>
        <w:tc>
          <w:tcPr>
            <w:tcW w:w="1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7"/>
                <w:szCs w:val="7"/>
                <w:b w:val="1"/>
                <w:bCs w:val="1"/>
                <w:color w:val="auto"/>
                <w:w w:val="94"/>
              </w:rPr>
              <w:t>Paid-in</w:t>
            </w:r>
          </w:p>
        </w:tc>
        <w:tc>
          <w:tcPr>
            <w:tcW w:w="640" w:type="dxa"/>
            <w:vAlign w:val="bottom"/>
            <w:gridSpan w:val="3"/>
            <w:vMerge w:val="restart"/>
          </w:tcPr>
          <w:p>
            <w:pPr>
              <w:jc w:val="center"/>
              <w:ind w:right="100"/>
              <w:spacing w:after="0"/>
              <w:rPr>
                <w:sz w:val="20"/>
                <w:szCs w:val="20"/>
                <w:color w:val="auto"/>
              </w:rPr>
            </w:pPr>
            <w:r>
              <w:rPr>
                <w:rFonts w:ascii="Arial" w:cs="Arial" w:eastAsia="Arial" w:hAnsi="Arial"/>
                <w:sz w:val="7"/>
                <w:szCs w:val="7"/>
                <w:b w:val="1"/>
                <w:bCs w:val="1"/>
                <w:color w:val="auto"/>
              </w:rPr>
              <w:t>Comprehensive</w:t>
            </w:r>
          </w:p>
        </w:tc>
        <w:tc>
          <w:tcPr>
            <w:tcW w:w="460" w:type="dxa"/>
            <w:vAlign w:val="bottom"/>
            <w:gridSpan w:val="2"/>
            <w:vMerge w:val="restart"/>
          </w:tcPr>
          <w:p>
            <w:pPr>
              <w:spacing w:after="0"/>
              <w:rPr>
                <w:sz w:val="20"/>
                <w:szCs w:val="20"/>
                <w:color w:val="auto"/>
              </w:rPr>
            </w:pPr>
            <w:r>
              <w:rPr>
                <w:rFonts w:ascii="Arial" w:cs="Arial" w:eastAsia="Arial" w:hAnsi="Arial"/>
                <w:sz w:val="7"/>
                <w:szCs w:val="7"/>
                <w:b w:val="1"/>
                <w:bCs w:val="1"/>
                <w:color w:val="auto"/>
                <w:w w:val="95"/>
              </w:rPr>
              <w:t>Accumulated</w:t>
            </w:r>
          </w:p>
        </w:tc>
        <w:tc>
          <w:tcPr>
            <w:tcW w:w="10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1260" w:type="dxa"/>
            <w:vAlign w:val="bottom"/>
          </w:tcPr>
          <w:p>
            <w:pPr>
              <w:spacing w:after="0"/>
              <w:rPr>
                <w:sz w:val="7"/>
                <w:szCs w:val="7"/>
                <w:color w:val="auto"/>
              </w:rPr>
            </w:pPr>
          </w:p>
        </w:tc>
        <w:tc>
          <w:tcPr>
            <w:tcW w:w="340" w:type="dxa"/>
            <w:vAlign w:val="bottom"/>
          </w:tcPr>
          <w:p>
            <w:pPr>
              <w:ind w:left="4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280" w:type="dxa"/>
            <w:vAlign w:val="bottom"/>
            <w:gridSpan w:val="2"/>
          </w:tcPr>
          <w:p>
            <w:pPr>
              <w:spacing w:after="0"/>
              <w:rPr>
                <w:sz w:val="20"/>
                <w:szCs w:val="20"/>
                <w:color w:val="auto"/>
              </w:rPr>
            </w:pPr>
            <w:r>
              <w:rPr>
                <w:rFonts w:ascii="Arial" w:cs="Arial" w:eastAsia="Arial" w:hAnsi="Arial"/>
                <w:sz w:val="7"/>
                <w:szCs w:val="7"/>
                <w:b w:val="1"/>
                <w:bCs w:val="1"/>
                <w:color w:val="auto"/>
                <w:w w:val="98"/>
              </w:rPr>
              <w:t>Amount</w:t>
            </w:r>
          </w:p>
        </w:tc>
        <w:tc>
          <w:tcPr>
            <w:tcW w:w="80" w:type="dxa"/>
            <w:vAlign w:val="bottom"/>
          </w:tcPr>
          <w:p>
            <w:pPr>
              <w:spacing w:after="0"/>
              <w:rPr>
                <w:sz w:val="7"/>
                <w:szCs w:val="7"/>
                <w:color w:val="auto"/>
              </w:rPr>
            </w:pP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36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280" w:type="dxa"/>
            <w:vAlign w:val="bottom"/>
            <w:gridSpan w:val="2"/>
          </w:tcPr>
          <w:p>
            <w:pPr>
              <w:ind w:left="20"/>
              <w:spacing w:after="0"/>
              <w:rPr>
                <w:sz w:val="20"/>
                <w:szCs w:val="20"/>
                <w:color w:val="auto"/>
              </w:rPr>
            </w:pPr>
            <w:r>
              <w:rPr>
                <w:rFonts w:ascii="Arial" w:cs="Arial" w:eastAsia="Arial" w:hAnsi="Arial"/>
                <w:sz w:val="7"/>
                <w:szCs w:val="7"/>
                <w:b w:val="1"/>
                <w:bCs w:val="1"/>
                <w:color w:val="auto"/>
                <w:w w:val="90"/>
              </w:rPr>
              <w:t>Amount</w:t>
            </w:r>
          </w:p>
        </w:tc>
        <w:tc>
          <w:tcPr>
            <w:tcW w:w="160" w:type="dxa"/>
            <w:vAlign w:val="bottom"/>
          </w:tcPr>
          <w:p>
            <w:pPr>
              <w:spacing w:after="0"/>
              <w:rPr>
                <w:sz w:val="7"/>
                <w:szCs w:val="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w w:val="94"/>
              </w:rPr>
              <w:t>Capital</w:t>
            </w: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7"/>
              </w:rPr>
              <w:t>Income</w:t>
            </w:r>
          </w:p>
        </w:tc>
        <w:tc>
          <w:tcPr>
            <w:tcW w:w="80" w:type="dxa"/>
            <w:vAlign w:val="bottom"/>
          </w:tcPr>
          <w:p>
            <w:pPr>
              <w:spacing w:after="0"/>
              <w:rPr>
                <w:sz w:val="7"/>
                <w:szCs w:val="7"/>
                <w:color w:val="auto"/>
              </w:rPr>
            </w:pPr>
          </w:p>
        </w:tc>
        <w:tc>
          <w:tcPr>
            <w:tcW w:w="380" w:type="dxa"/>
            <w:vAlign w:val="bottom"/>
          </w:tcPr>
          <w:p>
            <w:pPr>
              <w:ind w:left="40"/>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7"/>
                <w:szCs w:val="7"/>
                <w:color w:val="auto"/>
              </w:rPr>
              <w:t>Balance, December 31, 2018</w:t>
            </w: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ind w:left="20"/>
              <w:spacing w:after="0" w:line="74" w:lineRule="exact"/>
              <w:rPr>
                <w:sz w:val="20"/>
                <w:szCs w:val="20"/>
                <w:color w:val="auto"/>
              </w:rPr>
            </w:pPr>
            <w:r>
              <w:rPr>
                <w:rFonts w:ascii="Arial" w:cs="Arial" w:eastAsia="Arial" w:hAnsi="Arial"/>
                <w:sz w:val="7"/>
                <w:szCs w:val="7"/>
                <w:color w:val="auto"/>
                <w:w w:val="96"/>
              </w:rPr>
              <w:t>4,200,000</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rPr>
              <w:t>4,200</w:t>
            </w:r>
          </w:p>
        </w:tc>
        <w:tc>
          <w:tcPr>
            <w:tcW w:w="34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89"/>
              </w:rPr>
              <w:t>2,188,322</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w w:val="91"/>
              </w:rPr>
              <w:t>2,998</w:t>
            </w:r>
          </w:p>
        </w:tc>
        <w:tc>
          <w:tcPr>
            <w:tcW w:w="36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96"/>
              </w:rPr>
              <w:t>4,211,094</w:t>
            </w:r>
          </w:p>
        </w:tc>
        <w:tc>
          <w:tcPr>
            <w:tcW w:w="18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100"/>
              <w:spacing w:after="0" w:line="74" w:lineRule="exact"/>
              <w:rPr>
                <w:sz w:val="20"/>
                <w:szCs w:val="20"/>
                <w:color w:val="auto"/>
              </w:rPr>
            </w:pPr>
            <w:r>
              <w:rPr>
                <w:rFonts w:ascii="Arial" w:cs="Arial" w:eastAsia="Arial" w:hAnsi="Arial"/>
                <w:sz w:val="7"/>
                <w:szCs w:val="7"/>
                <w:color w:val="auto"/>
              </w:rPr>
              <w:t>8,704</w:t>
            </w:r>
          </w:p>
        </w:tc>
        <w:tc>
          <w:tcPr>
            <w:tcW w:w="48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1,591,230</w:t>
            </w:r>
          </w:p>
        </w:tc>
        <w:tc>
          <w:tcPr>
            <w:tcW w:w="6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2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6,957</w:t>
            </w:r>
          </w:p>
        </w:tc>
        <w:tc>
          <w:tcPr>
            <w:tcW w:w="46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4,044,271</w:t>
            </w:r>
          </w:p>
        </w:tc>
        <w:tc>
          <w:tcPr>
            <w:tcW w:w="400" w:type="dxa"/>
            <w:vAlign w:val="bottom"/>
            <w:gridSpan w:val="2"/>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w w:val="95"/>
              </w:rPr>
              <w:t>$ 18,612</w:t>
            </w:r>
          </w:p>
        </w:tc>
        <w:tc>
          <w:tcPr>
            <w:tcW w:w="3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3,754,201</w:t>
            </w:r>
          </w:p>
        </w:tc>
        <w:tc>
          <w:tcPr>
            <w:tcW w:w="500" w:type="dxa"/>
            <w:vAlign w:val="bottom"/>
            <w:tcBorders>
              <w:left w:val="single" w:sz="8" w:color="CCEEFF"/>
            </w:tcBorders>
            <w:gridSpan w:val="3"/>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rPr>
              <w:t>$ 24,756</w:t>
            </w:r>
          </w:p>
        </w:tc>
        <w:tc>
          <w:tcPr>
            <w:tcW w:w="340" w:type="dxa"/>
            <w:vAlign w:val="bottom"/>
            <w:shd w:val="clear" w:color="auto" w:fill="CCEEFF"/>
          </w:tcPr>
          <w:p>
            <w:pPr>
              <w:jc w:val="right"/>
              <w:ind w:right="4"/>
              <w:spacing w:after="0" w:line="74" w:lineRule="exact"/>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jc w:val="right"/>
              <w:ind w:right="80"/>
              <w:spacing w:after="0" w:line="74" w:lineRule="exact"/>
              <w:rPr>
                <w:sz w:val="20"/>
                <w:szCs w:val="20"/>
                <w:color w:val="auto"/>
              </w:rPr>
            </w:pPr>
            <w:r>
              <w:rPr>
                <w:rFonts w:ascii="Arial" w:cs="Arial" w:eastAsia="Arial" w:hAnsi="Arial"/>
                <w:sz w:val="7"/>
                <w:szCs w:val="7"/>
                <w:color w:val="auto"/>
              </w:rPr>
              <w:t>6,083,135</w:t>
            </w:r>
          </w:p>
        </w:tc>
        <w:tc>
          <w:tcPr>
            <w:tcW w:w="12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ind w:left="6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775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ind w:left="380"/>
              <w:spacing w:after="0" w:line="74"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8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(46,615)</w:t>
            </w:r>
          </w:p>
        </w:tc>
        <w:tc>
          <w:tcPr>
            <w:tcW w:w="180" w:type="dxa"/>
            <w:vAlign w:val="bottom"/>
            <w:tcBorders>
              <w:left w:val="single" w:sz="8" w:color="CCEEFF"/>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60"/>
              <w:spacing w:after="0" w:line="74" w:lineRule="exact"/>
              <w:rPr>
                <w:sz w:val="20"/>
                <w:szCs w:val="20"/>
                <w:color w:val="auto"/>
              </w:rPr>
            </w:pPr>
            <w:r>
              <w:rPr>
                <w:rFonts w:ascii="Arial" w:cs="Arial" w:eastAsia="Arial" w:hAnsi="Arial"/>
                <w:sz w:val="7"/>
                <w:szCs w:val="7"/>
                <w:color w:val="auto"/>
              </w:rPr>
              <w:t>(45,840)</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Common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D</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455,665</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450</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450</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544</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544</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20"/>
                <w:szCs w:val="20"/>
                <w:color w:val="auto"/>
              </w:rPr>
            </w:pPr>
            <w:r>
              <w:rPr>
                <w:rFonts w:ascii="Arial" w:cs="Arial" w:eastAsia="Arial" w:hAnsi="Arial"/>
                <w:sz w:val="7"/>
                <w:szCs w:val="7"/>
                <w:color w:val="auto"/>
              </w:rPr>
              <w:t>Shares issued in connection with</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60" w:type="dxa"/>
            <w:vAlign w:val="bottom"/>
          </w:tcPr>
          <w:p>
            <w:pPr>
              <w:ind w:left="80"/>
              <w:spacing w:after="0" w:line="78" w:lineRule="exact"/>
              <w:rPr>
                <w:sz w:val="20"/>
                <w:szCs w:val="20"/>
                <w:color w:val="auto"/>
              </w:rPr>
            </w:pPr>
            <w:r>
              <w:rPr>
                <w:rFonts w:ascii="Arial" w:cs="Arial" w:eastAsia="Arial" w:hAnsi="Arial"/>
                <w:sz w:val="7"/>
                <w:szCs w:val="7"/>
                <w:color w:val="auto"/>
              </w:rPr>
              <w:t>business combination</w:t>
            </w:r>
          </w:p>
        </w:tc>
        <w:tc>
          <w:tcPr>
            <w:tcW w:w="340" w:type="dxa"/>
            <w:vAlign w:val="bottom"/>
          </w:tcPr>
          <w:p>
            <w:pPr>
              <w:ind w:left="22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tcPr>
          <w:p>
            <w:pPr>
              <w:jc w:val="center"/>
              <w:ind w:right="60"/>
              <w:spacing w:after="0" w:line="78" w:lineRule="exact"/>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32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4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20" w:type="dxa"/>
            <w:vAlign w:val="bottom"/>
            <w:tcBorders>
              <w:right w:val="single" w:sz="8" w:color="auto"/>
            </w:tcBorders>
            <w:gridSpan w:val="2"/>
          </w:tcPr>
          <w:p>
            <w:pPr>
              <w:ind w:left="100"/>
              <w:spacing w:after="0" w:line="78" w:lineRule="exact"/>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750,770</w:t>
            </w:r>
          </w:p>
        </w:tc>
        <w:tc>
          <w:tcPr>
            <w:tcW w:w="120" w:type="dxa"/>
            <w:vAlign w:val="bottom"/>
          </w:tcPr>
          <w:p>
            <w:pPr>
              <w:spacing w:after="0"/>
              <w:rPr>
                <w:sz w:val="6"/>
                <w:szCs w:val="6"/>
                <w:color w:val="auto"/>
              </w:rPr>
            </w:pPr>
          </w:p>
        </w:tc>
        <w:tc>
          <w:tcPr>
            <w:tcW w:w="160" w:type="dxa"/>
            <w:vAlign w:val="bottom"/>
          </w:tcPr>
          <w:p>
            <w:pPr>
              <w:ind w:left="6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400" w:type="dxa"/>
            <w:vAlign w:val="bottom"/>
            <w:gridSpan w:val="2"/>
          </w:tcPr>
          <w:p>
            <w:pPr>
              <w:jc w:val="right"/>
              <w:ind w:right="100"/>
              <w:spacing w:after="0" w:line="78" w:lineRule="exact"/>
              <w:rPr>
                <w:sz w:val="20"/>
                <w:szCs w:val="20"/>
                <w:color w:val="auto"/>
              </w:rPr>
            </w:pPr>
            <w:r>
              <w:rPr>
                <w:rFonts w:ascii="Arial" w:cs="Arial" w:eastAsia="Arial" w:hAnsi="Arial"/>
                <w:sz w:val="7"/>
                <w:szCs w:val="7"/>
                <w:color w:val="auto"/>
              </w:rPr>
              <w:t>2,743</w:t>
            </w:r>
          </w:p>
        </w:tc>
        <w:tc>
          <w:tcPr>
            <w:tcW w:w="60" w:type="dxa"/>
            <w:vAlign w:val="bottom"/>
          </w:tcPr>
          <w:p>
            <w:pPr>
              <w:spacing w:after="0"/>
              <w:rPr>
                <w:sz w:val="6"/>
                <w:szCs w:val="6"/>
                <w:color w:val="auto"/>
              </w:rPr>
            </w:pPr>
          </w:p>
        </w:tc>
        <w:tc>
          <w:tcPr>
            <w:tcW w:w="580" w:type="dxa"/>
            <w:vAlign w:val="bottom"/>
            <w:gridSpan w:val="2"/>
          </w:tcPr>
          <w:p>
            <w:pPr>
              <w:ind w:left="38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380" w:type="dxa"/>
            <w:vAlign w:val="bottom"/>
          </w:tcPr>
          <w:p>
            <w:pPr>
              <w:ind w:left="260"/>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2,743</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Net loss</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2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7"/>
                <w:szCs w:val="7"/>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(30,994)</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(30,994)</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2019</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rPr>
              <w:t>6,957</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18,612</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24,756</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7,289,571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4,512</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(77,609)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(73,097)</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Repurchase of Stock</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(1,136,622)</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w w:val="98"/>
              </w:rPr>
              <w:t>(5,001)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(390,152)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(2,001)</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(405,453)</w:t>
            </w:r>
          </w:p>
        </w:tc>
        <w:tc>
          <w:tcPr>
            <w:tcW w:w="5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7"/>
                <w:szCs w:val="7"/>
                <w:color w:val="auto"/>
              </w:rPr>
              <w:t>(2,700)</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(3,150)</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(5,578)</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(3,223)</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(8,801)</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1,136,622</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10,883</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390,152</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3,736</w:t>
            </w:r>
          </w:p>
        </w:tc>
        <w:tc>
          <w:tcPr>
            <w:tcW w:w="340" w:type="dxa"/>
            <w:vAlign w:val="bottom"/>
          </w:tcPr>
          <w:p>
            <w:pPr>
              <w:jc w:val="right"/>
              <w:spacing w:after="0"/>
              <w:rPr>
                <w:sz w:val="20"/>
                <w:szCs w:val="20"/>
                <w:color w:val="auto"/>
              </w:rPr>
            </w:pPr>
            <w:r>
              <w:rPr>
                <w:rFonts w:ascii="Arial" w:cs="Arial" w:eastAsia="Arial" w:hAnsi="Arial"/>
                <w:sz w:val="7"/>
                <w:szCs w:val="7"/>
                <w:color w:val="auto"/>
              </w:rPr>
              <w:t>405,453</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3,948</w:t>
            </w:r>
          </w:p>
        </w:tc>
        <w:tc>
          <w:tcPr>
            <w:tcW w:w="340" w:type="dxa"/>
            <w:vAlign w:val="bottom"/>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rPr>
              <w:t>3,085</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E</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466,211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563</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(45)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518</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1,006</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1,006</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Comprehensive income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ind w:left="160"/>
              <w:spacing w:after="0"/>
              <w:rPr>
                <w:sz w:val="20"/>
                <w:szCs w:val="20"/>
                <w:color w:val="auto"/>
              </w:rPr>
            </w:pPr>
            <w:r>
              <w:rPr>
                <w:rFonts w:ascii="Arial" w:cs="Arial" w:eastAsia="Arial" w:hAnsi="Arial"/>
                <w:sz w:val="7"/>
                <w:szCs w:val="7"/>
                <w:color w:val="auto"/>
              </w:rPr>
              <w:t>Foreign currency translation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94"/>
        </w:trPr>
        <w:tc>
          <w:tcPr>
            <w:tcW w:w="1260" w:type="dxa"/>
            <w:vAlign w:val="bottom"/>
          </w:tcPr>
          <w:p>
            <w:pPr>
              <w:ind w:left="160"/>
              <w:spacing w:after="0"/>
              <w:rPr>
                <w:sz w:val="20"/>
                <w:szCs w:val="20"/>
                <w:color w:val="auto"/>
              </w:rPr>
            </w:pPr>
            <w:r>
              <w:rPr>
                <w:rFonts w:ascii="Arial" w:cs="Arial" w:eastAsia="Arial" w:hAnsi="Arial"/>
                <w:sz w:val="7"/>
                <w:szCs w:val="7"/>
                <w:color w:val="auto"/>
              </w:rPr>
              <w:t>Net loss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(31,085)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(31,085)</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Total comprehensive loss</w:t>
            </w: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(30,875)</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2020</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18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12,839</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w w:val="95"/>
              </w:rPr>
              <w:t>$ 20,347</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$ 26,004</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54,864</w:t>
            </w:r>
          </w:p>
        </w:tc>
        <w:tc>
          <w:tcPr>
            <w:tcW w:w="340" w:type="dxa"/>
            <w:vAlign w:val="bottom"/>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7,755,782</w:t>
            </w: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503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ind w:left="360"/>
              <w:spacing w:after="0"/>
              <w:rPr>
                <w:sz w:val="20"/>
                <w:szCs w:val="20"/>
                <w:color w:val="auto"/>
              </w:rPr>
            </w:pPr>
            <w:r>
              <w:rPr>
                <w:rFonts w:ascii="Arial" w:cs="Arial" w:eastAsia="Arial" w:hAnsi="Arial"/>
                <w:sz w:val="7"/>
                <w:szCs w:val="7"/>
                <w:color w:val="auto"/>
              </w:rPr>
              <w:t>210</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380" w:type="dxa"/>
            <w:vAlign w:val="bottom"/>
          </w:tcPr>
          <w:p>
            <w:pPr>
              <w:jc w:val="right"/>
              <w:spacing w:after="0"/>
              <w:rPr>
                <w:sz w:val="20"/>
                <w:szCs w:val="20"/>
                <w:color w:val="auto"/>
              </w:rPr>
            </w:pPr>
            <w:r>
              <w:rPr>
                <w:rFonts w:ascii="Arial" w:cs="Arial" w:eastAsia="Arial" w:hAnsi="Arial"/>
                <w:sz w:val="7"/>
                <w:szCs w:val="7"/>
                <w:color w:val="auto"/>
              </w:rPr>
              <w:t>(111,962)</w:t>
            </w:r>
          </w:p>
        </w:tc>
        <w:tc>
          <w:tcPr>
            <w:tcW w:w="18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(111,249)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line="232"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780" w:type="dxa"/>
            <w:vAlign w:val="bottom"/>
            <w:gridSpan w:val="3"/>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60" w:type="dxa"/>
            <w:vAlign w:val="bottom"/>
          </w:tcPr>
          <w:p>
            <w:pPr>
              <w:spacing w:after="0"/>
              <w:rPr>
                <w:sz w:val="7"/>
                <w:szCs w:val="7"/>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gridSpan w:val="5"/>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Additional</w:t>
            </w:r>
          </w:p>
        </w:tc>
        <w:tc>
          <w:tcPr>
            <w:tcW w:w="100" w:type="dxa"/>
            <w:vAlign w:val="bottom"/>
          </w:tcPr>
          <w:p>
            <w:pPr>
              <w:spacing w:after="0"/>
              <w:rPr>
                <w:sz w:val="2"/>
                <w:szCs w:val="2"/>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Seed-1</w:t>
            </w:r>
          </w:p>
        </w:tc>
        <w:tc>
          <w:tcPr>
            <w:tcW w:w="780" w:type="dxa"/>
            <w:vAlign w:val="bottom"/>
            <w:gridSpan w:val="3"/>
            <w:vMerge w:val="restart"/>
          </w:tcPr>
          <w:p>
            <w:pPr>
              <w:ind w:left="280"/>
              <w:spacing w:after="0"/>
              <w:rPr>
                <w:sz w:val="20"/>
                <w:szCs w:val="20"/>
                <w:color w:val="auto"/>
              </w:rPr>
            </w:pPr>
            <w:r>
              <w:rPr>
                <w:rFonts w:ascii="Arial" w:cs="Arial" w:eastAsia="Arial" w:hAnsi="Arial"/>
                <w:sz w:val="7"/>
                <w:szCs w:val="7"/>
                <w:b w:val="1"/>
                <w:bCs w:val="1"/>
                <w:color w:val="auto"/>
              </w:rPr>
              <w:t>Seed-2</w:t>
            </w:r>
          </w:p>
        </w:tc>
        <w:tc>
          <w:tcPr>
            <w:tcW w:w="60" w:type="dxa"/>
            <w:vAlign w:val="bottom"/>
          </w:tcPr>
          <w:p>
            <w:pPr>
              <w:spacing w:after="0"/>
              <w:rPr>
                <w:sz w:val="4"/>
                <w:szCs w:val="4"/>
                <w:color w:val="auto"/>
              </w:rPr>
            </w:pPr>
          </w:p>
        </w:tc>
        <w:tc>
          <w:tcPr>
            <w:tcW w:w="860" w:type="dxa"/>
            <w:vAlign w:val="bottom"/>
            <w:gridSpan w:val="4"/>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880" w:type="dxa"/>
            <w:vAlign w:val="bottom"/>
            <w:gridSpan w:val="5"/>
            <w:vMerge w:val="restart"/>
          </w:tcPr>
          <w:p>
            <w:pPr>
              <w:ind w:left="240"/>
              <w:spacing w:after="0"/>
              <w:rPr>
                <w:sz w:val="20"/>
                <w:szCs w:val="20"/>
                <w:color w:val="auto"/>
              </w:rPr>
            </w:pPr>
            <w:r>
              <w:rPr>
                <w:rFonts w:ascii="Arial" w:cs="Arial" w:eastAsia="Arial" w:hAnsi="Arial"/>
                <w:sz w:val="7"/>
                <w:szCs w:val="7"/>
                <w:b w:val="1"/>
                <w:bCs w:val="1"/>
                <w:color w:val="auto"/>
              </w:rPr>
              <w:t>Series A-2</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C</w:t>
            </w:r>
          </w:p>
        </w:tc>
        <w:tc>
          <w:tcPr>
            <w:tcW w:w="90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D</w:t>
            </w:r>
          </w:p>
        </w:tc>
        <w:tc>
          <w:tcPr>
            <w:tcW w:w="880" w:type="dxa"/>
            <w:vAlign w:val="bottom"/>
            <w:tcBorders>
              <w:right w:val="single" w:sz="8" w:color="auto"/>
            </w:tcBorders>
            <w:gridSpan w:val="3"/>
            <w:vMerge w:val="restart"/>
          </w:tcPr>
          <w:p>
            <w:pPr>
              <w:ind w:left="26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820" w:type="dxa"/>
            <w:vAlign w:val="bottom"/>
            <w:gridSpan w:val="6"/>
            <w:vMerge w:val="restart"/>
          </w:tcPr>
          <w:p>
            <w:pPr>
              <w:ind w:left="140"/>
              <w:spacing w:after="0"/>
              <w:rPr>
                <w:sz w:val="20"/>
                <w:szCs w:val="20"/>
                <w:color w:val="auto"/>
              </w:rPr>
            </w:pPr>
            <w:r>
              <w:rPr>
                <w:rFonts w:ascii="Arial" w:cs="Arial" w:eastAsia="Arial" w:hAnsi="Arial"/>
                <w:sz w:val="7"/>
                <w:szCs w:val="7"/>
                <w:b w:val="1"/>
                <w:bCs w:val="1"/>
                <w:color w:val="auto"/>
              </w:rPr>
              <w:t>Common Stock</w:t>
            </w:r>
          </w:p>
        </w:tc>
        <w:tc>
          <w:tcPr>
            <w:tcW w:w="2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restart"/>
          </w:tcPr>
          <w:p>
            <w:pPr>
              <w:jc w:val="right"/>
              <w:ind w:right="80"/>
              <w:spacing w:after="0"/>
              <w:rPr>
                <w:sz w:val="20"/>
                <w:szCs w:val="20"/>
                <w:color w:val="auto"/>
              </w:rPr>
            </w:pPr>
            <w:r>
              <w:rPr>
                <w:rFonts w:ascii="Arial" w:cs="Arial" w:eastAsia="Arial" w:hAnsi="Arial"/>
                <w:sz w:val="7"/>
                <w:szCs w:val="7"/>
                <w:b w:val="1"/>
                <w:bCs w:val="1"/>
                <w:color w:val="auto"/>
              </w:rPr>
              <w:t>Paid-in   Comprehensive   Accumulated</w:t>
            </w:r>
          </w:p>
        </w:tc>
        <w:tc>
          <w:tcPr>
            <w:tcW w:w="4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280" w:type="dxa"/>
            <w:vAlign w:val="bottom"/>
          </w:tcPr>
          <w:p>
            <w:pPr>
              <w:spacing w:after="0"/>
              <w:rPr>
                <w:sz w:val="20"/>
                <w:szCs w:val="20"/>
                <w:color w:val="auto"/>
              </w:rPr>
            </w:pPr>
            <w:r>
              <w:rPr>
                <w:rFonts w:ascii="Arial" w:cs="Arial" w:eastAsia="Arial" w:hAnsi="Arial"/>
                <w:sz w:val="7"/>
                <w:szCs w:val="7"/>
                <w:b w:val="1"/>
                <w:bCs w:val="1"/>
                <w:color w:val="auto"/>
                <w:w w:val="98"/>
              </w:rPr>
              <w:t>Amount</w:t>
            </w:r>
          </w:p>
        </w:tc>
        <w:tc>
          <w:tcPr>
            <w:tcW w:w="60" w:type="dxa"/>
            <w:vAlign w:val="bottom"/>
          </w:tcPr>
          <w:p>
            <w:pPr>
              <w:spacing w:after="0"/>
              <w:rPr>
                <w:sz w:val="7"/>
                <w:szCs w:val="7"/>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rPr>
              <w:t>Shares</w:t>
            </w: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8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tcBorders>
              <w:right w:val="single" w:sz="8" w:color="auto"/>
            </w:tcBorders>
          </w:tcPr>
          <w:p>
            <w:pPr>
              <w:jc w:val="center"/>
              <w:ind w:right="16"/>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2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94"/>
              </w:rPr>
              <w:t>Capital</w:t>
            </w:r>
          </w:p>
        </w:tc>
        <w:tc>
          <w:tcPr>
            <w:tcW w:w="100" w:type="dxa"/>
            <w:vAlign w:val="bottom"/>
          </w:tcPr>
          <w:p>
            <w:pPr>
              <w:spacing w:after="0"/>
              <w:rPr>
                <w:sz w:val="7"/>
                <w:szCs w:val="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Income</w:t>
            </w:r>
          </w:p>
        </w:tc>
        <w:tc>
          <w:tcPr>
            <w:tcW w:w="8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40" w:type="dxa"/>
            <w:vAlign w:val="bottom"/>
            <w:tcBorders>
              <w:top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Balance, December</w:t>
            </w: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36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48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31, 2019</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7,289,571</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4,512</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(77,609)</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(73,097)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169,212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(8,656)</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2020</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tcPr>
          <w:p>
            <w:pPr>
              <w:spacing w:after="0"/>
              <w:rPr>
                <w:sz w:val="8"/>
                <w:szCs w:val="8"/>
                <w:color w:val="auto"/>
              </w:rPr>
            </w:pP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7,458,783</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4,755</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(86,216)</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(81,510)</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Balance, December</w:t>
            </w:r>
          </w:p>
        </w:tc>
        <w:tc>
          <w:tcPr>
            <w:tcW w:w="3060" w:type="dxa"/>
            <w:vAlign w:val="bottom"/>
            <w:gridSpan w:val="21"/>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31, 2020</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shd w:val="clear" w:color="auto" w:fill="CCEEFF"/>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7,755,782</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503</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210</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w w:val="98"/>
              </w:rPr>
              <w:t>(111,962)</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(111,249)</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483,712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30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(10,471)</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2021</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8,239,494</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1,854</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240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w w:val="98"/>
              </w:rPr>
              <w:t>(122,463)</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(120,369)</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jc w:val="center"/>
        <w:ind w:right="-159"/>
        <w:spacing w:after="0"/>
        <w:rPr>
          <w:sz w:val="20"/>
          <w:szCs w:val="20"/>
          <w:color w:val="auto"/>
        </w:rPr>
      </w:pPr>
      <w:r>
        <w:rPr>
          <w:rFonts w:ascii="Arial" w:cs="Arial" w:eastAsia="Arial" w:hAnsi="Arial"/>
          <w:sz w:val="18"/>
          <w:szCs w:val="18"/>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5"/>
            <w:shd w:val="clear" w:color="auto" w:fill="CCEEFF"/>
          </w:tcPr>
          <w:p>
            <w:pPr>
              <w:jc w:val="right"/>
              <w:ind w:right="229"/>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(31,085)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(30,994)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(10,501)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1,847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writeoff</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Gain on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8,569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1,645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(22,049)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(27,125)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(17,711)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(28,850)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(17,710)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short-term investments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28,571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30,470</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17,002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A-2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D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to preferred stockholders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stock options exercised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line of credit,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other borrowings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Repayment of other borrowings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finance lease obligations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35,261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54,715</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(10,362)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59,874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40,122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49,512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vMerge w:val="restart"/>
          </w:tcPr>
          <w:p>
            <w:pPr>
              <w:spacing w:after="0"/>
              <w:rPr>
                <w:sz w:val="5"/>
                <w:szCs w:val="5"/>
                <w:color w:val="auto"/>
              </w:rPr>
            </w:pPr>
          </w:p>
        </w:tc>
        <w:tc>
          <w:tcPr>
            <w:tcW w:w="6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1,111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activity:</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2,743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700" w:hanging="533"/>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98" w:lineRule="exact"/>
        <w:rPr>
          <w:rFonts w:ascii="Arial" w:cs="Arial" w:eastAsia="Arial" w:hAnsi="Arial"/>
          <w:sz w:val="18"/>
          <w:szCs w:val="18"/>
          <w:b w:val="1"/>
          <w:bCs w:val="1"/>
          <w:color w:val="auto"/>
        </w:rPr>
      </w:pPr>
    </w:p>
    <w:p>
      <w:pPr>
        <w:ind w:left="720" w:right="1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95" w:lineRule="exact"/>
        <w:rPr>
          <w:rFonts w:ascii="Arial" w:cs="Arial" w:eastAsia="Arial" w:hAnsi="Arial"/>
          <w:sz w:val="18"/>
          <w:szCs w:val="18"/>
          <w:b w:val="1"/>
          <w:bCs w:val="1"/>
          <w:color w:val="auto"/>
        </w:rPr>
      </w:pPr>
    </w:p>
    <w:p>
      <w:pPr>
        <w:ind w:left="720" w:right="2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4" w:lineRule="exact"/>
        <w:rPr>
          <w:sz w:val="20"/>
          <w:szCs w:val="20"/>
          <w:color w:val="auto"/>
        </w:rPr>
      </w:pPr>
    </w:p>
    <w:p>
      <w:pPr>
        <w:ind w:left="1340" w:hanging="638"/>
        <w:spacing w:after="0"/>
        <w:tabs>
          <w:tab w:leader="none" w:pos="13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9"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90" w:lineRule="exact"/>
        <w:rPr>
          <w:sz w:val="20"/>
          <w:szCs w:val="20"/>
          <w:color w:val="auto"/>
        </w:rPr>
      </w:pPr>
    </w:p>
    <w:p>
      <w:pPr>
        <w:ind w:left="1340" w:hanging="638"/>
        <w:spacing w:after="0"/>
        <w:tabs>
          <w:tab w:leader="none" w:pos="134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Interim Consolidated Financial Information</w:t>
      </w:r>
    </w:p>
    <w:p>
      <w:pPr>
        <w:spacing w:after="0" w:line="123" w:lineRule="exact"/>
        <w:rPr>
          <w:sz w:val="20"/>
          <w:szCs w:val="20"/>
          <w:color w:val="auto"/>
        </w:rPr>
      </w:pPr>
    </w:p>
    <w:p>
      <w:pPr>
        <w:ind w:left="1360" w:right="380"/>
        <w:spacing w:after="0" w:line="236" w:lineRule="auto"/>
        <w:rPr>
          <w:sz w:val="20"/>
          <w:szCs w:val="20"/>
          <w:color w:val="auto"/>
        </w:rPr>
      </w:pPr>
      <w:r>
        <w:rPr>
          <w:rFonts w:ascii="Arial" w:cs="Arial" w:eastAsia="Arial" w:hAnsi="Arial"/>
          <w:sz w:val="18"/>
          <w:szCs w:val="18"/>
          <w:color w:val="auto"/>
        </w:rPr>
        <w:t>The accompanying interim Consolidated Balance Sheet as of March 31, 2021 and the Consolidated Statements of Operations and Comprehensive Loss, Consolidated Statements of Changes in Convertible Preferred Stock and Stockholders’ Deficit, and Cash Flows for the three months ended March 31, 2021 and 2020, and the related footnote disclosures are unaudited. These unaudited interim consolidated financial statements have been prepared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0"/>
          </w:cols>
          <w:pgMar w:left="320" w:top="456" w:right="5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00"/>
        <w:spacing w:after="0" w:line="235" w:lineRule="auto"/>
        <w:rPr>
          <w:sz w:val="20"/>
          <w:szCs w:val="20"/>
          <w:color w:val="auto"/>
        </w:rPr>
      </w:pPr>
      <w:r>
        <w:rPr>
          <w:rFonts w:ascii="Arial" w:cs="Arial" w:eastAsia="Arial" w:hAnsi="Arial"/>
          <w:sz w:val="18"/>
          <w:szCs w:val="18"/>
          <w:color w:val="auto"/>
        </w:rPr>
        <w:t>in accordance with GAAP. In management’s opinion, the unaudited interim consolidated financial statements include all adjustments necessary to state fairly the Company’s financial position as of March 31, 2021 and its results of operations and cash flows for the three months ended March 31, 2021 and 2020. The financial data and the other information disclosed in these notes to the consolidated financial statements related to these three-month periods are unaudited. The results for the three months ended March 31, 2021 are not necessarily indicative of the results expected for the full year ending December 31, 2021 or any future period.</w:t>
      </w:r>
    </w:p>
    <w:p>
      <w:pPr>
        <w:spacing w:after="0" w:line="86" w:lineRule="exact"/>
        <w:rPr>
          <w:sz w:val="20"/>
          <w:szCs w:val="20"/>
          <w:color w:val="auto"/>
        </w:rPr>
      </w:pPr>
    </w:p>
    <w:p>
      <w:pPr>
        <w:ind w:left="1340" w:hanging="638"/>
        <w:spacing w:after="0"/>
        <w:tabs>
          <w:tab w:leader="none" w:pos="134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23" w:lineRule="exact"/>
        <w:rPr>
          <w:sz w:val="20"/>
          <w:szCs w:val="20"/>
          <w:color w:val="auto"/>
        </w:rPr>
      </w:pPr>
    </w:p>
    <w:p>
      <w:pPr>
        <w:ind w:left="1360" w:right="300"/>
        <w:spacing w:after="0" w:line="239"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87" w:lineRule="exact"/>
        <w:rPr>
          <w:sz w:val="20"/>
          <w:szCs w:val="20"/>
          <w:color w:val="auto"/>
        </w:rPr>
      </w:pPr>
    </w:p>
    <w:p>
      <w:pPr>
        <w:ind w:left="1340" w:hanging="638"/>
        <w:spacing w:after="0"/>
        <w:tabs>
          <w:tab w:leader="none" w:pos="134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360" w:right="40"/>
        <w:spacing w:after="0" w:line="237"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87" w:lineRule="exact"/>
        <w:rPr>
          <w:sz w:val="20"/>
          <w:szCs w:val="20"/>
          <w:color w:val="auto"/>
        </w:rPr>
      </w:pPr>
    </w:p>
    <w:p>
      <w:pPr>
        <w:ind w:left="1340" w:hanging="638"/>
        <w:spacing w:after="0"/>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left="1360" w:right="120"/>
        <w:spacing w:after="0" w:line="234"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89" w:lineRule="exact"/>
        <w:rPr>
          <w:sz w:val="20"/>
          <w:szCs w:val="20"/>
          <w:color w:val="auto"/>
        </w:rPr>
      </w:pPr>
    </w:p>
    <w:p>
      <w:pPr>
        <w:ind w:left="1340" w:hanging="638"/>
        <w:spacing w:after="0"/>
        <w:tabs>
          <w:tab w:leader="none" w:pos="134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23" w:lineRule="exact"/>
        <w:rPr>
          <w:sz w:val="20"/>
          <w:szCs w:val="20"/>
          <w:color w:val="auto"/>
        </w:rPr>
      </w:pPr>
    </w:p>
    <w:p>
      <w:pPr>
        <w:ind w:left="1360" w:right="60"/>
        <w:spacing w:after="0" w:line="236"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95"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01" w:lineRule="exact"/>
        <w:rPr>
          <w:sz w:val="20"/>
          <w:szCs w:val="20"/>
          <w:color w:val="auto"/>
        </w:rPr>
      </w:pPr>
    </w:p>
    <w:p>
      <w:pPr>
        <w:ind w:left="1360"/>
        <w:spacing w:after="0" w:line="257" w:lineRule="auto"/>
        <w:rPr>
          <w:sz w:val="20"/>
          <w:szCs w:val="20"/>
          <w:color w:val="auto"/>
        </w:rPr>
      </w:pPr>
      <w:r>
        <w:rPr>
          <w:rFonts w:ascii="Arial" w:cs="Arial" w:eastAsia="Arial" w:hAnsi="Arial"/>
          <w:sz w:val="17"/>
          <w:szCs w:val="17"/>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1" w:lineRule="exact"/>
        <w:rPr>
          <w:sz w:val="20"/>
          <w:szCs w:val="20"/>
          <w:color w:val="auto"/>
        </w:rPr>
      </w:pPr>
    </w:p>
    <w:p>
      <w:pPr>
        <w:ind w:left="1360" w:right="320"/>
        <w:spacing w:after="0" w:line="23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6"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87" w:lineRule="exact"/>
        <w:rPr>
          <w:sz w:val="20"/>
          <w:szCs w:val="20"/>
          <w:color w:val="auto"/>
        </w:rPr>
      </w:pPr>
    </w:p>
    <w:p>
      <w:pPr>
        <w:ind w:left="1340" w:hanging="638"/>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23" w:lineRule="exact"/>
        <w:rPr>
          <w:sz w:val="20"/>
          <w:szCs w:val="20"/>
          <w:color w:val="auto"/>
        </w:rPr>
      </w:pPr>
    </w:p>
    <w:p>
      <w:pPr>
        <w:ind w:left="1360" w:right="580"/>
        <w:spacing w:after="0" w:line="237"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87" w:lineRule="exact"/>
        <w:rPr>
          <w:sz w:val="20"/>
          <w:szCs w:val="20"/>
          <w:color w:val="auto"/>
        </w:rPr>
      </w:pPr>
    </w:p>
    <w:p>
      <w:pPr>
        <w:ind w:left="1340" w:hanging="638"/>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March 31, 2021 (unaudited) and December 31, 2020 and $10.9 million of short-term investments at December 31, 2019.</w:t>
      </w:r>
    </w:p>
    <w:p>
      <w:pPr>
        <w:spacing w:after="0" w:line="86" w:lineRule="exact"/>
        <w:rPr>
          <w:sz w:val="20"/>
          <w:szCs w:val="20"/>
          <w:color w:val="auto"/>
        </w:rPr>
      </w:pPr>
    </w:p>
    <w:p>
      <w:pPr>
        <w:ind w:left="1340" w:hanging="638"/>
        <w:spacing w:after="0"/>
        <w:tabs>
          <w:tab w:leader="none" w:pos="134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23"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90" w:lineRule="exact"/>
        <w:rPr>
          <w:sz w:val="20"/>
          <w:szCs w:val="20"/>
          <w:color w:val="auto"/>
        </w:rPr>
      </w:pPr>
    </w:p>
    <w:p>
      <w:pPr>
        <w:ind w:left="1340" w:hanging="638"/>
        <w:spacing w:after="0"/>
        <w:tabs>
          <w:tab w:leader="none" w:pos="13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23" w:lineRule="exact"/>
        <w:rPr>
          <w:sz w:val="20"/>
          <w:szCs w:val="20"/>
          <w:color w:val="auto"/>
        </w:rPr>
      </w:pPr>
    </w:p>
    <w:p>
      <w:pPr>
        <w:ind w:left="1360" w:right="260"/>
        <w:spacing w:after="0" w:line="236"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87" w:lineRule="exact"/>
        <w:rPr>
          <w:sz w:val="20"/>
          <w:szCs w:val="20"/>
          <w:color w:val="auto"/>
        </w:rPr>
      </w:pPr>
    </w:p>
    <w:p>
      <w:pPr>
        <w:ind w:left="1340" w:hanging="638"/>
        <w:spacing w:after="0"/>
        <w:tabs>
          <w:tab w:leader="none" w:pos="13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23" w:lineRule="exact"/>
        <w:rPr>
          <w:sz w:val="20"/>
          <w:szCs w:val="20"/>
          <w:color w:val="auto"/>
        </w:rPr>
      </w:pPr>
    </w:p>
    <w:p>
      <w:pPr>
        <w:ind w:left="1360" w:right="20"/>
        <w:spacing w:after="0" w:line="236"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95"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0"/>
          </w:cols>
          <w:pgMar w:left="320" w:top="456" w:right="5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300"/>
        <w:spacing w:after="0" w:line="237" w:lineRule="auto"/>
        <w:rPr>
          <w:sz w:val="20"/>
          <w:szCs w:val="20"/>
          <w:color w:val="auto"/>
        </w:rPr>
      </w:pPr>
      <w:r>
        <w:rPr>
          <w:rFonts w:ascii="Arial" w:cs="Arial" w:eastAsia="Arial" w:hAnsi="Arial"/>
          <w:sz w:val="18"/>
          <w:szCs w:val="18"/>
          <w:color w:val="auto"/>
        </w:rPr>
        <w:t>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6"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for the years ended December 31, 2020 and 2019, respectively and $1.2 million for the quarter ended March 31, 2021 (unaudited).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90" w:lineRule="exact"/>
        <w:rPr>
          <w:sz w:val="20"/>
          <w:szCs w:val="20"/>
          <w:color w:val="auto"/>
        </w:rPr>
      </w:pPr>
    </w:p>
    <w:p>
      <w:pPr>
        <w:ind w:left="1340" w:hanging="638"/>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360" w:right="120"/>
        <w:spacing w:after="0" w:line="236"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95"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99" w:lineRule="exact"/>
        <w:rPr>
          <w:sz w:val="20"/>
          <w:szCs w:val="20"/>
          <w:color w:val="auto"/>
        </w:rPr>
      </w:pPr>
    </w:p>
    <w:p>
      <w:pPr>
        <w:ind w:left="1360" w:right="20"/>
        <w:spacing w:after="0" w:line="23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97" w:lineRule="exact"/>
        <w:rPr>
          <w:sz w:val="20"/>
          <w:szCs w:val="20"/>
          <w:color w:val="auto"/>
        </w:rPr>
      </w:pPr>
    </w:p>
    <w:p>
      <w:pPr>
        <w:jc w:val="both"/>
        <w:ind w:left="1360" w:right="240"/>
        <w:spacing w:after="0" w:line="237" w:lineRule="auto"/>
        <w:rPr>
          <w:sz w:val="20"/>
          <w:szCs w:val="20"/>
          <w:color w:val="auto"/>
        </w:rPr>
      </w:pPr>
      <w:r>
        <w:rPr>
          <w:rFonts w:ascii="Arial" w:cs="Arial" w:eastAsia="Arial" w:hAnsi="Arial"/>
          <w:sz w:val="18"/>
          <w:szCs w:val="18"/>
          <w:color w:val="auto"/>
        </w:rPr>
        <w:t>Revenue is shown net of estimated returns, refunds, and allowances. At March 31, 2021 (unaudited) and December 31, 2020, the Company has a $0.1 million provision for estimated returns, refunds or allowances. There was no provision for estimated returns, refunds or allowances at December 31, 2019.</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Contract Liabilities</w:t>
      </w:r>
    </w:p>
    <w:p>
      <w:pPr>
        <w:spacing w:after="0" w:line="119" w:lineRule="exact"/>
        <w:rPr>
          <w:sz w:val="20"/>
          <w:szCs w:val="20"/>
          <w:color w:val="auto"/>
        </w:rPr>
      </w:pPr>
    </w:p>
    <w:p>
      <w:pPr>
        <w:ind w:left="1360" w:right="380"/>
        <w:spacing w:after="0" w:line="239"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satisfied and revenue has not been recognized based on the Company’s revenue recognition criteria described above.</w:t>
      </w:r>
    </w:p>
    <w:p>
      <w:pPr>
        <w:spacing w:after="0" w:line="10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Contract liabilities at December 31, 2018</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6"/>
              </w:rPr>
              <w:t>$ 1,185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(1,185)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1,821</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December 31, 2019</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$ 1,821</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(1,821)</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2,355</w:t>
            </w:r>
          </w:p>
        </w:tc>
      </w:tr>
      <w:tr>
        <w:trPr>
          <w:trHeight w:val="20"/>
        </w:trPr>
        <w:tc>
          <w:tcPr>
            <w:tcW w:w="7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$ 2,355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3,927</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March 31, 2021 (unaudited)</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$ 3,927</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Sales Contract Acquisition Costs</w:t>
      </w:r>
    </w:p>
    <w:p>
      <w:pPr>
        <w:spacing w:after="0" w:line="119"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6" w:lineRule="exact"/>
        <w:rPr>
          <w:sz w:val="20"/>
          <w:szCs w:val="20"/>
          <w:color w:val="auto"/>
        </w:rPr>
      </w:pPr>
    </w:p>
    <w:p>
      <w:pPr>
        <w:ind w:left="1340" w:hanging="638"/>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360" w:right="140"/>
        <w:spacing w:after="0" w:line="239"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87" w:lineRule="exact"/>
        <w:rPr>
          <w:sz w:val="20"/>
          <w:szCs w:val="20"/>
          <w:color w:val="auto"/>
        </w:rPr>
      </w:pPr>
    </w:p>
    <w:p>
      <w:pPr>
        <w:ind w:left="1340" w:hanging="638"/>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05" w:lineRule="exact"/>
        <w:rPr>
          <w:sz w:val="20"/>
          <w:szCs w:val="20"/>
          <w:color w:val="auto"/>
        </w:rPr>
      </w:pPr>
    </w:p>
    <w:p>
      <w:pPr>
        <w:ind w:left="1360" w:right="220"/>
        <w:spacing w:after="0" w:line="242" w:lineRule="auto"/>
        <w:rPr>
          <w:sz w:val="20"/>
          <w:szCs w:val="20"/>
          <w:color w:val="auto"/>
        </w:rPr>
      </w:pPr>
      <w:r>
        <w:rPr>
          <w:rFonts w:ascii="Arial" w:cs="Arial" w:eastAsia="Arial" w:hAnsi="Arial"/>
          <w:sz w:val="18"/>
          <w:szCs w:val="18"/>
          <w:color w:val="auto"/>
        </w:rPr>
        <w:t xml:space="preserve">On January 1, 2019,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9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has elected the short-term lease recognition exemption for all 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96" w:lineRule="exact"/>
        <w:rPr>
          <w:sz w:val="20"/>
          <w:szCs w:val="20"/>
          <w:color w:val="auto"/>
        </w:rPr>
      </w:pPr>
    </w:p>
    <w:p>
      <w:pPr>
        <w:ind w:left="1360" w:right="20"/>
        <w:spacing w:after="0" w:line="239" w:lineRule="auto"/>
        <w:rPr>
          <w:sz w:val="20"/>
          <w:szCs w:val="20"/>
          <w:color w:val="auto"/>
        </w:rPr>
      </w:pPr>
      <w:r>
        <w:rPr>
          <w:rFonts w:ascii="Arial" w:cs="Arial" w:eastAsia="Arial" w:hAnsi="Arial"/>
          <w:sz w:val="18"/>
          <w:szCs w:val="18"/>
          <w:color w:val="auto"/>
        </w:rPr>
        <w:t>The Company determines if an arrangement contains a lease and the classification of that lease, if applicable, at inception. Operating leases are included in operating lease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6" w:right="5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60"/>
        <w:spacing w:after="0" w:line="239" w:lineRule="auto"/>
        <w:rPr>
          <w:sz w:val="20"/>
          <w:szCs w:val="20"/>
          <w:color w:val="auto"/>
        </w:rPr>
      </w:pPr>
      <w:r>
        <w:rPr>
          <w:rFonts w:ascii="Arial" w:cs="Arial" w:eastAsia="Arial" w:hAnsi="Arial"/>
          <w:sz w:val="18"/>
          <w:szCs w:val="18"/>
          <w:color w:val="auto"/>
        </w:rPr>
        <w:t>ROU assets, operating lease liabilities and operating lease liabilities (net of current portion) in the Consolidated Balance Sheets. The Company has finance leases as detailed in the Long-Lived Assets section above.</w:t>
      </w:r>
    </w:p>
    <w:p>
      <w:pPr>
        <w:spacing w:after="0" w:line="96"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92" w:lineRule="exact"/>
        <w:rPr>
          <w:sz w:val="20"/>
          <w:szCs w:val="20"/>
          <w:color w:val="auto"/>
        </w:rPr>
      </w:pPr>
    </w:p>
    <w:p>
      <w:pPr>
        <w:ind w:left="1340" w:hanging="638"/>
        <w:spacing w:after="0"/>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ind w:left="1360" w:right="180"/>
        <w:spacing w:after="0" w:line="251" w:lineRule="auto"/>
        <w:rPr>
          <w:sz w:val="20"/>
          <w:szCs w:val="20"/>
          <w:color w:val="auto"/>
        </w:rPr>
      </w:pPr>
      <w:r>
        <w:rPr>
          <w:rFonts w:ascii="Arial" w:cs="Arial" w:eastAsia="Arial" w:hAnsi="Arial"/>
          <w:sz w:val="17"/>
          <w:szCs w:val="17"/>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 For the quarters ended March 31, 2021 and 2020 (unaudited), the Company’s advertising costs were $4.2 million and $2.4 million, respectively.</w:t>
      </w:r>
    </w:p>
    <w:p>
      <w:pPr>
        <w:spacing w:after="0" w:line="79" w:lineRule="exact"/>
        <w:rPr>
          <w:sz w:val="20"/>
          <w:szCs w:val="20"/>
          <w:color w:val="auto"/>
        </w:rPr>
      </w:pPr>
    </w:p>
    <w:p>
      <w:pPr>
        <w:ind w:left="1340" w:hanging="638"/>
        <w:spacing w:after="0"/>
        <w:tabs>
          <w:tab w:leader="none" w:pos="134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360" w:right="20"/>
        <w:spacing w:after="0" w:line="236"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7" w:lineRule="exact"/>
        <w:rPr>
          <w:sz w:val="20"/>
          <w:szCs w:val="20"/>
          <w:color w:val="auto"/>
        </w:rPr>
      </w:pPr>
    </w:p>
    <w:p>
      <w:pPr>
        <w:ind w:left="1340" w:hanging="638"/>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jc w:val="both"/>
        <w:ind w:left="1360" w:right="240"/>
        <w:spacing w:after="0" w:line="237"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87" w:lineRule="exact"/>
        <w:rPr>
          <w:sz w:val="20"/>
          <w:szCs w:val="20"/>
          <w:color w:val="auto"/>
        </w:rPr>
      </w:pPr>
    </w:p>
    <w:p>
      <w:pPr>
        <w:ind w:left="1340" w:hanging="638"/>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360" w:right="660"/>
        <w:spacing w:after="0" w:line="237"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87" w:lineRule="exact"/>
        <w:rPr>
          <w:sz w:val="20"/>
          <w:szCs w:val="20"/>
          <w:color w:val="auto"/>
        </w:rPr>
      </w:pPr>
    </w:p>
    <w:p>
      <w:pPr>
        <w:ind w:left="1340" w:hanging="638"/>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23" w:lineRule="exact"/>
        <w:rPr>
          <w:sz w:val="20"/>
          <w:szCs w:val="20"/>
          <w:color w:val="auto"/>
        </w:rPr>
      </w:pPr>
    </w:p>
    <w:p>
      <w:pPr>
        <w:jc w:val="both"/>
        <w:ind w:left="1360" w:right="60"/>
        <w:spacing w:after="0" w:line="237"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Black-Scholes model considers several variables and assumptions in estimating the fair value of stock-based awards.</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These variables include:</w:t>
      </w:r>
    </w:p>
    <w:p>
      <w:pPr>
        <w:spacing w:after="0" w:line="114" w:lineRule="exact"/>
        <w:rPr>
          <w:sz w:val="20"/>
          <w:szCs w:val="20"/>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1"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97"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Total stock-based compensation cost for the years ended December 31, 2020 and 2019 and for the quarters ended March 31, 2021 and 2020 (unaudited) were as follows (amounts in thousands):</w:t>
      </w:r>
    </w:p>
    <w:p>
      <w:pPr>
        <w:spacing w:after="0" w:line="217" w:lineRule="exact"/>
        <w:rPr>
          <w:sz w:val="20"/>
          <w:szCs w:val="20"/>
          <w:color w:val="auto"/>
        </w:rPr>
      </w:pPr>
    </w:p>
    <w:tbl>
      <w:tblPr>
        <w:tblLayout w:type="fixed"/>
        <w:tblInd w:w="148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5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right"/>
              <w:ind w:right="171"/>
              <w:spacing w:after="0" w:line="154"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3"/>
                <w:szCs w:val="13"/>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23</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259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3"/>
              </w:rPr>
              <w:t>154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104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38</w:t>
            </w: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375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223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55</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216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273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32</w:t>
            </w: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 compensation expense</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544</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505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u w:val="single" w:color="auto"/>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3"/>
              </w:rPr>
              <w:t>148</w:t>
            </w:r>
          </w:p>
        </w:tc>
      </w:tr>
      <w:tr>
        <w:trPr>
          <w:trHeight w:val="20"/>
        </w:trPr>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1" w:lineRule="exact"/>
        <w:rPr>
          <w:sz w:val="20"/>
          <w:szCs w:val="20"/>
          <w:color w:val="auto"/>
        </w:rPr>
      </w:pPr>
    </w:p>
    <w:p>
      <w:pPr>
        <w:ind w:left="1340" w:hanging="638"/>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23" w:lineRule="exact"/>
        <w:rPr>
          <w:sz w:val="20"/>
          <w:szCs w:val="20"/>
          <w:color w:val="auto"/>
        </w:rPr>
      </w:pPr>
    </w:p>
    <w:p>
      <w:pPr>
        <w:ind w:left="1360" w:right="160"/>
        <w:spacing w:after="0" w:line="235"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86"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reflected in the period in which the change in judgment occurs. To the extent that it is not considered to be more likely than not that a deferred tax asset will be realized, a valuation allowance will be established.</w:t>
      </w:r>
    </w:p>
    <w:p>
      <w:pPr>
        <w:spacing w:after="0" w:line="87" w:lineRule="exact"/>
        <w:rPr>
          <w:sz w:val="20"/>
          <w:szCs w:val="20"/>
          <w:color w:val="auto"/>
        </w:rPr>
      </w:pPr>
    </w:p>
    <w:p>
      <w:pPr>
        <w:ind w:left="1340" w:hanging="638"/>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23"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87" w:lineRule="exact"/>
        <w:rPr>
          <w:sz w:val="20"/>
          <w:szCs w:val="20"/>
          <w:color w:val="auto"/>
        </w:rPr>
      </w:pPr>
    </w:p>
    <w:p>
      <w:pPr>
        <w:ind w:left="1340" w:hanging="63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23"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87" w:lineRule="exact"/>
        <w:rPr>
          <w:sz w:val="20"/>
          <w:szCs w:val="20"/>
          <w:color w:val="auto"/>
        </w:rPr>
      </w:pPr>
    </w:p>
    <w:p>
      <w:pPr>
        <w:ind w:left="1340" w:hanging="638"/>
        <w:spacing w:after="0"/>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360" w:right="180"/>
        <w:spacing w:after="0" w:line="236"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95" w:lineRule="exact"/>
        <w:rPr>
          <w:sz w:val="20"/>
          <w:szCs w:val="20"/>
          <w:color w:val="auto"/>
        </w:rPr>
      </w:pPr>
    </w:p>
    <w:p>
      <w:pPr>
        <w:ind w:left="1360"/>
        <w:spacing w:after="0" w:line="236"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95" w:lineRule="exact"/>
        <w:rPr>
          <w:sz w:val="20"/>
          <w:szCs w:val="20"/>
          <w:color w:val="auto"/>
        </w:rPr>
      </w:pPr>
    </w:p>
    <w:p>
      <w:pPr>
        <w:ind w:left="1360" w:right="200"/>
        <w:spacing w:after="0" w:line="236"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87" w:lineRule="exact"/>
        <w:rPr>
          <w:sz w:val="20"/>
          <w:szCs w:val="20"/>
          <w:color w:val="auto"/>
        </w:rPr>
      </w:pPr>
    </w:p>
    <w:p>
      <w:pPr>
        <w:ind w:left="1340" w:hanging="638"/>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19" w:lineRule="exact"/>
        <w:rPr>
          <w:sz w:val="20"/>
          <w:szCs w:val="20"/>
          <w:color w:val="auto"/>
        </w:rPr>
      </w:pPr>
    </w:p>
    <w:p>
      <w:pPr>
        <w:ind w:left="1360" w:right="160"/>
        <w:spacing w:after="0" w:line="234" w:lineRule="auto"/>
        <w:rPr>
          <w:sz w:val="20"/>
          <w:szCs w:val="20"/>
          <w:color w:val="auto"/>
        </w:rPr>
      </w:pPr>
      <w:r>
        <w:rPr>
          <w:rFonts w:ascii="Arial" w:cs="Arial" w:eastAsia="Arial" w:hAnsi="Arial"/>
          <w:sz w:val="18"/>
          <w:szCs w:val="18"/>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6"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1" w:lineRule="exact"/>
        <w:rPr>
          <w:sz w:val="20"/>
          <w:szCs w:val="20"/>
          <w:color w:val="auto"/>
        </w:rPr>
      </w:pPr>
    </w:p>
    <w:p>
      <w:pPr>
        <w:ind w:left="1360"/>
        <w:spacing w:after="0" w:line="23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Topic 326 changes the impairment model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7" w:lineRule="exact"/>
        <w:rPr>
          <w:sz w:val="20"/>
          <w:szCs w:val="20"/>
          <w:color w:val="auto"/>
        </w:rPr>
      </w:pPr>
    </w:p>
    <w:p>
      <w:pPr>
        <w:ind w:left="1360" w:right="100"/>
        <w:spacing w:after="0" w:line="23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expected to simplify and improve comparability of financial reporting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95"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28" w:lineRule="exact"/>
        <w:rPr>
          <w:sz w:val="20"/>
          <w:szCs w:val="20"/>
          <w:color w:val="auto"/>
        </w:rPr>
      </w:pPr>
    </w:p>
    <w:p>
      <w:pPr>
        <w:ind w:left="700" w:hanging="533"/>
        <w:spacing w:after="0"/>
        <w:tabs>
          <w:tab w:leader="none" w:pos="7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2" w:lineRule="exact"/>
        <w:rPr>
          <w:rFonts w:ascii="Arial" w:cs="Arial" w:eastAsia="Arial" w:hAnsi="Arial"/>
          <w:sz w:val="18"/>
          <w:szCs w:val="18"/>
          <w:b w:val="1"/>
          <w:bCs w:val="1"/>
          <w:color w:val="auto"/>
        </w:rPr>
      </w:pPr>
    </w:p>
    <w:p>
      <w:pPr>
        <w:ind w:left="720" w:right="1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8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For 2020, one customer accounted for more than 10% of the Company’s revenue with a total concentration of approximately</w:t>
      </w:r>
    </w:p>
    <w:p>
      <w:pPr>
        <w:ind w:left="720" w:righ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95" w:lineRule="exact"/>
        <w:rPr>
          <w:rFonts w:ascii="Arial" w:cs="Arial" w:eastAsia="Arial" w:hAnsi="Arial"/>
          <w:sz w:val="18"/>
          <w:szCs w:val="18"/>
          <w:b w:val="1"/>
          <w:bCs w:val="1"/>
          <w:color w:val="auto"/>
        </w:rPr>
      </w:pPr>
    </w:p>
    <w:p>
      <w:pPr>
        <w:ind w:left="720" w:right="2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no one customer accounted for more than 10% of the Company’s revenue. As of March 31, 2021 (unaudited), one customer accounted for approximately 10% of the Company’s accounts receivable.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2"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2021 (unaudited), and December 31, 2020 and 2019 (in thousands):</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9"/>
              </w:rPr>
              <w:t>(unaudited)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7"/>
                <w:szCs w:val="17"/>
                <w:color w:val="auto"/>
              </w:rPr>
            </w:pPr>
          </w:p>
        </w:tc>
        <w:tc>
          <w:tcPr>
            <w:tcW w:w="11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Tools inventory</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3"/>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2" w:lineRule="exact"/>
        <w:rPr>
          <w:rFonts w:ascii="Arial" w:cs="Arial" w:eastAsia="Arial" w:hAnsi="Arial"/>
          <w:sz w:val="18"/>
          <w:szCs w:val="18"/>
          <w:b w:val="1"/>
          <w:bCs w:val="1"/>
          <w:color w:val="auto"/>
        </w:rPr>
      </w:pPr>
    </w:p>
    <w:p>
      <w:pPr>
        <w:ind w:left="720" w:right="6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March 31, 2021 (unaudited), and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ind w:right="100"/>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hardware</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$ 1,107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Manufacturing equipment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2,603</w:t>
            </w: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2,603</w:t>
            </w:r>
          </w:p>
        </w:tc>
        <w:tc>
          <w:tcPr>
            <w:tcW w:w="180" w:type="dxa"/>
            <w:vAlign w:val="bottom"/>
          </w:tcPr>
          <w:p>
            <w:pPr>
              <w:spacing w:after="0"/>
              <w:rPr>
                <w:sz w:val="17"/>
                <w:szCs w:val="17"/>
                <w:color w:val="auto"/>
              </w:rPr>
            </w:pPr>
          </w:p>
        </w:tc>
        <w:tc>
          <w:tcPr>
            <w:tcW w:w="84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2,624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8,123</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Patent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17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8"/>
              </w:rPr>
              <w:t>Shorter of useful</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life or lease 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8"/>
                <w:szCs w:val="18"/>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8"/>
              </w:rPr>
              <w:t>13,727</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(8,280)</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(7,614)</w:t>
            </w:r>
          </w:p>
        </w:tc>
        <w:tc>
          <w:tcPr>
            <w:tcW w:w="180" w:type="dxa"/>
            <w:vAlign w:val="bottom"/>
          </w:tcPr>
          <w:p>
            <w:pPr>
              <w:spacing w:after="0"/>
              <w:rPr>
                <w:sz w:val="18"/>
                <w:szCs w:val="18"/>
                <w:color w:val="auto"/>
              </w:rPr>
            </w:pPr>
          </w:p>
        </w:tc>
        <w:tc>
          <w:tcPr>
            <w:tcW w:w="8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6,671</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6,113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$ 4,216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120" w:type="dxa"/>
            <w:vAlign w:val="bottom"/>
            <w:gridSpan w:val="13"/>
          </w:tcPr>
          <w:p>
            <w:pPr>
              <w:jc w:val="right"/>
              <w:ind w:right="880"/>
              <w:spacing w:after="0"/>
              <w:rPr>
                <w:sz w:val="20"/>
                <w:szCs w:val="20"/>
                <w:color w:val="auto"/>
              </w:rPr>
            </w:pPr>
            <w:r>
              <w:rPr>
                <w:rFonts w:ascii="Arial" w:cs="Arial" w:eastAsia="Arial" w:hAnsi="Arial"/>
                <w:sz w:val="18"/>
                <w:szCs w:val="18"/>
                <w:color w:val="auto"/>
                <w:w w:val="99"/>
              </w:rPr>
              <w:t>Depreciation expense for the years ended December 31, 2020 and 2019 was as follows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20"/>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12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  230</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2"/>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  282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ind w:right="180"/>
              <w:spacing w:after="0" w:line="201" w:lineRule="exact"/>
              <w:rPr>
                <w:sz w:val="20"/>
                <w:szCs w:val="20"/>
                <w:color w:val="auto"/>
              </w:rPr>
            </w:pPr>
            <w:r>
              <w:rPr>
                <w:rFonts w:ascii="Arial" w:cs="Arial" w:eastAsia="Arial" w:hAnsi="Arial"/>
                <w:sz w:val="18"/>
                <w:szCs w:val="18"/>
                <w:color w:val="auto"/>
              </w:rPr>
              <w:t>23</w:t>
            </w:r>
          </w:p>
        </w:tc>
        <w:tc>
          <w:tcPr>
            <w:tcW w:w="900" w:type="dxa"/>
            <w:vAlign w:val="bottom"/>
            <w:gridSpan w:val="5"/>
          </w:tcPr>
          <w:p>
            <w:pPr>
              <w:jc w:val="right"/>
              <w:ind w:right="60"/>
              <w:spacing w:after="0" w:line="201"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support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193</w:t>
            </w:r>
          </w:p>
        </w:tc>
        <w:tc>
          <w:tcPr>
            <w:tcW w:w="90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Product development</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1,543</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298</w:t>
            </w:r>
          </w:p>
        </w:tc>
        <w:tc>
          <w:tcPr>
            <w:tcW w:w="90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gridSpan w:val="2"/>
          </w:tcPr>
          <w:p>
            <w:pPr>
              <w:spacing w:after="0"/>
              <w:rPr>
                <w:sz w:val="20"/>
                <w:szCs w:val="20"/>
                <w:color w:val="auto"/>
              </w:rPr>
            </w:pPr>
            <w:r>
              <w:rPr>
                <w:rFonts w:ascii="Arial" w:cs="Arial" w:eastAsia="Arial" w:hAnsi="Arial"/>
                <w:sz w:val="18"/>
                <w:szCs w:val="18"/>
                <w:color w:val="auto"/>
              </w:rPr>
              <w:t>Total depreciation expense</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2,287</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gridSpan w:val="3"/>
            <w:vMerge w:val="restart"/>
          </w:tcPr>
          <w:p>
            <w:pPr>
              <w:ind w:left="1080"/>
              <w:spacing w:after="0"/>
              <w:rPr>
                <w:sz w:val="20"/>
                <w:szCs w:val="20"/>
                <w:color w:val="auto"/>
              </w:rPr>
            </w:pPr>
            <w:r>
              <w:rPr>
                <w:rFonts w:ascii="Arial" w:cs="Arial" w:eastAsia="Arial" w:hAnsi="Arial"/>
                <w:sz w:val="18"/>
                <w:szCs w:val="18"/>
                <w:color w:val="auto"/>
              </w:rPr>
              <w:t>F-17</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56" w:right="7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right"/>
              <w:ind w:right="151"/>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w:t>
            </w: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570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287</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666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452</w:t>
            </w:r>
          </w:p>
        </w:tc>
      </w:tr>
      <w:tr>
        <w:trPr>
          <w:trHeight w:val="20"/>
        </w:trPr>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ind w:left="700" w:hanging="533"/>
        <w:spacing w:after="0"/>
        <w:tabs>
          <w:tab w:leader="none" w:pos="7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2"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and for the quarters ended March 31, 2021 and 2020 (unaudited) was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3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40"/>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196</w:t>
            </w: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4"/>
              </w:rPr>
              <w:t>$169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1,024</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4120" w:type="dxa"/>
            <w:vAlign w:val="bottom"/>
            <w:gridSpan w:val="5"/>
            <w:shd w:val="clear" w:color="auto" w:fill="CCEEFF"/>
          </w:tcPr>
          <w:p>
            <w:pPr>
              <w:jc w:val="right"/>
              <w:ind w:right="4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240" w:type="dxa"/>
            <w:vAlign w:val="bottom"/>
            <w:gridSpan w:val="2"/>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55"/>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33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282</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324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318</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200"/>
        <w:spacing w:after="0" w:line="239" w:lineRule="auto"/>
        <w:rPr>
          <w:sz w:val="20"/>
          <w:szCs w:val="20"/>
          <w:color w:val="auto"/>
        </w:rPr>
      </w:pPr>
      <w:r>
        <w:rPr>
          <w:rFonts w:ascii="Arial" w:cs="Arial" w:eastAsia="Arial" w:hAnsi="Arial"/>
          <w:sz w:val="18"/>
          <w:szCs w:val="18"/>
          <w:color w:val="auto"/>
        </w:rPr>
        <w:t>The following table includes supplemental cash and non-cash information related to Xometry’s leases during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9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1"/>
        </w:trPr>
        <w:tc>
          <w:tcPr>
            <w:tcW w:w="794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1640" w:type="dxa"/>
            <w:vAlign w:val="bottom"/>
            <w:gridSpan w:val="3"/>
          </w:tcPr>
          <w:p>
            <w:pPr>
              <w:jc w:val="right"/>
              <w:ind w:right="460"/>
              <w:spacing w:after="0" w:line="201" w:lineRule="exact"/>
              <w:rPr>
                <w:sz w:val="20"/>
                <w:szCs w:val="20"/>
                <w:color w:val="auto"/>
              </w:rPr>
            </w:pPr>
            <w:r>
              <w:rPr>
                <w:rFonts w:ascii="Arial" w:cs="Arial" w:eastAsia="Arial" w:hAnsi="Arial"/>
                <w:sz w:val="18"/>
                <w:szCs w:val="18"/>
                <w:color w:val="auto"/>
              </w:rPr>
              <w:t>$1,222</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$724</w:t>
            </w:r>
          </w:p>
        </w:tc>
      </w:tr>
      <w:tr>
        <w:trPr>
          <w:trHeight w:val="201"/>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1640" w:type="dxa"/>
            <w:vAlign w:val="bottom"/>
            <w:gridSpan w:val="3"/>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164</w:t>
            </w:r>
          </w:p>
        </w:tc>
      </w:tr>
      <w:tr>
        <w:trPr>
          <w:trHeight w:val="200"/>
        </w:trPr>
        <w:tc>
          <w:tcPr>
            <w:tcW w:w="7940" w:type="dxa"/>
            <w:vAlign w:val="bottom"/>
          </w:tcPr>
          <w:p>
            <w:pPr>
              <w:spacing w:after="0" w:line="200" w:lineRule="exact"/>
              <w:rPr>
                <w:sz w:val="20"/>
                <w:szCs w:val="20"/>
                <w:color w:val="auto"/>
              </w:rPr>
            </w:pPr>
            <w:r>
              <w:rPr>
                <w:rFonts w:ascii="Arial" w:cs="Arial" w:eastAsia="Arial" w:hAnsi="Arial"/>
                <w:sz w:val="18"/>
                <w:szCs w:val="18"/>
                <w:color w:val="auto"/>
              </w:rPr>
              <w:t>New operating lease right-of-use assets obtained, excluding the amount initially capitalized in</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8"/>
                <w:szCs w:val="18"/>
                <w:color w:val="auto"/>
              </w:rPr>
              <w:t>conjunction with the adoption of Topic 842</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bl>
    <w:p>
      <w:pPr>
        <w:spacing w:after="0" w:line="201"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The following table (unaudited) includes supplemental cash information related to Xometry’s leases for the quarters ended March 31, 2021 and 2020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7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7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71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22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$295</w:t>
            </w: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$303</w:t>
            </w:r>
          </w:p>
        </w:tc>
      </w:tr>
      <w:tr>
        <w:trPr>
          <w:trHeight w:val="201"/>
        </w:trPr>
        <w:tc>
          <w:tcPr>
            <w:tcW w:w="7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220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w:t>
            </w:r>
          </w:p>
        </w:tc>
      </w:tr>
      <w:tr>
        <w:trPr>
          <w:trHeight w:val="360"/>
        </w:trPr>
        <w:tc>
          <w:tcPr>
            <w:tcW w:w="7140" w:type="dxa"/>
            <w:vAlign w:val="bottom"/>
          </w:tcPr>
          <w:p>
            <w:pPr>
              <w:ind w:left="4840"/>
              <w:spacing w:after="0"/>
              <w:rPr>
                <w:sz w:val="20"/>
                <w:szCs w:val="20"/>
                <w:color w:val="auto"/>
              </w:rPr>
            </w:pPr>
            <w:r>
              <w:rPr>
                <w:rFonts w:ascii="Arial" w:cs="Arial" w:eastAsia="Arial" w:hAnsi="Arial"/>
                <w:sz w:val="18"/>
                <w:szCs w:val="18"/>
                <w:color w:val="auto"/>
              </w:rPr>
              <w:t>F-18</w:t>
            </w: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320" w:top="456" w:right="6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December 31, 2020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2021</w:t>
            </w:r>
          </w:p>
        </w:tc>
        <w:tc>
          <w:tcPr>
            <w:tcW w:w="16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1,153</w:t>
            </w:r>
          </w:p>
        </w:tc>
        <w:tc>
          <w:tcPr>
            <w:tcW w:w="1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gridSpan w:val="2"/>
          </w:tcPr>
          <w:p>
            <w:pPr>
              <w:jc w:val="right"/>
              <w:ind w:right="1200"/>
              <w:spacing w:after="0" w:line="201" w:lineRule="exact"/>
              <w:rPr>
                <w:sz w:val="20"/>
                <w:szCs w:val="20"/>
                <w:color w:val="auto"/>
              </w:rPr>
            </w:pPr>
            <w:r>
              <w:rPr>
                <w:rFonts w:ascii="Arial" w:cs="Arial" w:eastAsia="Arial" w:hAnsi="Arial"/>
                <w:sz w:val="18"/>
                <w:szCs w:val="18"/>
                <w:color w:val="auto"/>
              </w:rPr>
              <w:t>557</w:t>
            </w: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200"/>
              <w:spacing w:after="0" w:line="201" w:lineRule="exact"/>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1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200"/>
              <w:spacing w:after="0" w:line="201" w:lineRule="exact"/>
              <w:rPr>
                <w:sz w:val="20"/>
                <w:szCs w:val="20"/>
                <w:color w:val="auto"/>
              </w:rPr>
            </w:pPr>
            <w:r>
              <w:rPr>
                <w:rFonts w:ascii="Arial" w:cs="Arial" w:eastAsia="Arial" w:hAnsi="Arial"/>
                <w:sz w:val="18"/>
                <w:szCs w:val="18"/>
                <w:color w:val="auto"/>
              </w:rPr>
              <w:t>2,403</w:t>
            </w: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272</w:t>
            </w: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2,131</w:t>
            </w: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March 31, 2021 (unaudited)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80"/>
              <w:spacing w:after="0" w:line="154" w:lineRule="exact"/>
              <w:rPr>
                <w:sz w:val="20"/>
                <w:szCs w:val="20"/>
                <w:color w:val="auto"/>
              </w:rPr>
            </w:pPr>
            <w:r>
              <w:rPr>
                <w:rFonts w:ascii="Arial" w:cs="Arial" w:eastAsia="Arial" w:hAnsi="Arial"/>
                <w:sz w:val="14"/>
                <w:szCs w:val="14"/>
                <w:b w:val="1"/>
                <w:bCs w:val="1"/>
                <w:color w:val="auto"/>
              </w:rPr>
              <w:t>(unaudited)</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2021</w:t>
            </w:r>
          </w:p>
        </w:tc>
        <w:tc>
          <w:tcPr>
            <w:tcW w:w="2120" w:type="dxa"/>
            <w:vAlign w:val="bottom"/>
            <w:gridSpan w:val="2"/>
            <w:shd w:val="clear" w:color="auto" w:fill="CCEEFF"/>
          </w:tcPr>
          <w:p>
            <w:pPr>
              <w:ind w:left="16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844</w:t>
            </w: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557</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362</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2,094</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229</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1,865</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10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2020 and 2019:</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520" w:type="dxa"/>
            <w:vAlign w:val="bottom"/>
          </w:tcPr>
          <w:p>
            <w:pPr>
              <w:spacing w:after="0"/>
              <w:rPr>
                <w:sz w:val="15"/>
                <w:szCs w:val="15"/>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5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5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 average remaining lease term (in years)</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6"/>
                <w:szCs w:val="16"/>
                <w:color w:val="auto"/>
              </w:rPr>
            </w:pPr>
          </w:p>
        </w:tc>
      </w:tr>
      <w:tr>
        <w:trPr>
          <w:trHeight w:val="213"/>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200" w:lineRule="exact"/>
        <w:rPr>
          <w:sz w:val="20"/>
          <w:szCs w:val="20"/>
          <w:color w:val="auto"/>
        </w:rPr>
      </w:pPr>
    </w:p>
    <w:p>
      <w:pPr>
        <w:ind w:left="720" w:right="52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 for Xometry’s leases as of March 31, 2021 (unaudited):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90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9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3"/>
                <w:szCs w:val="13"/>
                <w:color w:val="auto"/>
              </w:rPr>
            </w:pPr>
          </w:p>
        </w:tc>
      </w:tr>
      <w:tr>
        <w:trPr>
          <w:trHeight w:val="154"/>
        </w:trPr>
        <w:tc>
          <w:tcPr>
            <w:tcW w:w="90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1"/>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remaining lease term (in years)</w:t>
            </w: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2.6</w:t>
            </w:r>
          </w:p>
        </w:tc>
      </w:tr>
      <w:tr>
        <w:trPr>
          <w:trHeight w:val="213"/>
        </w:trPr>
        <w:tc>
          <w:tcPr>
            <w:tcW w:w="9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326" w:lineRule="exact"/>
        <w:rPr>
          <w:sz w:val="20"/>
          <w:szCs w:val="20"/>
          <w:color w:val="auto"/>
        </w:rPr>
      </w:pPr>
    </w:p>
    <w:p>
      <w:pPr>
        <w:ind w:left="700" w:hanging="533"/>
        <w:spacing w:after="0"/>
        <w:tabs>
          <w:tab w:leader="none" w:pos="7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2" w:lineRule="exact"/>
        <w:rPr>
          <w:rFonts w:ascii="Arial" w:cs="Arial" w:eastAsia="Arial" w:hAnsi="Arial"/>
          <w:sz w:val="18"/>
          <w:szCs w:val="18"/>
          <w:b w:val="1"/>
          <w:bCs w:val="1"/>
          <w:color w:val="auto"/>
        </w:rPr>
      </w:pPr>
    </w:p>
    <w:p>
      <w:pPr>
        <w:ind w:left="7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940"/>
          </w:cols>
          <w:pgMar w:left="320" w:top="456" w:right="6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2"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03" w:lineRule="exact"/>
        <w:rPr>
          <w:rFonts w:ascii="Arial" w:cs="Arial" w:eastAsia="Arial" w:hAnsi="Arial"/>
          <w:sz w:val="18"/>
          <w:szCs w:val="18"/>
          <w:b w:val="1"/>
          <w:bCs w:val="1"/>
          <w:color w:val="auto"/>
        </w:rPr>
      </w:pPr>
    </w:p>
    <w:p>
      <w:pPr>
        <w:ind w:left="72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50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4"/>
                <w:szCs w:val="24"/>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Authorized</w:t>
            </w: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2,188,322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4,132,055</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20,764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5,494,064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54,933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32,693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6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500" w:type="dxa"/>
            <w:vAlign w:val="bottom"/>
          </w:tcPr>
          <w:p>
            <w:pPr>
              <w:spacing w:after="0"/>
              <w:rPr>
                <w:sz w:val="20"/>
                <w:szCs w:val="20"/>
                <w:color w:val="auto"/>
              </w:rPr>
            </w:pPr>
            <w:r>
              <w:rPr>
                <w:rFonts w:ascii="Arial" w:cs="Arial" w:eastAsia="Arial" w:hAnsi="Arial"/>
                <w:sz w:val="14"/>
                <w:szCs w:val="14"/>
                <w:color w:val="auto"/>
              </w:rPr>
              <w:t>Totals</w:t>
            </w:r>
          </w:p>
        </w:tc>
        <w:tc>
          <w:tcPr>
            <w:tcW w:w="800" w:type="dxa"/>
            <w:vAlign w:val="bottom"/>
          </w:tcPr>
          <w:p>
            <w:pPr>
              <w:jc w:val="right"/>
              <w:spacing w:after="0"/>
              <w:rPr>
                <w:sz w:val="20"/>
                <w:szCs w:val="20"/>
                <w:color w:val="auto"/>
              </w:rPr>
            </w:pPr>
            <w:r>
              <w:rPr>
                <w:rFonts w:ascii="Arial" w:cs="Arial" w:eastAsia="Arial" w:hAnsi="Arial"/>
                <w:sz w:val="14"/>
                <w:szCs w:val="14"/>
                <w:color w:val="auto"/>
              </w:rPr>
              <w:t>27,970,966</w:t>
            </w:r>
          </w:p>
        </w:tc>
        <w:tc>
          <w:tcPr>
            <w:tcW w:w="4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27,758,941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163,520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600" w:right="60" w:hanging="433"/>
        <w:spacing w:after="0" w:line="254" w:lineRule="auto"/>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This table reflects the numbers of authorized and outstanding shares in the Convertible Preferred Stock, with their total respective liquidation preferences as of March 31, 2021 (unaudited).</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w w:val="98"/>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Authorized</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2,188,322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4,211,094</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1,591,230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6,957</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4,132,055</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18,846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18,612</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3,754,201</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24,756</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54,929</w:t>
            </w:r>
          </w:p>
        </w:tc>
      </w:tr>
      <w:tr>
        <w:trPr>
          <w:trHeight w:val="27"/>
        </w:trPr>
        <w:tc>
          <w:tcPr>
            <w:tcW w:w="6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25,676,902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25,483,182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121,156</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1"/>
        </w:trPr>
        <w:tc>
          <w:tcPr>
            <w:tcW w:w="2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rPr>
              <w:t>Cash Paid to</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Reacquire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29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Repurchased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2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40"/>
        </w:trPr>
        <w:tc>
          <w:tcPr>
            <w:tcW w:w="29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Series:</w:t>
            </w: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5"/>
        </w:trPr>
        <w:tc>
          <w:tcPr>
            <w:tcW w:w="2940" w:type="dxa"/>
            <w:vAlign w:val="bottom"/>
          </w:tcPr>
          <w:p>
            <w:pPr>
              <w:ind w:left="300"/>
              <w:spacing w:after="0"/>
              <w:rPr>
                <w:sz w:val="20"/>
                <w:szCs w:val="20"/>
                <w:color w:val="auto"/>
              </w:rPr>
            </w:pPr>
            <w:r>
              <w:rPr>
                <w:rFonts w:ascii="Arial" w:cs="Arial" w:eastAsia="Arial" w:hAnsi="Arial"/>
                <w:sz w:val="14"/>
                <w:szCs w:val="14"/>
                <w:color w:val="auto"/>
              </w:rPr>
              <w:t>Series Seed-1 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940" w:type="dxa"/>
            <w:vAlign w:val="bottom"/>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line="156" w:lineRule="exact"/>
              <w:rPr>
                <w:sz w:val="20"/>
                <w:szCs w:val="20"/>
                <w:color w:val="auto"/>
              </w:rPr>
            </w:pPr>
            <w:r>
              <w:rPr>
                <w:rFonts w:ascii="Arial" w:cs="Arial" w:eastAsia="Arial" w:hAnsi="Arial"/>
                <w:sz w:val="14"/>
                <w:szCs w:val="14"/>
                <w:color w:val="auto"/>
              </w:rPr>
              <w:t>4,200,000</w:t>
            </w:r>
          </w:p>
        </w:tc>
        <w:tc>
          <w:tcPr>
            <w:tcW w:w="80" w:type="dxa"/>
            <w:vAlign w:val="bottom"/>
          </w:tcPr>
          <w:p>
            <w:pPr>
              <w:spacing w:after="0"/>
              <w:rPr>
                <w:sz w:val="13"/>
                <w:szCs w:val="13"/>
                <w:color w:val="auto"/>
              </w:rPr>
            </w:pP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4,200</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4,200</w:t>
            </w:r>
          </w:p>
        </w:tc>
      </w:tr>
      <w:tr>
        <w:trPr>
          <w:trHeight w:val="165"/>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29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2,188,322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2,998</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4,211,094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8,704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(1,136,622)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1,136,622</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1,591,230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10,883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(390,152)</w:t>
            </w:r>
          </w:p>
        </w:tc>
        <w:tc>
          <w:tcPr>
            <w:tcW w:w="800" w:type="dxa"/>
            <w:vAlign w:val="bottom"/>
          </w:tcPr>
          <w:p>
            <w:pPr>
              <w:jc w:val="right"/>
              <w:spacing w:after="0"/>
              <w:rPr>
                <w:sz w:val="20"/>
                <w:szCs w:val="20"/>
                <w:color w:val="auto"/>
              </w:rPr>
            </w:pPr>
            <w:r>
              <w:rPr>
                <w:rFonts w:ascii="Arial" w:cs="Arial" w:eastAsia="Arial" w:hAnsi="Arial"/>
                <w:sz w:val="14"/>
                <w:szCs w:val="14"/>
                <w:color w:val="auto"/>
              </w:rPr>
              <w:t>390,152</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4,044,271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18,612</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(405,453)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405,453</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3,754,201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(314,659)</w:t>
            </w:r>
          </w:p>
        </w:tc>
        <w:tc>
          <w:tcPr>
            <w:tcW w:w="800" w:type="dxa"/>
            <w:vAlign w:val="bottom"/>
          </w:tcPr>
          <w:p>
            <w:pPr>
              <w:jc w:val="right"/>
              <w:spacing w:after="0"/>
              <w:rPr>
                <w:sz w:val="20"/>
                <w:szCs w:val="20"/>
                <w:color w:val="auto"/>
              </w:rPr>
            </w:pPr>
            <w:r>
              <w:rPr>
                <w:rFonts w:ascii="Arial" w:cs="Arial" w:eastAsia="Arial" w:hAnsi="Arial"/>
                <w:sz w:val="14"/>
                <w:szCs w:val="14"/>
                <w:color w:val="auto"/>
              </w:rPr>
              <w:t>314,659</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5,494,064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54,929</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(3,150)</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2,275,759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30,757</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2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25,483,182</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(2,246,886)</w:t>
            </w:r>
          </w:p>
        </w:tc>
        <w:tc>
          <w:tcPr>
            <w:tcW w:w="800" w:type="dxa"/>
            <w:vAlign w:val="bottom"/>
          </w:tcPr>
          <w:p>
            <w:pPr>
              <w:jc w:val="right"/>
              <w:spacing w:after="0"/>
              <w:rPr>
                <w:sz w:val="20"/>
                <w:szCs w:val="20"/>
                <w:color w:val="auto"/>
              </w:rPr>
            </w:pPr>
            <w:r>
              <w:rPr>
                <w:rFonts w:ascii="Arial" w:cs="Arial" w:eastAsia="Arial" w:hAnsi="Arial"/>
                <w:sz w:val="14"/>
                <w:szCs w:val="14"/>
                <w:color w:val="auto"/>
              </w:rPr>
              <w:t>4,522,645</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27,758,941</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121,156</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(12,852)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52,409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Deemed dividend paid to preferred</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4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stockholders</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(8,801)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(21,653)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1340" w:hanging="638"/>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23"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87" w:lineRule="exact"/>
        <w:rPr>
          <w:sz w:val="20"/>
          <w:szCs w:val="20"/>
          <w:color w:val="auto"/>
        </w:rPr>
      </w:pPr>
    </w:p>
    <w:p>
      <w:pPr>
        <w:ind w:left="1340" w:hanging="638"/>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23" w:lineRule="exact"/>
        <w:rPr>
          <w:sz w:val="20"/>
          <w:szCs w:val="20"/>
          <w:color w:val="auto"/>
        </w:rPr>
      </w:pPr>
    </w:p>
    <w:p>
      <w:pPr>
        <w:ind w:left="1360" w:right="40"/>
        <w:spacing w:after="0" w:line="235" w:lineRule="auto"/>
        <w:rPr>
          <w:sz w:val="20"/>
          <w:szCs w:val="20"/>
          <w:color w:val="auto"/>
        </w:rPr>
      </w:pPr>
      <w:r>
        <w:rPr>
          <w:rFonts w:ascii="Arial" w:cs="Arial" w:eastAsia="Arial" w:hAnsi="Arial"/>
          <w:sz w:val="18"/>
          <w:szCs w:val="18"/>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87" w:lineRule="exact"/>
        <w:rPr>
          <w:sz w:val="20"/>
          <w:szCs w:val="20"/>
          <w:color w:val="auto"/>
        </w:rPr>
      </w:pPr>
    </w:p>
    <w:p>
      <w:pPr>
        <w:ind w:left="1340" w:hanging="638"/>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89" w:lineRule="exact"/>
        <w:rPr>
          <w:sz w:val="20"/>
          <w:szCs w:val="20"/>
          <w:color w:val="auto"/>
        </w:rPr>
      </w:pPr>
    </w:p>
    <w:p>
      <w:pPr>
        <w:ind w:left="1340" w:hanging="638"/>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23" w:lineRule="exact"/>
        <w:rPr>
          <w:sz w:val="20"/>
          <w:szCs w:val="20"/>
          <w:color w:val="auto"/>
        </w:rPr>
      </w:pPr>
    </w:p>
    <w:p>
      <w:pPr>
        <w:ind w:left="1360" w:right="140"/>
        <w:spacing w:after="0" w:line="236"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 unpaid dividends. After payment of the amounts above, if assets or funds remain in the Company, all remaining assets and funds shall be distributed pro rata among holders of common stock.</w:t>
      </w:r>
    </w:p>
    <w:p>
      <w:pPr>
        <w:spacing w:after="0" w:line="87" w:lineRule="exact"/>
        <w:rPr>
          <w:sz w:val="20"/>
          <w:szCs w:val="20"/>
          <w:color w:val="auto"/>
        </w:rPr>
      </w:pPr>
    </w:p>
    <w:p>
      <w:pPr>
        <w:ind w:left="1340" w:hanging="638"/>
        <w:spacing w:after="0"/>
        <w:tabs>
          <w:tab w:leader="none" w:pos="134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23" w:lineRule="exact"/>
        <w:rPr>
          <w:sz w:val="20"/>
          <w:szCs w:val="20"/>
          <w:color w:val="auto"/>
        </w:rPr>
      </w:pPr>
    </w:p>
    <w:p>
      <w:pPr>
        <w:ind w:left="1360" w:right="40"/>
        <w:spacing w:after="0" w:line="234" w:lineRule="auto"/>
        <w:rPr>
          <w:sz w:val="20"/>
          <w:szCs w:val="20"/>
          <w:color w:val="auto"/>
        </w:rPr>
      </w:pPr>
      <w:r>
        <w:rPr>
          <w:rFonts w:ascii="Arial" w:cs="Arial" w:eastAsia="Arial" w:hAnsi="Arial"/>
          <w:sz w:val="18"/>
          <w:szCs w:val="18"/>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28" w:lineRule="exact"/>
        <w:rPr>
          <w:sz w:val="20"/>
          <w:szCs w:val="20"/>
          <w:color w:val="auto"/>
        </w:rPr>
      </w:pPr>
    </w:p>
    <w:p>
      <w:pPr>
        <w:ind w:left="700" w:hanging="533"/>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2" w:lineRule="exact"/>
        <w:rPr>
          <w:rFonts w:ascii="Arial" w:cs="Arial" w:eastAsia="Arial" w:hAnsi="Arial"/>
          <w:sz w:val="18"/>
          <w:szCs w:val="18"/>
          <w:b w:val="1"/>
          <w:bCs w:val="1"/>
          <w:color w:val="auto"/>
        </w:rPr>
      </w:pPr>
    </w:p>
    <w:p>
      <w:pPr>
        <w:ind w:left="720" w:right="1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95"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As of December 31, 2020 and 2019, there were 203,535 and 1,200,489 shares available for the Company to grant under the 2016 Equity Incentive Plan. As of March 31, 2021, there were 121,414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r>
      <w:tr>
        <w:trPr>
          <w:trHeight w:val="181"/>
        </w:trPr>
        <w:tc>
          <w:tcPr>
            <w:tcW w:w="82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 %</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48%</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w:t>
            </w: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term (years)</w:t>
            </w:r>
          </w:p>
        </w:tc>
        <w:tc>
          <w:tcPr>
            <w:tcW w:w="86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6.0</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0.5%</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w:t>
            </w:r>
          </w:p>
        </w:tc>
      </w:tr>
      <w:tr>
        <w:trPr>
          <w:trHeight w:val="213"/>
        </w:trPr>
        <w:tc>
          <w:tcPr>
            <w:tcW w:w="824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A summary of the status of the Company’s stock option activity and the changes during the quarter and/or years then ended are as follows (in millions, except share and per share amounts):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2,251,098</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1.33</w:t>
            </w:r>
          </w:p>
        </w:tc>
        <w:tc>
          <w:tcPr>
            <w:tcW w:w="6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1,170,598</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3.18</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(455,665)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(336,784)</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1.65</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December 31, 2019</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992,914</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Balance at December 31, 2019</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2,620,527</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1,144,457</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3.98</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(492,839)</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(131,129)</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(15,413)</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1.46</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3,125,603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Exercisable at December 31, 2020</w:t>
            </w:r>
          </w:p>
        </w:tc>
        <w:tc>
          <w:tcPr>
            <w:tcW w:w="1540" w:type="dxa"/>
            <w:vAlign w:val="bottom"/>
            <w:gridSpan w:val="2"/>
          </w:tcPr>
          <w:p>
            <w:pPr>
              <w:jc w:val="right"/>
              <w:ind w:right="680"/>
              <w:spacing w:after="0" w:line="195" w:lineRule="exact"/>
              <w:rPr>
                <w:sz w:val="20"/>
                <w:szCs w:val="20"/>
                <w:color w:val="auto"/>
              </w:rPr>
            </w:pPr>
            <w:r>
              <w:rPr>
                <w:rFonts w:ascii="Arial" w:cs="Arial" w:eastAsia="Arial" w:hAnsi="Arial"/>
                <w:sz w:val="18"/>
                <w:szCs w:val="18"/>
                <w:color w:val="auto"/>
              </w:rPr>
              <w:t>1,193,301</w:t>
            </w:r>
          </w:p>
        </w:tc>
        <w:tc>
          <w:tcPr>
            <w:tcW w:w="140" w:type="dxa"/>
            <w:vAlign w:val="bottom"/>
          </w:tcPr>
          <w:p>
            <w:pPr>
              <w:spacing w:after="0"/>
              <w:rPr>
                <w:sz w:val="16"/>
                <w:szCs w:val="16"/>
                <w:color w:val="auto"/>
              </w:rPr>
            </w:pPr>
          </w:p>
        </w:tc>
        <w:tc>
          <w:tcPr>
            <w:tcW w:w="14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2.14</w:t>
            </w:r>
          </w:p>
        </w:tc>
        <w:tc>
          <w:tcPr>
            <w:tcW w:w="112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7.2</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2.8</w:t>
            </w: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3,151,270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w:t>
            </w: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85,050</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10.93</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(474,054)</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(12,913)</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3.52</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2.02</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March 31, 2021 (unaudited)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2,742,441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March 31, 2021 (unaudited)</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933,378</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7.6</w:t>
            </w:r>
          </w:p>
        </w:tc>
        <w:tc>
          <w:tcPr>
            <w:tcW w:w="460" w:type="dxa"/>
            <w:vAlign w:val="bottom"/>
            <w:gridSpan w:val="2"/>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8.6</w:t>
            </w:r>
          </w:p>
        </w:tc>
      </w:tr>
    </w:tbl>
    <w:p>
      <w:pPr>
        <w:spacing w:after="0" w:line="213" w:lineRule="exact"/>
        <w:rPr>
          <w:sz w:val="20"/>
          <w:szCs w:val="20"/>
          <w:color w:val="auto"/>
        </w:rPr>
      </w:pPr>
    </w:p>
    <w:p>
      <w:pPr>
        <w:ind w:left="720" w:right="140"/>
        <w:spacing w:after="0" w:line="237" w:lineRule="auto"/>
        <w:rPr>
          <w:sz w:val="20"/>
          <w:szCs w:val="20"/>
          <w:color w:val="auto"/>
        </w:rPr>
      </w:pPr>
      <w:r>
        <w:rPr>
          <w:rFonts w:ascii="Arial" w:cs="Arial" w:eastAsia="Arial" w:hAnsi="Arial"/>
          <w:sz w:val="18"/>
          <w:szCs w:val="18"/>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20"/>
          </w:cols>
          <w:pgMar w:left="320" w:top="456" w:right="5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grant date fair value of options granted during the quarter ended March 31, 2021 was $5.39 (unaudited).</w:t>
      </w:r>
    </w:p>
    <w:p>
      <w:pPr>
        <w:ind w:left="720"/>
        <w:spacing w:after="0"/>
        <w:rPr>
          <w:sz w:val="20"/>
          <w:szCs w:val="20"/>
          <w:color w:val="auto"/>
        </w:rPr>
      </w:pPr>
      <w:r>
        <w:rPr>
          <w:rFonts w:ascii="Arial" w:cs="Arial" w:eastAsia="Arial" w:hAnsi="Arial"/>
          <w:sz w:val="18"/>
          <w:szCs w:val="18"/>
          <w:color w:val="auto"/>
        </w:rPr>
        <w:t>The total intrinsic value of options exercised during the quarter ended March 31, 2021 was $5.0 million (unaudited).</w:t>
      </w:r>
    </w:p>
    <w:p>
      <w:pPr>
        <w:spacing w:after="0" w:line="101" w:lineRule="exact"/>
        <w:rPr>
          <w:sz w:val="20"/>
          <w:szCs w:val="20"/>
          <w:color w:val="auto"/>
        </w:rPr>
      </w:pPr>
    </w:p>
    <w:p>
      <w:pPr>
        <w:ind w:left="720" w:right="340"/>
        <w:spacing w:after="0" w:line="237" w:lineRule="auto"/>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1.21 years and 1.26 years at December 31, 2020 and 2019, respectively.</w:t>
      </w:r>
    </w:p>
    <w:p>
      <w:pPr>
        <w:spacing w:after="0" w:line="96"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At March 31, 2021 (unaudited), there was $2.7 million of total unrecognized compensation cost related to unvested stock options granted under the 2016 Equity Incentive Plan. That cost is expected to be recognized over a weighted average period of 1.15 years at March 31, 2021 (unaudited).</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333" w:lineRule="exact"/>
        <w:rPr>
          <w:sz w:val="20"/>
          <w:szCs w:val="20"/>
          <w:color w:val="auto"/>
        </w:rPr>
      </w:pPr>
    </w:p>
    <w:p>
      <w:pPr>
        <w:ind w:left="700" w:hanging="533"/>
        <w:spacing w:after="0"/>
        <w:tabs>
          <w:tab w:leader="none" w:pos="7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2"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 or for the quarter ended March 31, 2021 (unaudited).</w:t>
      </w:r>
    </w:p>
    <w:p>
      <w:pPr>
        <w:spacing w:after="0" w:line="9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3420" w:type="dxa"/>
            <w:vAlign w:val="bottom"/>
            <w:tcBorders>
              <w:bottom w:val="single" w:sz="8" w:color="CCEEFF"/>
            </w:tcBorders>
          </w:tcPr>
          <w:p>
            <w:pPr>
              <w:spacing w:after="0"/>
              <w:rPr>
                <w:sz w:val="13"/>
                <w:szCs w:val="13"/>
                <w:color w:val="auto"/>
              </w:rPr>
            </w:pPr>
          </w:p>
        </w:tc>
        <w:tc>
          <w:tcPr>
            <w:tcW w:w="506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2020</w:t>
            </w:r>
          </w:p>
        </w:tc>
        <w:tc>
          <w:tcPr>
            <w:tcW w:w="7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3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Federal tax statutory rate</w:t>
            </w:r>
          </w:p>
        </w:tc>
        <w:tc>
          <w:tcPr>
            <w:tcW w:w="50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w:t>
            </w:r>
          </w:p>
        </w:tc>
      </w:t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Foreign rate difference</w:t>
            </w:r>
          </w:p>
        </w:tc>
        <w:tc>
          <w:tcPr>
            <w:tcW w:w="6080" w:type="dxa"/>
            <w:vAlign w:val="bottom"/>
            <w:gridSpan w:val="3"/>
          </w:tcPr>
          <w:p>
            <w:pPr>
              <w:jc w:val="right"/>
              <w:ind w:right="700"/>
              <w:spacing w:after="0" w:line="201" w:lineRule="exact"/>
              <w:rPr>
                <w:sz w:val="20"/>
                <w:szCs w:val="20"/>
                <w:color w:val="auto"/>
              </w:rPr>
            </w:pPr>
            <w:r>
              <w:rPr>
                <w:rFonts w:ascii="Arial" w:cs="Arial" w:eastAsia="Arial" w:hAnsi="Arial"/>
                <w:sz w:val="18"/>
                <w:szCs w:val="18"/>
                <w:color w:val="auto"/>
              </w:rPr>
              <w:t>3</w:t>
            </w:r>
          </w:p>
        </w:tc>
        <w:tc>
          <w:tcPr>
            <w:tcW w:w="5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t>
            </w:r>
          </w:p>
        </w:tc>
      </w:tr>
      <w:tr>
        <w:trPr>
          <w:trHeight w:val="214"/>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6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Valuation allowance</w:t>
            </w:r>
          </w:p>
        </w:tc>
        <w:tc>
          <w:tcPr>
            <w:tcW w:w="5060" w:type="dxa"/>
            <w:vAlign w:val="bottom"/>
          </w:tcPr>
          <w:p>
            <w:pPr>
              <w:spacing w:after="0"/>
              <w:rPr>
                <w:sz w:val="17"/>
                <w:szCs w:val="17"/>
                <w:color w:val="auto"/>
              </w:rPr>
            </w:pPr>
          </w:p>
        </w:tc>
        <w:tc>
          <w:tcPr>
            <w:tcW w:w="10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w:t>
            </w:r>
          </w:p>
        </w:tc>
      </w:tr>
      <w:tr>
        <w:trPr>
          <w:trHeight w:val="27"/>
        </w:trPr>
        <w:tc>
          <w:tcPr>
            <w:tcW w:w="34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342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 %</w:t>
            </w:r>
          </w:p>
        </w:tc>
      </w:tr>
      <w:tr>
        <w:trPr>
          <w:trHeight w:val="20"/>
        </w:trPr>
        <w:tc>
          <w:tcPr>
            <w:tcW w:w="3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3"/>
        </w:trPr>
        <w:tc>
          <w:tcPr>
            <w:tcW w:w="3420" w:type="dxa"/>
            <w:vAlign w:val="bottom"/>
          </w:tcPr>
          <w:p>
            <w:pPr>
              <w:spacing w:after="0"/>
              <w:rPr>
                <w:sz w:val="24"/>
                <w:szCs w:val="24"/>
                <w:color w:val="auto"/>
              </w:rPr>
            </w:pPr>
          </w:p>
        </w:tc>
        <w:tc>
          <w:tcPr>
            <w:tcW w:w="6080" w:type="dxa"/>
            <w:vAlign w:val="bottom"/>
            <w:gridSpan w:val="3"/>
          </w:tcPr>
          <w:p>
            <w:pPr>
              <w:jc w:val="right"/>
              <w:ind w:right="4300"/>
              <w:spacing w:after="0"/>
              <w:rPr>
                <w:sz w:val="20"/>
                <w:szCs w:val="20"/>
                <w:color w:val="auto"/>
              </w:rPr>
            </w:pPr>
            <w:r>
              <w:rPr>
                <w:rFonts w:ascii="Arial" w:cs="Arial" w:eastAsia="Arial" w:hAnsi="Arial"/>
                <w:sz w:val="18"/>
                <w:szCs w:val="18"/>
                <w:color w:val="auto"/>
              </w:rPr>
              <w:t>F-24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720"/>
        <w:spacing w:after="0" w:line="237"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Deferred tax assets:</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Deferred rent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Sec. 163(j) interest limitation carryforward</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390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doubtful accounts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operating loss</w:t>
            </w:r>
          </w:p>
        </w:tc>
        <w:tc>
          <w:tcPr>
            <w:tcW w:w="2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25,709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Less valuation allowance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(26,148)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(21,176)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tax assets, net</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Deferred tax liabilities:</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Fixed assets</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(227)</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costs and intangibles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b w:val="1"/>
                <w:bCs w:val="1"/>
                <w:color w:val="auto"/>
              </w:rPr>
              <w:t>Total deferred tax liabilities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(1,315)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7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deferred tax asset/liability</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Tax Valuation Allowance</w:t>
      </w:r>
    </w:p>
    <w:p>
      <w:pPr>
        <w:spacing w:after="0" w:line="119" w:lineRule="exact"/>
        <w:rPr>
          <w:sz w:val="20"/>
          <w:szCs w:val="20"/>
          <w:color w:val="auto"/>
        </w:rPr>
      </w:pPr>
    </w:p>
    <w:p>
      <w:pPr>
        <w:ind w:left="720" w:right="20"/>
        <w:spacing w:after="0" w:line="23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97" w:lineRule="exact"/>
        <w:rPr>
          <w:sz w:val="20"/>
          <w:szCs w:val="20"/>
          <w:color w:val="auto"/>
        </w:rPr>
      </w:pPr>
    </w:p>
    <w:p>
      <w:pPr>
        <w:ind w:left="720" w:right="20"/>
        <w:spacing w:after="0" w:line="234"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has a full valuation allowance against its net deferred tax assets as a result of cumulative losses as of December 31, 2020 and 2019 and March 31, 2021 (unaudited). As of March 31, 2021 (unaudited), no facts or circumstances arose that affected the Company’s determination as to the full valuation established against the net deferred tax assets.</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9" w:lineRule="exact"/>
        <w:rPr>
          <w:sz w:val="20"/>
          <w:szCs w:val="20"/>
          <w:color w:val="auto"/>
        </w:rPr>
      </w:pPr>
    </w:p>
    <w:p>
      <w:pPr>
        <w:jc w:val="both"/>
        <w:ind w:left="720" w:right="20"/>
        <w:spacing w:after="0" w:line="237" w:lineRule="auto"/>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 similar state amounts, of approximately $90.1 million available to reduce future income subject to income taxes before limitations. As of December 31, 2020 the</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00"/>
          </w:cols>
          <w:pgMar w:left="320" w:top="456" w:right="6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00"/>
        <w:spacing w:after="0" w:line="248" w:lineRule="auto"/>
        <w:rPr>
          <w:sz w:val="20"/>
          <w:szCs w:val="20"/>
          <w:color w:val="auto"/>
        </w:rPr>
      </w:pPr>
      <w:r>
        <w:rPr>
          <w:rFonts w:ascii="Arial" w:cs="Arial" w:eastAsia="Arial" w:hAnsi="Arial"/>
          <w:sz w:val="17"/>
          <w:szCs w:val="17"/>
          <w:color w:val="auto"/>
        </w:rPr>
        <w:t>Company had a net operating loss carryforward for tax purposes related to its foreign subsidiary of $10.2 million. U.S. federal net operating carryforwards generated prior to 2018 in the approximate amount of $26.6 million will begin to expire, if not utilized, in 2033. German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 As of December 31, 2020 the $90.1 million of U.S. federal net operating losses excludes $14.7 million of acquired net operating losses that the Company expects to be substantially limited by Section 382 of the U.S. Internal Revenue Code and does not expect to claim on a U.S. Tax Return. As of December 31, 2020 the Company completed an analysis on the remaining $90.1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7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Uncertain Tax Positions</w:t>
      </w:r>
    </w:p>
    <w:p>
      <w:pPr>
        <w:spacing w:after="0" w:line="119"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95"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or for the quarters ended March 31, 2021 and 2020 (unaudited). The Company is not currently under examination by any tax jurisdiction</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COVID -19</w:t>
      </w:r>
    </w:p>
    <w:p>
      <w:pPr>
        <w:spacing w:after="0" w:line="119" w:lineRule="exact"/>
        <w:rPr>
          <w:sz w:val="20"/>
          <w:szCs w:val="20"/>
          <w:color w:val="auto"/>
        </w:rPr>
      </w:pPr>
    </w:p>
    <w:p>
      <w:pPr>
        <w:jc w:val="both"/>
        <w:ind w:left="720" w:right="160"/>
        <w:spacing w:after="0" w:line="236" w:lineRule="auto"/>
        <w:rPr>
          <w:sz w:val="20"/>
          <w:szCs w:val="20"/>
          <w:color w:val="auto"/>
        </w:rPr>
      </w:pPr>
      <w:r>
        <w:rPr>
          <w:rFonts w:ascii="Arial" w:cs="Arial" w:eastAsia="Arial" w:hAnsi="Arial"/>
          <w:sz w:val="18"/>
          <w:szCs w:val="18"/>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 or for the quarter ended March 31, 2021 (unaudited).</w:t>
      </w:r>
    </w:p>
    <w:p>
      <w:pPr>
        <w:spacing w:after="0" w:line="327" w:lineRule="exact"/>
        <w:rPr>
          <w:sz w:val="20"/>
          <w:szCs w:val="20"/>
          <w:color w:val="auto"/>
        </w:rPr>
      </w:pPr>
    </w:p>
    <w:p>
      <w:pPr>
        <w:ind w:left="700" w:hanging="533"/>
        <w:spacing w:after="0"/>
        <w:tabs>
          <w:tab w:leader="none" w:pos="7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2" w:lineRule="exact"/>
        <w:rPr>
          <w:rFonts w:ascii="Arial" w:cs="Arial" w:eastAsia="Arial" w:hAnsi="Arial"/>
          <w:sz w:val="18"/>
          <w:szCs w:val="18"/>
          <w:b w:val="1"/>
          <w:bCs w:val="1"/>
          <w:color w:val="auto"/>
        </w:rPr>
      </w:pPr>
    </w:p>
    <w:p>
      <w:pPr>
        <w:ind w:left="720" w:right="5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(31,085)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7"/>
                <w:szCs w:val="17"/>
                <w:color w:val="auto"/>
              </w:rPr>
            </w:pP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(8,801)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(39,886)</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7,492,876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(5.32)</w:t>
            </w:r>
          </w:p>
        </w:tc>
        <w:tc>
          <w:tcPr>
            <w:tcW w:w="4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820"/>
              <w:spacing w:after="0"/>
              <w:rPr>
                <w:sz w:val="20"/>
                <w:szCs w:val="20"/>
                <w:color w:val="auto"/>
              </w:rPr>
            </w:pPr>
            <w:r>
              <w:rPr>
                <w:rFonts w:ascii="Arial" w:cs="Arial" w:eastAsia="Arial" w:hAnsi="Arial"/>
                <w:sz w:val="18"/>
                <w:szCs w:val="18"/>
                <w:color w:val="auto"/>
              </w:rPr>
              <w:t>F-26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202" w:lineRule="exact"/>
        <w:rPr>
          <w:sz w:val="20"/>
          <w:szCs w:val="20"/>
          <w:color w:val="auto"/>
        </w:rPr>
      </w:pPr>
    </w:p>
    <w:p>
      <w:pPr>
        <w:ind w:left="720" w:right="880"/>
        <w:spacing w:after="0" w:line="239" w:lineRule="auto"/>
        <w:rPr>
          <w:sz w:val="20"/>
          <w:szCs w:val="20"/>
          <w:color w:val="auto"/>
        </w:rPr>
      </w:pPr>
      <w:r>
        <w:rPr>
          <w:rFonts w:ascii="Arial" w:cs="Arial" w:eastAsia="Arial" w:hAnsi="Arial"/>
          <w:sz w:val="18"/>
          <w:szCs w:val="18"/>
          <w:color w:val="auto"/>
        </w:rPr>
        <w:t>The following (unaudited)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ind w:left="160"/>
              <w:spacing w:after="0" w:line="201" w:lineRule="exact"/>
              <w:rPr>
                <w:sz w:val="20"/>
                <w:szCs w:val="20"/>
                <w:color w:val="auto"/>
              </w:rPr>
            </w:pPr>
            <w:r>
              <w:rPr>
                <w:rFonts w:ascii="Arial" w:cs="Arial" w:eastAsia="Arial" w:hAnsi="Arial"/>
                <w:sz w:val="18"/>
                <w:szCs w:val="18"/>
                <w:color w:val="auto"/>
              </w:rPr>
              <w:t>share attributable to common stockholders, basic and diluted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689"/>
              <w:spacing w:after="0" w:line="201" w:lineRule="exact"/>
              <w:rPr>
                <w:sz w:val="20"/>
                <w:szCs w:val="20"/>
                <w:color w:val="auto"/>
              </w:rPr>
            </w:pPr>
            <w:r>
              <w:rPr>
                <w:rFonts w:ascii="Arial" w:cs="Arial" w:eastAsia="Arial" w:hAnsi="Arial"/>
                <w:sz w:val="18"/>
                <w:szCs w:val="18"/>
                <w:color w:val="auto"/>
                <w:w w:val="97"/>
              </w:rPr>
              <w:t>7,924,848</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8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195"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March 31, 2021 and 2020, the Company had approximately 29.4 million shares and approximately 26.4 million shares, respectively, that are potentially dilutive securities that were excluded from the computation of diluted net loss per share because including them would have had an anti-dilutive effect. Of these potentially dilutive shares at March 31, 2021 and 2020, approximately 27.8 million shares and approximately 25.5 million shares, respectively are in the form of convertible preferred stock, approximately 1.6 million shares and approximately 912,000 shares, respectively are in the form of outstanding stock options and approximately 51,000 shares and approximately 13,000 shares, respectively are in the form of outstanding warrants.</w:t>
      </w:r>
    </w:p>
    <w:p>
      <w:pPr>
        <w:spacing w:after="0" w:line="327" w:lineRule="exact"/>
        <w:rPr>
          <w:sz w:val="20"/>
          <w:szCs w:val="20"/>
          <w:color w:val="auto"/>
        </w:rPr>
      </w:pPr>
    </w:p>
    <w:p>
      <w:pPr>
        <w:ind w:left="720" w:right="6860" w:hanging="553"/>
        <w:spacing w:after="0" w:line="391" w:lineRule="auto"/>
        <w:tabs>
          <w:tab w:leader="none" w:pos="709"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Supplemental Disclosures </w:t>
      </w:r>
      <w:r>
        <w:rPr>
          <w:rFonts w:ascii="Arial" w:cs="Arial" w:eastAsia="Arial" w:hAnsi="Arial"/>
          <w:sz w:val="17"/>
          <w:szCs w:val="17"/>
          <w:i w:val="1"/>
          <w:iCs w:val="1"/>
          <w:color w:val="auto"/>
        </w:rPr>
        <w:t>Accumulated Other Comprehensive Income</w:t>
      </w:r>
    </w:p>
    <w:p>
      <w:pPr>
        <w:ind w:left="720" w:right="12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4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Translation Adjustment</w:t>
            </w:r>
          </w:p>
        </w:tc>
      </w:tr>
      <w:tr>
        <w:trPr>
          <w:trHeight w:val="194"/>
        </w:trPr>
        <w:tc>
          <w:tcPr>
            <w:tcW w:w="4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as of December 31, 2019</w:t>
            </w:r>
          </w:p>
        </w:tc>
        <w:tc>
          <w:tcPr>
            <w:tcW w:w="3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ind w:left="1160"/>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210</w:t>
            </w: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3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16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392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210</w:t>
            </w:r>
          </w:p>
        </w:tc>
      </w:tr>
      <w:tr>
        <w:trPr>
          <w:trHeight w:val="20"/>
        </w:trPr>
        <w:tc>
          <w:tcPr>
            <w:tcW w:w="4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4620" w:type="dxa"/>
            <w:vAlign w:val="bottom"/>
          </w:tcPr>
          <w:p>
            <w:pPr>
              <w:spacing w:after="0"/>
              <w:rPr>
                <w:sz w:val="24"/>
                <w:szCs w:val="24"/>
                <w:color w:val="auto"/>
              </w:rPr>
            </w:pP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F-27</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in composition of accumulated other comprehensive income, net of tax, as of March 31, 2021 and 2020 (unaudited)</w:t>
      </w:r>
    </w:p>
    <w:p>
      <w:pPr>
        <w:ind w:left="720"/>
        <w:spacing w:after="0"/>
        <w:rPr>
          <w:sz w:val="20"/>
          <w:szCs w:val="20"/>
          <w:color w:val="auto"/>
        </w:rPr>
      </w:pPr>
      <w:r>
        <w:rPr>
          <w:rFonts w:ascii="Arial" w:cs="Arial" w:eastAsia="Arial" w:hAnsi="Arial"/>
          <w:sz w:val="18"/>
          <w:szCs w:val="18"/>
          <w:color w:val="auto"/>
        </w:rPr>
        <w:t>were as follows (in thousands):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832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w:t>
            </w:r>
          </w:p>
        </w:tc>
      </w:tr>
      <w:tr>
        <w:trPr>
          <w:trHeight w:val="154"/>
        </w:trPr>
        <w:tc>
          <w:tcPr>
            <w:tcW w:w="8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loss</w:t>
            </w:r>
          </w:p>
        </w:tc>
        <w:tc>
          <w:tcPr>
            <w:tcW w:w="160" w:type="dxa"/>
            <w:vAlign w:val="bottom"/>
          </w:tcPr>
          <w:p>
            <w:pPr>
              <w:spacing w:after="0"/>
              <w:rPr>
                <w:sz w:val="17"/>
                <w:szCs w:val="17"/>
                <w:color w:val="auto"/>
              </w:rPr>
            </w:pPr>
          </w:p>
        </w:tc>
        <w:tc>
          <w:tcPr>
            <w:tcW w:w="1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2020 (unaudited)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6"/>
                <w:szCs w:val="16"/>
                <w:color w:val="auto"/>
              </w:rPr>
            </w:pP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30</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22" w:lineRule="exact"/>
        <w:rPr>
          <w:rFonts w:ascii="Arial" w:cs="Arial" w:eastAsia="Arial" w:hAnsi="Arial"/>
          <w:sz w:val="18"/>
          <w:szCs w:val="18"/>
          <w:b w:val="1"/>
          <w:bCs w:val="1"/>
          <w:color w:val="auto"/>
        </w:rPr>
      </w:pPr>
    </w:p>
    <w:p>
      <w:pPr>
        <w:ind w:left="720"/>
        <w:spacing w:after="0" w:line="246"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as of March 31, 2021 (unaudited), December 31, 2020 and $11 million as of December 31, 2019. As of March 31, 2021 (unaudited) and December 31, 2020, the loan pays interest at the greater of (i) 8.7% per annum or (ii) 8.7% per annum plus the prime rate minus</w:t>
      </w:r>
    </w:p>
    <w:p>
      <w:pPr>
        <w:spacing w:after="0" w:line="1"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4.75% per annum. The term loan agreement requires a maximum $1.2 million end of term fee due and payable on the maturity date of May 1, 2022, however, if the term loan is repaid prior to November 1, 2021, the amount owed would be $0.9 million. As of March 31, 2021 (unaudited) and December 31, 2020, the Company owed $15.8 million on this term loan, including principal borrowings and accrued end of term fee. As Xometry intends to repay this term loan in 2021, the Company has classified this term loan as a current liability on the Consolidated Balance Sheet. Xometry’s obligations under the Amended Loan and Security Agreement are secured by substantially all of Xometry’s assets.</w:t>
      </w:r>
    </w:p>
    <w:p>
      <w:pPr>
        <w:spacing w:after="0" w:line="94" w:lineRule="exact"/>
        <w:rPr>
          <w:rFonts w:ascii="Arial" w:cs="Arial" w:eastAsia="Arial" w:hAnsi="Arial"/>
          <w:sz w:val="18"/>
          <w:szCs w:val="18"/>
          <w:b w:val="1"/>
          <w:bCs w:val="1"/>
          <w:color w:val="auto"/>
        </w:rPr>
      </w:pPr>
    </w:p>
    <w:p>
      <w:pPr>
        <w:jc w:val="both"/>
        <w:ind w:left="720" w:right="1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95" w:lineRule="exact"/>
        <w:rPr>
          <w:rFonts w:ascii="Arial" w:cs="Arial" w:eastAsia="Arial" w:hAnsi="Arial"/>
          <w:sz w:val="18"/>
          <w:szCs w:val="18"/>
          <w:b w:val="1"/>
          <w:bCs w:val="1"/>
          <w:color w:val="auto"/>
        </w:rPr>
      </w:pPr>
    </w:p>
    <w:p>
      <w:pPr>
        <w:ind w:left="720" w:right="8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95"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March 31, 2021 (unaudited) and December 31, 2020.</w:t>
      </w:r>
    </w:p>
    <w:p>
      <w:pPr>
        <w:spacing w:after="0" w:line="94" w:lineRule="exact"/>
        <w:rPr>
          <w:rFonts w:ascii="Arial" w:cs="Arial" w:eastAsia="Arial" w:hAnsi="Arial"/>
          <w:sz w:val="18"/>
          <w:szCs w:val="18"/>
          <w:b w:val="1"/>
          <w:bCs w:val="1"/>
          <w:color w:val="auto"/>
        </w:rPr>
      </w:pPr>
    </w:p>
    <w:p>
      <w:pPr>
        <w:ind w:left="720" w:right="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had a $2.5 million credit facility with Comerica Bank. The Company could borrow $2.5 million on a receivable revolver not to exceed 80% of eligible accounts receivables and bore interest at the Prime Reference rate plus 1.5%. Comerica had a first priority security interest in all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60"/>
        <w:spacing w:after="0" w:line="239" w:lineRule="auto"/>
        <w:rPr>
          <w:sz w:val="20"/>
          <w:szCs w:val="20"/>
          <w:color w:val="auto"/>
        </w:rPr>
      </w:pPr>
      <w:r>
        <w:rPr>
          <w:rFonts w:ascii="Arial" w:cs="Arial" w:eastAsia="Arial" w:hAnsi="Arial"/>
          <w:sz w:val="18"/>
          <w:szCs w:val="18"/>
          <w:color w:val="auto"/>
        </w:rPr>
        <w:t>assets of the Company with a negative pledge on intellectual property. The revolver was paid off on May 16, 2019 and terminated on June 30, 2019.</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Paycheck Protection Program</w:t>
      </w:r>
    </w:p>
    <w:p>
      <w:pPr>
        <w:spacing w:after="0" w:line="119"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Contingencies</w:t>
      </w:r>
    </w:p>
    <w:p>
      <w:pPr>
        <w:spacing w:after="0" w:line="119"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327" w:lineRule="exact"/>
        <w:rPr>
          <w:sz w:val="20"/>
          <w:szCs w:val="20"/>
          <w:color w:val="auto"/>
        </w:rPr>
      </w:pPr>
    </w:p>
    <w:p>
      <w:pPr>
        <w:ind w:left="700" w:hanging="533"/>
        <w:spacing w:after="0"/>
        <w:tabs>
          <w:tab w:leader="none" w:pos="7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2"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MTS, a machine and tool supplier, for cash consideration of $0.7 million with the intent of supplementing the Company’s existing product offerings. In connection with the MTS acquisition, Xometry recognized net assets of $0.6 million, which primarily included customer receivables at the time of acquisition and approximately $0.1 million of goodwill related to expected synergies.</w:t>
      </w:r>
    </w:p>
    <w:p>
      <w:pPr>
        <w:spacing w:after="0" w:line="95"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95" w:lineRule="exact"/>
        <w:rPr>
          <w:rFonts w:ascii="Arial" w:cs="Arial" w:eastAsia="Arial" w:hAnsi="Arial"/>
          <w:sz w:val="18"/>
          <w:szCs w:val="18"/>
          <w:b w:val="1"/>
          <w:bCs w:val="1"/>
          <w:color w:val="auto"/>
        </w:rPr>
      </w:pPr>
    </w:p>
    <w:p>
      <w:pPr>
        <w:ind w:left="720" w:right="1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$2.7 million at the date of the acquisition. The goodwill of $1.4 million arising from the acquisition related to certain expected synergies.</w:t>
      </w:r>
    </w:p>
    <w:p>
      <w:pPr>
        <w:spacing w:after="0" w:line="95" w:lineRule="exact"/>
        <w:rPr>
          <w:rFonts w:ascii="Arial" w:cs="Arial" w:eastAsia="Arial" w:hAnsi="Arial"/>
          <w:sz w:val="18"/>
          <w:szCs w:val="18"/>
          <w:b w:val="1"/>
          <w:bCs w:val="1"/>
          <w:color w:val="auto"/>
        </w:rPr>
      </w:pPr>
    </w:p>
    <w:p>
      <w:pPr>
        <w:ind w:left="720" w:righ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876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2,743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3,619</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Acquisition costs included in general and administrative</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1"/>
        </w:trPr>
        <w:tc>
          <w:tcPr>
            <w:tcW w:w="9360" w:type="dxa"/>
            <w:vAlign w:val="bottom"/>
          </w:tcPr>
          <w:p>
            <w:pPr>
              <w:spacing w:after="0" w:line="201"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2,170</w:t>
            </w: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1,354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3,619</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840"/>
              <w:spacing w:after="0"/>
              <w:rPr>
                <w:sz w:val="20"/>
                <w:szCs w:val="20"/>
                <w:color w:val="auto"/>
              </w:rPr>
            </w:pPr>
            <w:r>
              <w:rPr>
                <w:rFonts w:ascii="Arial" w:cs="Arial" w:eastAsia="Arial" w:hAnsi="Arial"/>
                <w:sz w:val="18"/>
                <w:szCs w:val="18"/>
                <w:color w:val="auto"/>
              </w:rPr>
              <w:t>F-29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acquired intangible assets, all of which are being amortized, were assigned weighted-average useful life of approximately three years. During 2020 and 2019, the Company recognized $3.1 million and $0.1 million of revenue, respectively from Shift.</w:t>
      </w:r>
    </w:p>
    <w:p>
      <w:pPr>
        <w:spacing w:after="0" w:line="96" w:lineRule="exact"/>
        <w:rPr>
          <w:sz w:val="20"/>
          <w:szCs w:val="20"/>
          <w:color w:val="auto"/>
        </w:rPr>
      </w:pPr>
    </w:p>
    <w:p>
      <w:pPr>
        <w:ind w:left="720" w:right="380"/>
        <w:spacing w:after="0" w:line="239"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28" w:lineRule="exact"/>
        <w:rPr>
          <w:sz w:val="20"/>
          <w:szCs w:val="20"/>
          <w:color w:val="auto"/>
        </w:rPr>
      </w:pPr>
    </w:p>
    <w:p>
      <w:pPr>
        <w:ind w:left="700" w:hanging="533"/>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2" w:lineRule="exact"/>
        <w:rPr>
          <w:rFonts w:ascii="Arial" w:cs="Arial" w:eastAsia="Arial" w:hAnsi="Arial"/>
          <w:sz w:val="18"/>
          <w:szCs w:val="18"/>
          <w:b w:val="1"/>
          <w:bCs w:val="1"/>
          <w:color w:val="auto"/>
        </w:rPr>
      </w:pPr>
    </w:p>
    <w:p>
      <w:pPr>
        <w:ind w:left="720"/>
        <w:spacing w:after="0" w:line="248" w:lineRule="auto"/>
        <w:rPr>
          <w:rFonts w:ascii="Arial" w:cs="Arial" w:eastAsia="Arial" w:hAnsi="Arial"/>
          <w:sz w:val="18"/>
          <w:szCs w:val="18"/>
          <w:b w:val="1"/>
          <w:bCs w:val="1"/>
          <w:color w:val="auto"/>
        </w:rPr>
      </w:pPr>
      <w:r>
        <w:rPr>
          <w:rFonts w:ascii="Arial" w:cs="Arial" w:eastAsia="Arial" w:hAnsi="Arial"/>
          <w:sz w:val="17"/>
          <w:szCs w:val="17"/>
          <w:color w:val="auto"/>
        </w:rPr>
        <w:t>Xometry is organized in two segments referred to as the U.S. and Europe. Xometry’s operating segments are also the Company’s reportable segments. Xometry’s reportable segments, whose products and offerings are generally the same, are managed separately based on geography. The accounting policies of the reportable segments are the same as those described in Note 2— Summary of Significant Accounting Policies.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corporate overhead to the Europe segment. The Company’s CODM monitors assets of the consolidated Company, but does not use assets, by operating segment when assessing performance or making operating segment resource decisions. As of December 31, 2019, the Company only had one segment. For the year ended December 31, 2019, our Europe segment had revenue of approximately $0.1 million, a net loss of approximately $0.4 million, property and equipment of $42,000, depreciation and amortization of $0.1 million, and expenditures for property and equipment of $13,000.</w:t>
      </w:r>
    </w:p>
    <w:p>
      <w:pPr>
        <w:spacing w:after="0" w:line="8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reflect certain segment information for the year ended December 31, 2020 and the quarters ended March 31,</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2021 and 2020 (unaudited)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138,272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$ 41,299</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$26,258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3,134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141,406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$ 43,922</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26,689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Segment Losses</w:t>
            </w:r>
          </w:p>
        </w:tc>
        <w:tc>
          <w:tcPr>
            <w:tcW w:w="3020" w:type="dxa"/>
            <w:vAlign w:val="bottom"/>
          </w:tcPr>
          <w:p>
            <w:pPr>
              <w:spacing w:after="0"/>
              <w:rPr>
                <w:sz w:val="22"/>
                <w:szCs w:val="22"/>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(22,130)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(8,162)</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(7,442)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(8,955)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160"/>
              <w:spacing w:after="0" w:line="201" w:lineRule="exact"/>
              <w:rPr>
                <w:sz w:val="20"/>
                <w:szCs w:val="20"/>
                <w:color w:val="auto"/>
              </w:rPr>
            </w:pPr>
            <w:r>
              <w:rPr>
                <w:rFonts w:ascii="Arial" w:cs="Arial" w:eastAsia="Arial" w:hAnsi="Arial"/>
                <w:sz w:val="18"/>
                <w:szCs w:val="18"/>
                <w:color w:val="auto"/>
              </w:rPr>
              <w:t>(2,339)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94"/>
              </w:rPr>
              <w:t>(1,165)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(31,085)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(10,501)</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(8,607)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Segment Property and Equipment</w:t>
            </w: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5,612</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20" w:type="dxa"/>
            <w:vAlign w:val="bottom"/>
            <w:gridSpan w:val="2"/>
            <w:vMerge w:val="restart"/>
          </w:tcPr>
          <w:p>
            <w:pPr>
              <w:ind w:left="1080"/>
              <w:spacing w:after="0"/>
              <w:rPr>
                <w:sz w:val="20"/>
                <w:szCs w:val="20"/>
                <w:color w:val="auto"/>
              </w:rPr>
            </w:pPr>
            <w:r>
              <w:rPr>
                <w:rFonts w:ascii="Arial" w:cs="Arial" w:eastAsia="Arial" w:hAnsi="Arial"/>
                <w:sz w:val="18"/>
                <w:szCs w:val="18"/>
                <w:color w:val="auto"/>
              </w:rPr>
              <w:t>F-30</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Depreciation and Amortization</w:t>
            </w:r>
          </w:p>
        </w:tc>
        <w:tc>
          <w:tcPr>
            <w:tcW w:w="120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left="240"/>
              <w:spacing w:after="0" w:line="154"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2,389</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641</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$506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731</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93</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3,120</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734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Expenditures for Property and Equipment and</w:t>
            </w:r>
          </w:p>
        </w:tc>
        <w:tc>
          <w:tcPr>
            <w:tcW w:w="12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Long-Lived Assets</w:t>
            </w: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left="240"/>
              <w:spacing w:after="0" w:line="154"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3,671</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97"/>
              </w:rPr>
              <w:t>1,094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$971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4,190</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97"/>
              </w:rPr>
              <w:t>1,244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Impairments of Goodwill and Intangible Assets</w:t>
            </w:r>
          </w:p>
        </w:tc>
        <w:tc>
          <w:tcPr>
            <w:tcW w:w="12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U.S.</w:t>
            </w:r>
          </w:p>
        </w:tc>
        <w:tc>
          <w:tcPr>
            <w:tcW w:w="1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83</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1,592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2" w:lineRule="exact"/>
        <w:rPr>
          <w:rFonts w:ascii="Arial" w:cs="Arial" w:eastAsia="Arial" w:hAnsi="Arial"/>
          <w:sz w:val="18"/>
          <w:szCs w:val="18"/>
          <w:b w:val="1"/>
          <w:bCs w:val="1"/>
          <w:color w:val="auto"/>
        </w:rPr>
      </w:pPr>
    </w:p>
    <w:p>
      <w:pPr>
        <w:ind w:left="720" w:right="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205"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Xometry recognized revenue of approximately $0.2 million and $0.4 million, respectively from companies/and or affiliates of companies that are holders of the Company’s Convertible Preferred Stock. As of March 31, 2021 (unaudited), the Company had approximately $0.5 million of accounts receivable from companies and/or affiliates of companies that are holders of the Company’s Convertible Preferred Stock.</w:t>
      </w:r>
    </w:p>
    <w:p>
      <w:pPr>
        <w:spacing w:after="0" w:line="20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2020 and 2019, the Company paid Business Improvement Systems, Inc., $0.2 million. As of December 31, 2020 and 2019, the Company had approximately $0.1 million and approximately $0.04 million payable to Business Improvement Systems, Inc., respectively.</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6" w:right="5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For the quarters ended March 31, 2021 and 2020 (unaudited), the Company paid Business Improvement Systems, Inc., approximately $0.1 million and $50,000, respectively. As of March 31, 2021 (unaudited), the Company had no amounts payable to Business Improvement Systems, Inc.</w:t>
      </w:r>
    </w:p>
    <w:p>
      <w:pPr>
        <w:spacing w:after="0" w:line="328" w:lineRule="exact"/>
        <w:rPr>
          <w:sz w:val="20"/>
          <w:szCs w:val="20"/>
          <w:color w:val="auto"/>
        </w:rPr>
      </w:pPr>
    </w:p>
    <w:p>
      <w:pPr>
        <w:ind w:left="700" w:hanging="533"/>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ind w:left="35"/>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478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$ 1,586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1,269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$ 1,652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80</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489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708</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186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1,269</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$ 2,825</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$ 2,425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gridSpan w:val="3"/>
            <w:vMerge w:val="restart"/>
          </w:tcPr>
          <w:p>
            <w:pPr>
              <w:jc w:val="right"/>
              <w:ind w:right="1120"/>
              <w:spacing w:after="0"/>
              <w:rPr>
                <w:sz w:val="20"/>
                <w:szCs w:val="20"/>
                <w:color w:val="auto"/>
              </w:rPr>
            </w:pPr>
            <w:r>
              <w:rPr>
                <w:rFonts w:ascii="Arial" w:cs="Arial" w:eastAsia="Arial" w:hAnsi="Arial"/>
                <w:sz w:val="18"/>
                <w:szCs w:val="18"/>
                <w:color w:val="auto"/>
              </w:rPr>
              <w:t>F-32</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84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6" w:right="6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220"/>
        <w:spacing w:after="0" w:line="235"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8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impact of foreign exchange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Accumulated impairments</w:t>
            </w:r>
          </w:p>
        </w:tc>
        <w:tc>
          <w:tcPr>
            <w:tcW w:w="180" w:type="dxa"/>
            <w:vAlign w:val="bottom"/>
          </w:tcPr>
          <w:p>
            <w:pPr>
              <w:spacing w:after="0"/>
              <w:rPr>
                <w:sz w:val="18"/>
                <w:szCs w:val="18"/>
                <w:color w:val="auto"/>
              </w:rPr>
            </w:pPr>
          </w:p>
        </w:tc>
        <w:tc>
          <w:tcPr>
            <w:tcW w:w="1200" w:type="dxa"/>
            <w:vAlign w:val="bottom"/>
            <w:gridSpan w:val="3"/>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(1,719)</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goodwill as of January 1,</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17"/>
                <w:szCs w:val="17"/>
                <w:color w:val="auto"/>
              </w:rPr>
            </w:pPr>
          </w:p>
        </w:tc>
        <w:tc>
          <w:tcPr>
            <w:tcW w:w="12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8"/>
                <w:szCs w:val="18"/>
                <w:color w:val="auto"/>
              </w:rPr>
            </w:pPr>
          </w:p>
        </w:tc>
        <w:tc>
          <w:tcPr>
            <w:tcW w:w="6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(1,509)</w:t>
            </w:r>
          </w:p>
        </w:tc>
        <w:tc>
          <w:tcPr>
            <w:tcW w:w="10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$ 2,188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$ 3,907</w:t>
            </w: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impairment expense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(3,228)</w:t>
            </w:r>
          </w:p>
        </w:tc>
        <w:tc>
          <w:tcPr>
            <w:tcW w:w="10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7"/>
        </w:trPr>
        <w:tc>
          <w:tcPr>
            <w:tcW w:w="6720" w:type="dxa"/>
            <w:vAlign w:val="bottom"/>
          </w:tcPr>
          <w:p>
            <w:pPr>
              <w:ind w:left="360"/>
              <w:spacing w:after="0"/>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March 31, 2021 (unaudited) and December 31, 2020, Xometry’s goodwill of $0.8 million is part of Xometry’s U.S. operating segment.</w:t>
      </w:r>
    </w:p>
    <w:p>
      <w:pPr>
        <w:spacing w:after="0" w:line="95" w:lineRule="exact"/>
        <w:rPr>
          <w:sz w:val="20"/>
          <w:szCs w:val="20"/>
          <w:color w:val="auto"/>
        </w:rPr>
      </w:pPr>
    </w:p>
    <w:p>
      <w:pPr>
        <w:ind w:left="720" w:right="260"/>
        <w:spacing w:after="0" w:line="237" w:lineRule="auto"/>
        <w:rPr>
          <w:sz w:val="20"/>
          <w:szCs w:val="20"/>
          <w:color w:val="auto"/>
        </w:rPr>
      </w:pPr>
      <w:r>
        <w:rPr>
          <w:rFonts w:ascii="Arial" w:cs="Arial" w:eastAsia="Arial" w:hAnsi="Arial"/>
          <w:sz w:val="18"/>
          <w:szCs w:val="18"/>
          <w:color w:val="auto"/>
        </w:rPr>
        <w:t>Aggregate amortization expense for amortizing intangibles assets was $0.8 million and $0.3 million for the years ended December 31, 2020 and 2019, respectively. As of December 31, 2020, estimated amortization expense for the next five years is: $0.3 million in 2021, $0.3 million in 2022, $0.1 million in 2023, $0.1 million in 2024, and $0.1 million in 2025.</w:t>
      </w:r>
    </w:p>
    <w:p>
      <w:pPr>
        <w:spacing w:after="0" w:line="96" w:lineRule="exact"/>
        <w:rPr>
          <w:sz w:val="20"/>
          <w:szCs w:val="20"/>
          <w:color w:val="auto"/>
        </w:rPr>
      </w:pPr>
    </w:p>
    <w:p>
      <w:pPr>
        <w:ind w:left="720" w:right="140"/>
        <w:spacing w:after="0" w:line="239" w:lineRule="auto"/>
        <w:rPr>
          <w:sz w:val="20"/>
          <w:szCs w:val="20"/>
          <w:color w:val="auto"/>
        </w:rPr>
      </w:pPr>
      <w:r>
        <w:rPr>
          <w:rFonts w:ascii="Arial" w:cs="Arial" w:eastAsia="Arial" w:hAnsi="Arial"/>
          <w:sz w:val="18"/>
          <w:szCs w:val="18"/>
          <w:color w:val="auto"/>
        </w:rPr>
        <w:t>As of March 31, 2021 (unaudited), estimated amortization expense for the remainder of 2021 and next five years is: $0.2 million in 2021, $0.3 million in 2022, $0.1 million in 2023, $0.1 million in 2024, $0.1 million in 2025 and $0.1 million in 2026.</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642</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168</w:t>
            </w: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69</w:t>
            </w:r>
          </w:p>
        </w:tc>
      </w:tr>
      <w:tr>
        <w:trPr>
          <w:trHeight w:val="214"/>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2" w:lineRule="exact"/>
        <w:rPr>
          <w:rFonts w:ascii="Arial" w:cs="Arial" w:eastAsia="Arial" w:hAnsi="Arial"/>
          <w:sz w:val="18"/>
          <w:szCs w:val="18"/>
          <w:b w:val="1"/>
          <w:bCs w:val="1"/>
          <w:color w:val="auto"/>
        </w:rPr>
      </w:pPr>
    </w:p>
    <w:p>
      <w:pPr>
        <w:ind w:left="7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as of and for the year ended December 31, 2020 were available to be issued and no events were identified for disclosure in the consolidated financial statements.</w:t>
      </w:r>
    </w:p>
    <w:p>
      <w:pPr>
        <w:spacing w:after="0" w:line="202" w:lineRule="exact"/>
        <w:rPr>
          <w:rFonts w:ascii="Arial" w:cs="Arial" w:eastAsia="Arial" w:hAnsi="Arial"/>
          <w:sz w:val="18"/>
          <w:szCs w:val="18"/>
          <w:b w:val="1"/>
          <w:bCs w:val="1"/>
          <w:color w:val="auto"/>
        </w:rPr>
      </w:pPr>
    </w:p>
    <w:p>
      <w:pPr>
        <w:ind w:left="720" w:righ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subsequent events were evaluated through May 18, 2021, the date on which the unaudited interim consolidated financial statements were available for issuance.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3" w:lineRule="exact"/>
        <w:rPr>
          <w:sz w:val="20"/>
          <w:szCs w:val="20"/>
          <w:color w:val="auto"/>
        </w:rPr>
      </w:pPr>
    </w:p>
    <w:p>
      <w:pPr>
        <w:ind w:left="720" w:right="280"/>
        <w:spacing w:after="0" w:line="239" w:lineRule="auto"/>
        <w:rPr>
          <w:sz w:val="20"/>
          <w:szCs w:val="20"/>
          <w:color w:val="auto"/>
        </w:rPr>
      </w:pPr>
      <w:r>
        <w:rPr>
          <w:rFonts w:ascii="Arial" w:cs="Arial" w:eastAsia="Arial" w:hAnsi="Arial"/>
          <w:sz w:val="18"/>
          <w:szCs w:val="18"/>
          <w:color w:val="auto"/>
        </w:rPr>
        <w:t>The table below details the activity of the allowance for doubtful accounts, for the years ended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Provision</w:t>
            </w:r>
          </w:p>
        </w:tc>
        <w:tc>
          <w:tcPr>
            <w:tcW w:w="38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Deduction or</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378</w:t>
            </w:r>
          </w:p>
        </w:tc>
        <w:tc>
          <w:tcPr>
            <w:tcW w:w="420" w:type="dxa"/>
            <w:vAlign w:val="bottom"/>
          </w:tcPr>
          <w:p>
            <w:pPr>
              <w:spacing w:after="0"/>
              <w:rPr>
                <w:sz w:val="17"/>
                <w:szCs w:val="17"/>
                <w:color w:val="auto"/>
              </w:rPr>
            </w:pPr>
          </w:p>
        </w:tc>
        <w:tc>
          <w:tcPr>
            <w:tcW w:w="6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315</w:t>
            </w:r>
          </w:p>
        </w:tc>
        <w:tc>
          <w:tcPr>
            <w:tcW w:w="5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(124)</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1338580</wp:posOffset>
            </wp:positionV>
            <wp:extent cx="1460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2400300</wp:posOffset>
            </wp:positionV>
            <wp:extent cx="1460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1602105</wp:posOffset>
            </wp:positionV>
            <wp:extent cx="2157095" cy="501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4680" w:type="dxa"/>
            <w:vAlign w:val="bottom"/>
            <w:gridSpan w:val="2"/>
          </w:tcPr>
          <w:p>
            <w:pPr>
              <w:ind w:left="500"/>
              <w:spacing w:after="0"/>
              <w:rPr>
                <w:sz w:val="20"/>
                <w:szCs w:val="20"/>
                <w:color w:val="auto"/>
              </w:rPr>
            </w:pPr>
            <w:r>
              <w:rPr>
                <w:rFonts w:ascii="Arial" w:cs="Arial" w:eastAsia="Arial" w:hAnsi="Arial"/>
                <w:sz w:val="21"/>
                <w:szCs w:val="21"/>
                <w:b w:val="1"/>
                <w:bCs w:val="1"/>
                <w:color w:val="auto"/>
              </w:rPr>
              <w:t>Goldman Sachs &amp; Co. LLC</w:t>
            </w:r>
          </w:p>
        </w:tc>
        <w:tc>
          <w:tcPr>
            <w:tcW w:w="3040" w:type="dxa"/>
            <w:vAlign w:val="bottom"/>
          </w:tcPr>
          <w:p>
            <w:pPr>
              <w:ind w:left="300"/>
              <w:spacing w:after="0"/>
              <w:rPr>
                <w:sz w:val="20"/>
                <w:szCs w:val="20"/>
                <w:color w:val="auto"/>
              </w:rPr>
            </w:pPr>
            <w:r>
              <w:rPr>
                <w:rFonts w:ascii="Arial" w:cs="Arial" w:eastAsia="Arial" w:hAnsi="Arial"/>
                <w:sz w:val="21"/>
                <w:szCs w:val="21"/>
                <w:b w:val="1"/>
                <w:bCs w:val="1"/>
                <w:color w:val="auto"/>
              </w:rPr>
              <w:t>J.P. Morgan</w:t>
            </w:r>
          </w:p>
        </w:tc>
        <w:tc>
          <w:tcPr>
            <w:tcW w:w="3200" w:type="dxa"/>
            <w:vAlign w:val="bottom"/>
          </w:tcPr>
          <w:p>
            <w:pPr>
              <w:ind w:left="340"/>
              <w:spacing w:after="0"/>
              <w:rPr>
                <w:sz w:val="20"/>
                <w:szCs w:val="20"/>
                <w:color w:val="auto"/>
              </w:rPr>
            </w:pPr>
            <w:r>
              <w:rPr>
                <w:rFonts w:ascii="Arial" w:cs="Arial" w:eastAsia="Arial" w:hAnsi="Arial"/>
                <w:sz w:val="21"/>
                <w:szCs w:val="21"/>
                <w:b w:val="1"/>
                <w:bCs w:val="1"/>
                <w:color w:val="auto"/>
              </w:rPr>
              <w:t>UBS Investment Bank</w:t>
            </w:r>
          </w:p>
        </w:tc>
      </w:tr>
      <w:tr>
        <w:trPr>
          <w:trHeight w:val="481"/>
        </w:trPr>
        <w:tc>
          <w:tcPr>
            <w:tcW w:w="2280" w:type="dxa"/>
            <w:vAlign w:val="bottom"/>
          </w:tcPr>
          <w:p>
            <w:pPr>
              <w:ind w:left="840"/>
              <w:spacing w:after="0"/>
              <w:rPr>
                <w:sz w:val="20"/>
                <w:szCs w:val="20"/>
                <w:color w:val="auto"/>
              </w:rPr>
            </w:pPr>
            <w:r>
              <w:rPr>
                <w:rFonts w:ascii="Arial" w:cs="Arial" w:eastAsia="Arial" w:hAnsi="Arial"/>
                <w:sz w:val="21"/>
                <w:szCs w:val="21"/>
                <w:b w:val="1"/>
                <w:bCs w:val="1"/>
                <w:color w:val="auto"/>
              </w:rPr>
              <w:t>Citigroup</w:t>
            </w:r>
          </w:p>
        </w:tc>
        <w:tc>
          <w:tcPr>
            <w:tcW w:w="2400" w:type="dxa"/>
            <w:vAlign w:val="bottom"/>
          </w:tcPr>
          <w:p>
            <w:pPr>
              <w:ind w:left="480"/>
              <w:spacing w:after="0"/>
              <w:rPr>
                <w:sz w:val="20"/>
                <w:szCs w:val="20"/>
                <w:color w:val="auto"/>
              </w:rPr>
            </w:pPr>
            <w:r>
              <w:rPr>
                <w:rFonts w:ascii="Arial" w:cs="Arial" w:eastAsia="Arial" w:hAnsi="Arial"/>
                <w:sz w:val="21"/>
                <w:szCs w:val="21"/>
                <w:b w:val="1"/>
                <w:bCs w:val="1"/>
                <w:color w:val="auto"/>
              </w:rPr>
              <w:t>BofA Securities</w:t>
            </w:r>
          </w:p>
        </w:tc>
        <w:tc>
          <w:tcPr>
            <w:tcW w:w="3040" w:type="dxa"/>
            <w:vAlign w:val="bottom"/>
          </w:tcPr>
          <w:p>
            <w:pPr>
              <w:ind w:left="1400"/>
              <w:spacing w:after="0"/>
              <w:rPr>
                <w:sz w:val="20"/>
                <w:szCs w:val="20"/>
                <w:color w:val="auto"/>
              </w:rPr>
            </w:pPr>
            <w:r>
              <w:rPr>
                <w:rFonts w:ascii="Arial" w:cs="Arial" w:eastAsia="Arial" w:hAnsi="Arial"/>
                <w:sz w:val="21"/>
                <w:szCs w:val="21"/>
                <w:b w:val="1"/>
                <w:bCs w:val="1"/>
                <w:color w:val="auto"/>
              </w:rPr>
              <w:t>William Blair</w:t>
            </w:r>
          </w:p>
        </w:tc>
        <w:tc>
          <w:tcPr>
            <w:tcW w:w="3200" w:type="dxa"/>
            <w:vAlign w:val="bottom"/>
          </w:tcPr>
          <w:p>
            <w:pPr>
              <w:ind w:left="840"/>
              <w:spacing w:after="0"/>
              <w:rPr>
                <w:sz w:val="20"/>
                <w:szCs w:val="20"/>
                <w:color w:val="auto"/>
              </w:rPr>
            </w:pPr>
            <w:r>
              <w:rPr>
                <w:rFonts w:ascii="Arial" w:cs="Arial" w:eastAsia="Arial" w:hAnsi="Arial"/>
                <w:sz w:val="21"/>
                <w:szCs w:val="21"/>
                <w:b w:val="1"/>
                <w:bCs w:val="1"/>
                <w:color w:val="auto"/>
              </w:rPr>
              <w:t>RBC Capital Markets</w:t>
            </w:r>
          </w:p>
        </w:tc>
      </w:tr>
      <w:tr>
        <w:trPr>
          <w:trHeight w:val="1982"/>
        </w:trPr>
        <w:tc>
          <w:tcPr>
            <w:tcW w:w="2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94"/>
        </w:trPr>
        <w:tc>
          <w:tcPr>
            <w:tcW w:w="228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r>
    </w:tbl>
    <w:p>
      <w:pPr>
        <w:sectPr>
          <w:pgSz w:w="11900" w:h="16838" w:orient="portrait"/>
          <w:cols w:equalWidth="0" w:num="1">
            <w:col w:w="11080"/>
          </w:cols>
          <w:pgMar w:left="320" w:top="456" w:right="49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0"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3" w:lineRule="exact"/>
        <w:rPr>
          <w:sz w:val="20"/>
          <w:szCs w:val="20"/>
          <w:color w:val="auto"/>
        </w:rPr>
      </w:pPr>
    </w:p>
    <w:p>
      <w:pPr>
        <w:ind w:left="160" w:right="60" w:firstLine="546"/>
        <w:spacing w:after="0" w:line="268"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060"/>
          </w:cols>
          <w:pgMar w:left="320" w:top="456" w:right="519" w:bottom="1440" w:gutter="0" w:footer="0" w:header="0"/>
        </w:sectPr>
      </w:pP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6929755" cy="1276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2" w:lineRule="auto"/>
        <w:rPr>
          <w:sz w:val="20"/>
          <w:szCs w:val="20"/>
          <w:color w:val="auto"/>
        </w:rPr>
      </w:pPr>
      <w:r>
        <w:rPr>
          <w:rFonts w:ascii="Arial" w:cs="Arial" w:eastAsia="Arial" w:hAnsi="Arial"/>
          <w:sz w:val="18"/>
          <w:szCs w:val="18"/>
          <w:color w:val="auto"/>
        </w:rPr>
        <w:t>FINRA filing fee</w:t>
      </w:r>
    </w:p>
    <w:p>
      <w:pPr>
        <w:ind w:left="160"/>
        <w:spacing w:after="0" w:line="233" w:lineRule="auto"/>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6929755" cy="1276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2" w:lineRule="auto"/>
        <w:rPr>
          <w:sz w:val="20"/>
          <w:szCs w:val="20"/>
          <w:color w:val="auto"/>
        </w:rPr>
      </w:pPr>
      <w:r>
        <w:rPr>
          <w:rFonts w:ascii="Arial" w:cs="Arial" w:eastAsia="Arial" w:hAnsi="Arial"/>
          <w:sz w:val="18"/>
          <w:szCs w:val="18"/>
          <w:color w:val="auto"/>
        </w:rPr>
        <w:t>Printing and engraving expenses</w:t>
      </w:r>
    </w:p>
    <w:p>
      <w:pPr>
        <w:ind w:left="160"/>
        <w:spacing w:after="0" w:line="233" w:lineRule="auto"/>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3" w:lineRule="auto"/>
        <w:rPr>
          <w:sz w:val="20"/>
          <w:szCs w:val="20"/>
          <w:color w:val="auto"/>
        </w:rPr>
      </w:pPr>
      <w:r>
        <w:rPr>
          <w:rFonts w:ascii="Arial" w:cs="Arial" w:eastAsia="Arial" w:hAnsi="Arial"/>
          <w:sz w:val="18"/>
          <w:szCs w:val="18"/>
          <w:color w:val="auto"/>
        </w:rPr>
        <w:t>Accounting fees and expenses</w:t>
      </w:r>
    </w:p>
    <w:p>
      <w:pPr>
        <w:ind w:left="160"/>
        <w:spacing w:after="0"/>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1276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276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7645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762" w:hanging="762"/>
        <w:spacing w:after="0"/>
        <w:tabs>
          <w:tab w:leader="none" w:pos="76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9" w:lineRule="exact"/>
        <w:rPr>
          <w:rFonts w:ascii="Arial" w:cs="Arial" w:eastAsia="Arial" w:hAnsi="Arial"/>
          <w:sz w:val="14"/>
          <w:szCs w:val="14"/>
          <w:color w:val="auto"/>
        </w:rPr>
      </w:pPr>
    </w:p>
    <w:p>
      <w:pPr>
        <w:ind w:left="762"/>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4838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46" w:lineRule="exact"/>
        <w:rPr>
          <w:sz w:val="20"/>
          <w:szCs w:val="20"/>
          <w:color w:val="auto"/>
        </w:rPr>
      </w:pPr>
    </w:p>
    <w:p>
      <w:pPr>
        <w:ind w:left="762" w:hanging="762"/>
        <w:spacing w:after="0"/>
        <w:tabs>
          <w:tab w:leader="none" w:pos="76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483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483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518" w:space="720"/>
            <w:col w:w="822"/>
          </w:cols>
          <w:pgMar w:left="320" w:top="456" w:right="519" w:bottom="1440" w:gutter="0" w:footer="0" w:header="0"/>
          <w:type w:val="continuous"/>
        </w:sectPr>
      </w:pPr>
    </w:p>
    <w:p>
      <w:pPr>
        <w:spacing w:after="0" w:line="34" w:lineRule="exact"/>
        <w:rPr>
          <w:sz w:val="20"/>
          <w:szCs w:val="20"/>
          <w:color w:val="auto"/>
        </w:rPr>
      </w:pPr>
    </w:p>
    <w:p>
      <w:pPr>
        <w:ind w:left="480" w:hanging="313"/>
        <w:spacing w:after="0"/>
        <w:tabs>
          <w:tab w:leader="none" w:pos="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3"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206"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206"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6" w:right="51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14" w:lineRule="exact"/>
        <w:rPr>
          <w:sz w:val="20"/>
          <w:szCs w:val="20"/>
          <w:color w:val="auto"/>
        </w:rPr>
      </w:pPr>
    </w:p>
    <w:p>
      <w:pPr>
        <w:ind w:left="700" w:hanging="533"/>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0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have granted under our 2016 Plan options to purchase an aggregate of 3,897,571 shares of our common stock to a total of 434 employees, consultants and directors, having exercise prices ranging from $1.65 to $12.32 per share. 1,437,034 of such options granted under the 2016 Plan have been exercised at a weighted-average exercise price of approximately $1.29 per share.</w:t>
      </w:r>
    </w:p>
    <w:p>
      <w:pPr>
        <w:spacing w:after="0" w:line="109" w:lineRule="exact"/>
        <w:rPr>
          <w:sz w:val="20"/>
          <w:szCs w:val="20"/>
          <w:color w:val="auto"/>
        </w:rPr>
      </w:pPr>
    </w:p>
    <w:p>
      <w:pPr>
        <w:ind w:left="700" w:hanging="533"/>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0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202"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20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w:t>
      </w:r>
    </w:p>
    <w:p>
      <w:pPr>
        <w:spacing w:after="0" w:line="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08"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Financial Statement Schedules.</w:t>
      </w:r>
    </w:p>
    <w:p>
      <w:pPr>
        <w:spacing w:after="0" w:line="208"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6"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 that:</w:t>
      </w:r>
    </w:p>
    <w:p>
      <w:pPr>
        <w:spacing w:after="0" w:line="101" w:lineRule="exact"/>
        <w:rPr>
          <w:sz w:val="20"/>
          <w:szCs w:val="20"/>
          <w:color w:val="auto"/>
        </w:rPr>
      </w:pPr>
    </w:p>
    <w:p>
      <w:pPr>
        <w:ind w:left="160" w:right="40" w:firstLine="553"/>
        <w:spacing w:after="0" w:line="246" w:lineRule="auto"/>
        <w:tabs>
          <w:tab w:leader="none" w:pos="97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w:t>
      </w:r>
    </w:p>
    <w:p>
      <w:pPr>
        <w:ind w:left="440" w:hanging="273"/>
        <w:spacing w:after="0"/>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or (4) or 497(h) under the Securities Act will be deemed to be part of this registration statement as of the time it was declared effective.</w:t>
      </w:r>
    </w:p>
    <w:p>
      <w:pPr>
        <w:spacing w:after="0" w:line="219" w:lineRule="exact"/>
        <w:rPr>
          <w:rFonts w:ascii="Arial" w:cs="Arial" w:eastAsia="Arial" w:hAnsi="Arial"/>
          <w:sz w:val="17"/>
          <w:szCs w:val="17"/>
          <w:color w:val="auto"/>
        </w:rPr>
      </w:pPr>
    </w:p>
    <w:p>
      <w:pPr>
        <w:jc w:val="both"/>
        <w:ind w:left="160" w:right="300" w:firstLine="553"/>
        <w:spacing w:after="0" w:line="237" w:lineRule="auto"/>
        <w:tabs>
          <w:tab w:leader="none" w:pos="97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320" w:top="456" w:right="5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80" w:type="dxa"/>
            <w:vAlign w:val="bottom"/>
            <w:gridSpan w:val="3"/>
          </w:tcPr>
          <w:p>
            <w:pPr>
              <w:ind w:left="3840"/>
              <w:spacing w:after="0"/>
              <w:rPr>
                <w:sz w:val="20"/>
                <w:szCs w:val="20"/>
                <w:color w:val="auto"/>
              </w:rPr>
            </w:pPr>
            <w:r>
              <w:rPr>
                <w:rFonts w:ascii="Arial" w:cs="Arial" w:eastAsia="Arial" w:hAnsi="Arial"/>
                <w:sz w:val="18"/>
                <w:szCs w:val="18"/>
                <w:b w:val="1"/>
                <w:bCs w:val="1"/>
                <w:color w:val="auto"/>
              </w:rPr>
              <w:t>EXHIBIT INDEX</w:t>
            </w:r>
            <w:r>
              <w:rPr>
                <w:rFonts w:ascii="Arial" w:cs="Arial" w:eastAsia="Arial" w:hAnsi="Arial"/>
                <w:sz w:val="15"/>
                <w:szCs w:val="15"/>
                <w:b w:val="1"/>
                <w:bCs w:val="1"/>
                <w:color w:val="auto"/>
              </w:rPr>
              <w:t>11</w:t>
            </w:r>
          </w:p>
        </w:tc>
      </w:tr>
      <w:tr>
        <w:trPr>
          <w:trHeight w:val="37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74"/>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460" w:type="dxa"/>
            <w:vAlign w:val="bottom"/>
          </w:tcPr>
          <w:p>
            <w:pPr>
              <w:spacing w:after="0"/>
              <w:rPr>
                <w:sz w:val="15"/>
                <w:szCs w:val="15"/>
                <w:color w:val="auto"/>
              </w:rPr>
            </w:pPr>
          </w:p>
        </w:tc>
      </w:tr>
      <w:tr>
        <w:trPr>
          <w:trHeight w:val="313"/>
        </w:trPr>
        <w:tc>
          <w:tcPr>
            <w:tcW w:w="5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 of Xometry, Inc., as currently in effect.</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w w:val="98"/>
              </w:rPr>
              <w:t>Form of Amended and Restated Certificate of Incorporation of Xometry, Inc., to be in effect on the completion of the offering.</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 of Xometry, Inc., as currently in effect.</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 of Amended and Restated Bylaws of Xometry, Inc., to be in effect on the completion of the offering.</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 of Common Stock Certificate.</w:t>
            </w:r>
          </w:p>
        </w:tc>
      </w:tr>
      <w:tr>
        <w:trPr>
          <w:trHeight w:val="308"/>
        </w:trPr>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Opinion of Cooley LLP.</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Seventh Amended and Restated Investor Rights Agreement, dated July 17, 2020.</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10.2+**</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10.3+**</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Amendment No. 1 to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10.4+**</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Amendment No. 2 to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10.5+**</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Amendment No. 3 to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10.6+**</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Amendment No. 4 to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10.7+**</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Amendment No. 5 to 2016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10.8+**</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Forms of grant notice, stock option agreement, and notice of exercise under the Xometry, Inc. 2016 Equity Incentive Plan.</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Xometry, Inc. 2021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10.10+*</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Forms of grant notice, stock option agreement and notice of exercise under the Xometry, Inc. 2021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10.11+*</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Forms of restricted stock unit grant notice and award agreement under the Xometry, Inc. 2021 Equity Incentive Plan.</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10.12+**</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Employment agreement by and between Xometry, Inc. and James Rallo, dated as of April 13, 2020</w:t>
            </w:r>
          </w:p>
        </w:tc>
      </w:tr>
      <w:tr>
        <w:trPr>
          <w:trHeight w:val="308"/>
        </w:trPr>
        <w:tc>
          <w:tcPr>
            <w:tcW w:w="900" w:type="dxa"/>
            <w:vAlign w:val="bottom"/>
            <w:gridSpan w:val="2"/>
          </w:tcPr>
          <w:p>
            <w:pPr>
              <w:spacing w:after="0"/>
              <w:rPr>
                <w:sz w:val="20"/>
                <w:szCs w:val="20"/>
                <w:color w:val="auto"/>
              </w:rPr>
            </w:pPr>
            <w:r>
              <w:rPr>
                <w:rFonts w:ascii="Arial" w:cs="Arial" w:eastAsia="Arial" w:hAnsi="Arial"/>
                <w:sz w:val="18"/>
                <w:szCs w:val="18"/>
                <w:color w:val="auto"/>
              </w:rPr>
              <w:t>10.13+*</w:t>
            </w: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Form of Indemnification Agreement entered into by and between Xometry, Inc. and each director and executive officer.</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List of Subsidiaries of Xometry, Inc.</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Consent of Cooley LLP (included in Exhibit 5.1).</w:t>
            </w:r>
          </w:p>
        </w:tc>
      </w:tr>
      <w:tr>
        <w:trPr>
          <w:trHeight w:val="308"/>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9980" w:type="dxa"/>
            <w:vAlign w:val="bottom"/>
            <w:gridSpan w:val="3"/>
          </w:tcPr>
          <w:p>
            <w:pPr>
              <w:ind w:left="220"/>
              <w:spacing w:after="0"/>
              <w:rPr>
                <w:sz w:val="20"/>
                <w:szCs w:val="20"/>
                <w:color w:val="auto"/>
              </w:rPr>
            </w:pPr>
            <w:r>
              <w:rPr>
                <w:rFonts w:ascii="Arial" w:cs="Arial" w:eastAsia="Arial" w:hAnsi="Arial"/>
                <w:sz w:val="18"/>
                <w:szCs w:val="18"/>
                <w:color w:val="auto"/>
              </w:rPr>
              <w:t>Power of Attorney (included on page II-4).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5" w:lineRule="exact"/>
        <w:rPr>
          <w:sz w:val="20"/>
          <w:szCs w:val="20"/>
          <w:color w:val="auto"/>
        </w:rPr>
      </w:pPr>
    </w:p>
    <w:p>
      <w:pPr>
        <w:ind w:left="160" w:right="8020" w:firstLine="7"/>
        <w:spacing w:after="0" w:line="246" w:lineRule="auto"/>
        <w:tabs>
          <w:tab w:leader="none" w:pos="48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be submitted by amendment. ** Previously submitted.</w:t>
      </w:r>
    </w:p>
    <w:p>
      <w:pPr>
        <w:ind w:left="160"/>
        <w:spacing w:after="0"/>
        <w:rPr>
          <w:rFonts w:ascii="Arial" w:cs="Arial" w:eastAsia="Arial" w:hAnsi="Arial"/>
          <w:sz w:val="17"/>
          <w:szCs w:val="17"/>
          <w:color w:val="auto"/>
        </w:rPr>
      </w:pPr>
      <w:r>
        <w:rPr>
          <w:rFonts w:ascii="Arial" w:cs="Arial" w:eastAsia="Arial" w:hAnsi="Arial"/>
          <w:sz w:val="18"/>
          <w:szCs w:val="18"/>
          <w:color w:val="auto"/>
        </w:rPr>
        <w:t>+   Indicates management contract or compensatory plan.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6"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160" w:type="dxa"/>
        <w:tblCellMar>
          <w:top w:w="0" w:type="dxa"/>
          <w:left w:w="0" w:type="dxa"/>
          <w:bottom w:w="0" w:type="dxa"/>
          <w:right w:w="0" w:type="dxa"/>
        </w:tblCellMar>
      </w:tblPr>
      <w:tr>
        <w:trPr>
          <w:trHeight w:val="213"/>
        </w:trPr>
        <w:tc>
          <w:tcPr>
            <w:tcW w:w="9020" w:type="dxa"/>
            <w:vAlign w:val="bottom"/>
          </w:tcPr>
          <w:p>
            <w:pPr>
              <w:spacing w:after="0"/>
              <w:rPr>
                <w:sz w:val="20"/>
                <w:szCs w:val="20"/>
                <w:color w:val="auto"/>
              </w:rPr>
            </w:pPr>
            <w:r>
              <w:rPr>
                <w:rFonts w:ascii="Arial" w:cs="Arial" w:eastAsia="Arial" w:hAnsi="Arial"/>
                <w:sz w:val="18"/>
                <w:szCs w:val="18"/>
                <w:color w:val="auto"/>
              </w:rPr>
              <w:t>on its behalf by the undersigned, thereunto duly authorized, in the City of Gaithersburg, State of Maryland,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6"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XOMETRY, INC.</w:t>
      </w:r>
    </w:p>
    <w:p>
      <w:pPr>
        <w:spacing w:after="0" w:line="2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ind w:left="6720"/>
        <w:spacing w:after="0"/>
        <w:rPr>
          <w:sz w:val="20"/>
          <w:szCs w:val="20"/>
          <w:color w:val="auto"/>
        </w:rPr>
      </w:pPr>
      <w:r>
        <w:rPr>
          <w:rFonts w:ascii="Arial" w:cs="Arial" w:eastAsia="Arial" w:hAnsi="Arial"/>
          <w:sz w:val="18"/>
          <w:szCs w:val="18"/>
          <w:color w:val="auto"/>
        </w:rPr>
        <w:t>Name: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-130175</wp:posOffset>
            </wp:positionV>
            <wp:extent cx="23863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ind w:left="6720"/>
        <w:spacing w:after="0"/>
        <w:tabs>
          <w:tab w:leader="none" w:pos="7360" w:val="left"/>
        </w:tabs>
        <w:rPr>
          <w:sz w:val="20"/>
          <w:szCs w:val="20"/>
          <w:color w:val="auto"/>
        </w:rPr>
      </w:pPr>
      <w:r>
        <w:rPr>
          <w:rFonts w:ascii="Arial" w:cs="Arial" w:eastAsia="Arial" w:hAnsi="Arial"/>
          <w:sz w:val="18"/>
          <w:szCs w:val="18"/>
          <w:color w:val="auto"/>
        </w:rPr>
        <w:t>Title:</w:t>
        <w:tab/>
        <w:t>Co-Founder, Chief Executive Officer and</w:t>
      </w:r>
    </w:p>
    <w:p>
      <w:pPr>
        <w:ind w:left="7380"/>
        <w:spacing w:after="0"/>
        <w:rPr>
          <w:sz w:val="20"/>
          <w:szCs w:val="20"/>
          <w:color w:val="auto"/>
        </w:rPr>
      </w:pPr>
      <w:r>
        <w:rPr>
          <w:rFonts w:ascii="Arial" w:cs="Arial" w:eastAsia="Arial" w:hAnsi="Arial"/>
          <w:sz w:val="18"/>
          <w:szCs w:val="18"/>
          <w:color w:val="auto"/>
        </w:rPr>
        <w:t>Director</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Randolph Altschuler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p>
      <w:pPr>
        <w:ind w:left="160"/>
        <w:spacing w:after="0"/>
        <w:tabs>
          <w:tab w:leader="none" w:pos="6340" w:val="left"/>
          <w:tab w:leader="none" w:pos="99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860" w:type="dxa"/>
            <w:vAlign w:val="bottom"/>
            <w:tcBorders>
              <w:bottom w:val="single" w:sz="8" w:color="auto"/>
            </w:tcBorders>
          </w:tcPr>
          <w:p>
            <w:pPr>
              <w:spacing w:after="0"/>
              <w:rPr>
                <w:sz w:val="18"/>
                <w:szCs w:val="18"/>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Chief Executive Officer, Co-Founder and Director (Principal</w:t>
            </w:r>
          </w:p>
        </w:tc>
        <w:tc>
          <w:tcPr>
            <w:tcW w:w="12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93"/>
        </w:trPr>
        <w:tc>
          <w:tcPr>
            <w:tcW w:w="3860" w:type="dxa"/>
            <w:vAlign w:val="bottom"/>
          </w:tcPr>
          <w:p>
            <w:pPr>
              <w:spacing w:after="0"/>
              <w:rPr>
                <w:sz w:val="20"/>
                <w:szCs w:val="20"/>
                <w:color w:val="auto"/>
              </w:rPr>
            </w:pPr>
            <w:r>
              <w:rPr>
                <w:rFonts w:ascii="Arial" w:cs="Arial" w:eastAsia="Arial" w:hAnsi="Arial"/>
                <w:sz w:val="14"/>
                <w:szCs w:val="14"/>
                <w:color w:val="auto"/>
              </w:rPr>
              <w:t>Randolph Altschuler</w:t>
            </w:r>
          </w:p>
        </w:tc>
        <w:tc>
          <w:tcPr>
            <w:tcW w:w="5540" w:type="dxa"/>
            <w:vAlign w:val="bottom"/>
          </w:tcPr>
          <w:p>
            <w:pPr>
              <w:ind w:left="280"/>
              <w:spacing w:after="0" w:line="194" w:lineRule="exact"/>
              <w:rPr>
                <w:sz w:val="20"/>
                <w:szCs w:val="20"/>
                <w:color w:val="auto"/>
              </w:rPr>
            </w:pPr>
            <w:r>
              <w:rPr>
                <w:rFonts w:ascii="Arial" w:cs="Arial" w:eastAsia="Arial" w:hAnsi="Arial"/>
                <w:sz w:val="18"/>
                <w:szCs w:val="18"/>
                <w:color w:val="auto"/>
              </w:rPr>
              <w:t>Executive Officer)</w:t>
            </w:r>
          </w:p>
        </w:tc>
        <w:tc>
          <w:tcPr>
            <w:tcW w:w="1260" w:type="dxa"/>
            <w:vAlign w:val="bottom"/>
          </w:tcPr>
          <w:p>
            <w:pPr>
              <w:spacing w:after="0"/>
              <w:rPr>
                <w:sz w:val="16"/>
                <w:szCs w:val="16"/>
                <w:color w:val="auto"/>
              </w:rPr>
            </w:pPr>
          </w:p>
        </w:tc>
      </w:tr>
      <w:tr>
        <w:trPr>
          <w:trHeight w:val="403"/>
        </w:trPr>
        <w:tc>
          <w:tcPr>
            <w:tcW w:w="3860" w:type="dxa"/>
            <w:vAlign w:val="bottom"/>
            <w:tcBorders>
              <w:bottom w:val="single" w:sz="8" w:color="auto"/>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Chief Financial Officer (Principal Accounting Officer)</w:t>
            </w:r>
          </w:p>
        </w:tc>
        <w:tc>
          <w:tcPr>
            <w:tcW w:w="12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James Rallo</w:t>
            </w:r>
          </w:p>
        </w:tc>
        <w:tc>
          <w:tcPr>
            <w:tcW w:w="5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Chief Strategy Officer, Co-Founder and 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Laurence Zuriff</w:t>
            </w:r>
          </w:p>
        </w:tc>
        <w:tc>
          <w:tcPr>
            <w:tcW w:w="5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Chairman and 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George Hornig</w:t>
            </w:r>
          </w:p>
        </w:tc>
        <w:tc>
          <w:tcPr>
            <w:tcW w:w="5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Emily Rollins</w:t>
            </w:r>
          </w:p>
        </w:tc>
        <w:tc>
          <w:tcPr>
            <w:tcW w:w="55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6"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6340" w:val="left"/>
          <w:tab w:leader="none" w:pos="99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860" w:type="dxa"/>
            <w:vAlign w:val="bottom"/>
            <w:tcBorders>
              <w:bottom w:val="single" w:sz="8" w:color="auto"/>
            </w:tcBorders>
          </w:tcPr>
          <w:p>
            <w:pPr>
              <w:spacing w:after="0"/>
              <w:rPr>
                <w:sz w:val="17"/>
                <w:szCs w:val="17"/>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7380" w:type="dxa"/>
            <w:vAlign w:val="bottom"/>
            <w:gridSpan w:val="2"/>
          </w:tcPr>
          <w:p>
            <w:pPr>
              <w:spacing w:after="0"/>
              <w:rPr>
                <w:sz w:val="20"/>
                <w:szCs w:val="20"/>
                <w:color w:val="auto"/>
              </w:rPr>
            </w:pPr>
            <w:r>
              <w:rPr>
                <w:rFonts w:ascii="Arial" w:cs="Arial" w:eastAsia="Arial" w:hAnsi="Arial"/>
                <w:sz w:val="14"/>
                <w:szCs w:val="14"/>
                <w:color w:val="auto"/>
              </w:rPr>
              <w:t>Deborah Bial</w:t>
            </w:r>
          </w:p>
        </w:tc>
        <w:tc>
          <w:tcPr>
            <w:tcW w:w="328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7380" w:type="dxa"/>
            <w:vAlign w:val="bottom"/>
            <w:gridSpan w:val="2"/>
          </w:tcPr>
          <w:p>
            <w:pPr>
              <w:spacing w:after="0"/>
              <w:rPr>
                <w:sz w:val="20"/>
                <w:szCs w:val="20"/>
                <w:color w:val="auto"/>
              </w:rPr>
            </w:pPr>
            <w:r>
              <w:rPr>
                <w:rFonts w:ascii="Arial" w:cs="Arial" w:eastAsia="Arial" w:hAnsi="Arial"/>
                <w:sz w:val="14"/>
                <w:szCs w:val="14"/>
                <w:color w:val="auto"/>
              </w:rPr>
              <w:t>Craig Driscoll</w:t>
            </w:r>
          </w:p>
        </w:tc>
        <w:tc>
          <w:tcPr>
            <w:tcW w:w="328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7380" w:type="dxa"/>
            <w:vAlign w:val="bottom"/>
            <w:gridSpan w:val="2"/>
          </w:tcPr>
          <w:p>
            <w:pPr>
              <w:spacing w:after="0"/>
              <w:rPr>
                <w:sz w:val="20"/>
                <w:szCs w:val="20"/>
                <w:color w:val="auto"/>
              </w:rPr>
            </w:pPr>
            <w:r>
              <w:rPr>
                <w:rFonts w:ascii="Arial" w:cs="Arial" w:eastAsia="Arial" w:hAnsi="Arial"/>
                <w:sz w:val="14"/>
                <w:szCs w:val="14"/>
                <w:color w:val="auto"/>
              </w:rPr>
              <w:t>Fabio Rosati</w:t>
            </w:r>
          </w:p>
        </w:tc>
        <w:tc>
          <w:tcPr>
            <w:tcW w:w="3280" w:type="dxa"/>
            <w:vAlign w:val="bottom"/>
          </w:tcPr>
          <w:p>
            <w:pPr>
              <w:spacing w:after="0"/>
              <w:rPr>
                <w:sz w:val="14"/>
                <w:szCs w:val="14"/>
                <w:color w:val="auto"/>
              </w:rPr>
            </w:pPr>
          </w:p>
        </w:tc>
      </w:tr>
      <w:tr>
        <w:trPr>
          <w:trHeight w:val="413"/>
        </w:trPr>
        <w:tc>
          <w:tcPr>
            <w:tcW w:w="3860" w:type="dxa"/>
            <w:vAlign w:val="bottom"/>
            <w:tcBorders>
              <w:bottom w:val="single" w:sz="8" w:color="auto"/>
            </w:tcBorders>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69"/>
        </w:trPr>
        <w:tc>
          <w:tcPr>
            <w:tcW w:w="738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3280" w:type="dxa"/>
            <w:vAlign w:val="bottom"/>
          </w:tcPr>
          <w:p>
            <w:pPr>
              <w:spacing w:after="0"/>
              <w:rPr>
                <w:sz w:val="14"/>
                <w:szCs w:val="14"/>
                <w:color w:val="auto"/>
              </w:rPr>
            </w:pPr>
          </w:p>
        </w:tc>
      </w:tr>
    </w:tbl>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II-6</w:t>
      </w:r>
    </w:p>
    <w:sectPr>
      <w:pgSz w:w="11900" w:h="16838" w:orient="portrait"/>
      <w:cols w:equalWidth="0" w:num="1">
        <w:col w:w="10820"/>
      </w:cols>
      <w:pgMar w:left="320" w:top="45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1)"/>
      <w:numFmt w:val="decimal"/>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1)"/>
      <w:numFmt w:val="decimal"/>
      <w:start w:val="1"/>
    </w:lvl>
  </w:abstractNum>
  <w:abstractNum w:abstractNumId="16">
    <w:nsid w:val="1EBA5D23"/>
    <w:multiLevelType w:val="hybridMultilevel"/>
    <w:lvl w:ilvl="0">
      <w:lvlJc w:val="left"/>
      <w:lvlText w:val="(%1)"/>
      <w:numFmt w:val="decimal"/>
      <w:start w:val="1"/>
    </w:lvl>
  </w:abstractNum>
  <w:abstractNum w:abstractNumId="17">
    <w:nsid w:val="661E3F1E"/>
    <w:multiLevelType w:val="hybridMultilevel"/>
    <w:lvl w:ilvl="0">
      <w:lvlJc w:val="left"/>
      <w:lvlText w:val="(%1)"/>
      <w:numFmt w:val="decimal"/>
      <w:start w:val="2"/>
    </w:lvl>
  </w:abstractNum>
  <w:abstractNum w:abstractNumId="18">
    <w:nsid w:val="5DC79EA8"/>
    <w:multiLevelType w:val="hybridMultilevel"/>
    <w:lvl w:ilvl="0">
      <w:lvlJc w:val="left"/>
      <w:lvlText w:val="(%1)"/>
      <w:numFmt w:val="decimal"/>
      <w:start w:val="4"/>
    </w:lvl>
  </w:abstractNum>
  <w:abstractNum w:abstractNumId="19">
    <w:nsid w:val="540A471C"/>
    <w:multiLevelType w:val="hybridMultilevel"/>
    <w:lvl w:ilvl="0">
      <w:lvlJc w:val="left"/>
      <w:lvlText w:val="(%1)"/>
      <w:numFmt w:val="decimal"/>
      <w:start w:val="1"/>
    </w:lvl>
  </w:abstractNum>
  <w:abstractNum w:abstractNumId="20">
    <w:nsid w:val="7BD3EE7B"/>
    <w:multiLevelType w:val="hybridMultilevel"/>
    <w:lvl w:ilvl="0">
      <w:lvlJc w:val="left"/>
      <w:lvlText w:val="(%1)"/>
      <w:numFmt w:val="decimal"/>
      <w:start w:val="2"/>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1)"/>
      <w:numFmt w:val="decimal"/>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1)"/>
      <w:numFmt w:val="decimal"/>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1)"/>
      <w:numFmt w:val="decimal"/>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
      <w:numFmt w:val="bullet"/>
      <w:start w:val="1"/>
    </w:lvl>
  </w:abstractNum>
  <w:abstractNum w:abstractNumId="72">
    <w:nsid w:val="5F3534A4"/>
    <w:multiLevelType w:val="hybridMultilevel"/>
    <w:lvl w:ilvl="0">
      <w:lvlJc w:val="left"/>
      <w:lvlText w:val="(%1)"/>
      <w:numFmt w:val="decimal"/>
      <w:start w:val="1"/>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2"/>
    </w:lvl>
  </w:abstractNum>
  <w:abstractNum w:abstractNumId="75">
    <w:nsid w:val="555C55B5"/>
    <w:multiLevelType w:val="hybridMultilevel"/>
    <w:lvl w:ilvl="0">
      <w:lvlJc w:val="left"/>
      <w:lvlText w:val="(%1)"/>
      <w:numFmt w:val="lowerLetter"/>
      <w:start w:val="3"/>
    </w:lvl>
  </w:abstractNum>
  <w:abstractNum w:abstractNumId="76">
    <w:nsid w:val="3FA62ACA"/>
    <w:multiLevelType w:val="hybridMultilevel"/>
    <w:lvl w:ilvl="0">
      <w:lvlJc w:val="left"/>
      <w:lvlText w:val="(%1)"/>
      <w:numFmt w:val="lowerLetter"/>
      <w:start w:val="4"/>
    </w:lvl>
  </w:abstractNum>
  <w:abstractNum w:abstractNumId="77">
    <w:nsid w:val="14FCE74E"/>
    <w:multiLevelType w:val="hybridMultilevel"/>
    <w:lvl w:ilvl="0">
      <w:lvlJc w:val="left"/>
      <w:lvlText w:val="(%1)"/>
      <w:numFmt w:val="lowerLetter"/>
      <w:start w:val="5"/>
    </w:lvl>
  </w:abstractNum>
  <w:abstractNum w:abstractNumId="78">
    <w:nsid w:val="6A3DD3E8"/>
    <w:multiLevelType w:val="hybridMultilevel"/>
    <w:lvl w:ilvl="0">
      <w:lvlJc w:val="left"/>
      <w:lvlText w:val="(%1)"/>
      <w:numFmt w:val="lowerLetter"/>
      <w:start w:val="6"/>
    </w:lvl>
  </w:abstractNum>
  <w:abstractNum w:abstractNumId="79">
    <w:nsid w:val="71C91298"/>
    <w:multiLevelType w:val="hybridMultilevel"/>
    <w:lvl w:ilvl="0">
      <w:lvlJc w:val="left"/>
      <w:lvlText w:val="(%1)"/>
      <w:numFmt w:val="lowerLetter"/>
      <w:start w:val="7"/>
    </w:lvl>
  </w:abstractNum>
  <w:abstractNum w:abstractNumId="80">
    <w:nsid w:val="9DAF632"/>
    <w:multiLevelType w:val="hybridMultilevel"/>
    <w:lvl w:ilvl="0">
      <w:lvlJc w:val="left"/>
      <w:lvlText w:val="(%1)"/>
      <w:numFmt w:val="lowerLetter"/>
      <w:start w:val="8"/>
    </w:lvl>
  </w:abstractNum>
  <w:abstractNum w:abstractNumId="81">
    <w:nsid w:val="53299938"/>
    <w:multiLevelType w:val="hybridMultilevel"/>
    <w:lvl w:ilvl="0">
      <w:lvlJc w:val="left"/>
      <w:lvlText w:val="(%1)"/>
      <w:numFmt w:val="lowerRoman"/>
      <w:start w:val="1"/>
    </w:lvl>
  </w:abstractNum>
  <w:abstractNum w:abstractNumId="82">
    <w:nsid w:val="1FBFE8E0"/>
    <w:multiLevelType w:val="hybridMultilevel"/>
    <w:lvl w:ilvl="0">
      <w:lvlJc w:val="left"/>
      <w:lvlText w:val="(%1)"/>
      <w:numFmt w:val="lowerLetter"/>
      <w:start w:val="10"/>
    </w:lvl>
  </w:abstractNum>
  <w:abstractNum w:abstractNumId="83">
    <w:nsid w:val="5092CA79"/>
    <w:multiLevelType w:val="hybridMultilevel"/>
    <w:lvl w:ilvl="0">
      <w:lvlJc w:val="left"/>
      <w:lvlText w:val="(%1)"/>
      <w:numFmt w:val="lowerLetter"/>
      <w:start w:val="11"/>
    </w:lvl>
  </w:abstractNum>
  <w:abstractNum w:abstractNumId="84">
    <w:nsid w:val="1D545C4D"/>
    <w:multiLevelType w:val="hybridMultilevel"/>
    <w:lvl w:ilvl="0">
      <w:lvlJc w:val="left"/>
      <w:lvlText w:val="(%1)"/>
      <w:numFmt w:val="lowerLetter"/>
      <w:start w:val="12"/>
    </w:lvl>
  </w:abstractNum>
  <w:abstractNum w:abstractNumId="85">
    <w:nsid w:val="59ADEA3D"/>
    <w:multiLevelType w:val="hybridMultilevel"/>
    <w:lvl w:ilvl="0">
      <w:lvlJc w:val="left"/>
      <w:lvlText w:val="(%1)"/>
      <w:numFmt w:val="lowerLetter"/>
      <w:start w:val="13"/>
    </w:lvl>
  </w:abstractNum>
  <w:abstractNum w:abstractNumId="86">
    <w:nsid w:val="288F1A34"/>
    <w:multiLevelType w:val="hybridMultilevel"/>
    <w:lvl w:ilvl="0">
      <w:lvlJc w:val="left"/>
      <w:lvlText w:val="(%1)"/>
      <w:numFmt w:val="lowerLetter"/>
      <w:start w:val="14"/>
    </w:lvl>
  </w:abstractNum>
  <w:abstractNum w:abstractNumId="87">
    <w:nsid w:val="2A155DBC"/>
    <w:multiLevelType w:val="hybridMultilevel"/>
    <w:lvl w:ilvl="0">
      <w:lvlJc w:val="left"/>
      <w:lvlText w:val="(%1)"/>
      <w:numFmt w:val="lowerLetter"/>
      <w:start w:val="15"/>
    </w:lvl>
  </w:abstractNum>
  <w:abstractNum w:abstractNumId="88">
    <w:nsid w:val="1D9F6E5F"/>
    <w:multiLevelType w:val="hybridMultilevel"/>
    <w:lvl w:ilvl="0">
      <w:lvlJc w:val="left"/>
      <w:lvlText w:val="(%1)"/>
      <w:numFmt w:val="lowerLetter"/>
      <w:start w:val="16"/>
    </w:lvl>
  </w:abstractNum>
  <w:abstractNum w:abstractNumId="89">
    <w:nsid w:val="97E1B4E"/>
    <w:multiLevelType w:val="hybridMultilevel"/>
    <w:lvl w:ilvl="0">
      <w:lvlJc w:val="left"/>
      <w:lvlText w:val="(%1)"/>
      <w:numFmt w:val="lowerLetter"/>
      <w:start w:val="17"/>
    </w:lvl>
  </w:abstractNum>
  <w:abstractNum w:abstractNumId="90">
    <w:nsid w:val="51088277"/>
    <w:multiLevelType w:val="hybridMultilevel"/>
    <w:lvl w:ilvl="0">
      <w:lvlJc w:val="left"/>
      <w:lvlText w:val="(%1)"/>
      <w:numFmt w:val="lowerLetter"/>
      <w:start w:val="18"/>
    </w:lvl>
  </w:abstractNum>
  <w:abstractNum w:abstractNumId="91">
    <w:nsid w:val="1CA0C5FA"/>
    <w:multiLevelType w:val="hybridMultilevel"/>
    <w:lvl w:ilvl="0">
      <w:lvlJc w:val="left"/>
      <w:lvlText w:val="(%1)"/>
      <w:numFmt w:val="lowerLetter"/>
      <w:start w:val="19"/>
    </w:lvl>
  </w:abstractNum>
  <w:abstractNum w:abstractNumId="92">
    <w:nsid w:val="53584BCB"/>
    <w:multiLevelType w:val="hybridMultilevel"/>
    <w:lvl w:ilvl="0">
      <w:lvlJc w:val="left"/>
      <w:lvlText w:val="•"/>
      <w:numFmt w:val="bullet"/>
      <w:start w:val="1"/>
    </w:lvl>
  </w:abstractNum>
  <w:abstractNum w:abstractNumId="93">
    <w:nsid w:val="415E286C"/>
    <w:multiLevelType w:val="hybridMultilevel"/>
    <w:lvl w:ilvl="0">
      <w:lvlJc w:val="left"/>
      <w:lvlText w:val="(%1)"/>
      <w:numFmt w:val="lowerLetter"/>
      <w:start w:val="20"/>
    </w:lvl>
  </w:abstractNum>
  <w:abstractNum w:abstractNumId="94">
    <w:nsid w:val="7C58FD05"/>
    <w:multiLevelType w:val="hybridMultilevel"/>
    <w:lvl w:ilvl="0">
      <w:lvlJc w:val="left"/>
      <w:lvlText w:val="(%1)"/>
      <w:numFmt w:val="lowerLetter"/>
      <w:start w:val="21"/>
    </w:lvl>
  </w:abstractNum>
  <w:abstractNum w:abstractNumId="95">
    <w:nsid w:val="23D86AAC"/>
    <w:multiLevelType w:val="hybridMultilevel"/>
    <w:lvl w:ilvl="0">
      <w:lvlJc w:val="left"/>
      <w:lvlText w:val="(%1)"/>
      <w:numFmt w:val="lowerRoman"/>
      <w:start w:val="5"/>
    </w:lvl>
  </w:abstractNum>
  <w:abstractNum w:abstractNumId="96">
    <w:nsid w:val="45E6D486"/>
    <w:multiLevelType w:val="hybridMultilevel"/>
    <w:lvl w:ilvl="0">
      <w:lvlJc w:val="left"/>
      <w:lvlText w:val="(%1)"/>
      <w:numFmt w:val="lowerLetter"/>
      <w:start w:val="23"/>
    </w:lvl>
  </w:abstractNum>
  <w:abstractNum w:abstractNumId="97">
    <w:nsid w:val="5C10FE21"/>
    <w:multiLevelType w:val="hybridMultilevel"/>
    <w:lvl w:ilvl="0">
      <w:lvlJc w:val="left"/>
      <w:lvlText w:val="(%1)"/>
      <w:numFmt w:val="lowerRoman"/>
      <w:start w:val="10"/>
    </w:lvl>
  </w:abstractNum>
  <w:abstractNum w:abstractNumId="98">
    <w:nsid w:val="E7FFA2B"/>
    <w:multiLevelType w:val="hybridMultilevel"/>
    <w:lvl w:ilvl="0">
      <w:lvlJc w:val="left"/>
      <w:lvlText w:val="(%1)"/>
      <w:numFmt w:val="lowerLetter"/>
      <w:start w:val="25"/>
    </w:lvl>
  </w:abstractNum>
  <w:abstractNum w:abstractNumId="99">
    <w:nsid w:val="3C5991AA"/>
    <w:multiLevelType w:val="hybridMultilevel"/>
    <w:lvl w:ilvl="0">
      <w:lvlJc w:val="left"/>
      <w:lvlText w:val="(%1)"/>
      <w:numFmt w:val="decimal"/>
      <w:start w:val="3"/>
    </w:lvl>
  </w:abstractNum>
  <w:abstractNum w:abstractNumId="100">
    <w:nsid w:val="4BD8591A"/>
    <w:multiLevelType w:val="hybridMultilevel"/>
    <w:lvl w:ilvl="0">
      <w:lvlJc w:val="left"/>
      <w:lvlText w:val="(%1)"/>
      <w:numFmt w:val="decimal"/>
      <w:start w:val="4"/>
    </w:lvl>
  </w:abstractNum>
  <w:abstractNum w:abstractNumId="101">
    <w:nsid w:val="78DF6A55"/>
    <w:multiLevelType w:val="hybridMultilevel"/>
    <w:lvl w:ilvl="0">
      <w:lvlJc w:val="left"/>
      <w:lvlText w:val="(%1)"/>
      <w:numFmt w:val="decimal"/>
      <w:start w:val="5"/>
    </w:lvl>
  </w:abstractNum>
  <w:abstractNum w:abstractNumId="102">
    <w:nsid w:val="39B7AAA2"/>
    <w:multiLevelType w:val="hybridMultilevel"/>
    <w:lvl w:ilvl="0">
      <w:lvlJc w:val="left"/>
      <w:lvlText w:val="(%1)"/>
      <w:numFmt w:val="decimal"/>
      <w:start w:val="6"/>
    </w:lvl>
  </w:abstractNum>
  <w:abstractNum w:abstractNumId="103">
    <w:nsid w:val="2B0D8DBE"/>
    <w:multiLevelType w:val="hybridMultilevel"/>
    <w:lvl w:ilvl="0">
      <w:lvlJc w:val="left"/>
      <w:lvlText w:val="(%1)"/>
      <w:numFmt w:val="decimal"/>
      <w:start w:val="7"/>
    </w:lvl>
  </w:abstractNum>
  <w:abstractNum w:abstractNumId="104">
    <w:nsid w:val="6C80EC70"/>
    <w:multiLevelType w:val="hybridMultilevel"/>
    <w:lvl w:ilvl="0">
      <w:lvlJc w:val="left"/>
      <w:lvlText w:val="(%1)"/>
      <w:numFmt w:val="decimal"/>
      <w:start w:val="8"/>
    </w:lvl>
  </w:abstractNum>
  <w:abstractNum w:abstractNumId="105">
    <w:nsid w:val="379E21B5"/>
    <w:multiLevelType w:val="hybridMultilevel"/>
    <w:lvl w:ilvl="0">
      <w:lvlJc w:val="left"/>
      <w:lvlText w:val="(%1)"/>
      <w:numFmt w:val="decimal"/>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2"/>
    </w:lvl>
  </w:abstractNum>
  <w:abstractNum w:abstractNumId="108">
    <w:nsid w:val="4C9B0904"/>
    <w:multiLevelType w:val="hybridMultilevel"/>
    <w:lvl w:ilvl="0">
      <w:lvlJc w:val="left"/>
      <w:lvlText w:val="(%1)"/>
      <w:numFmt w:val="lowerLetter"/>
      <w:start w:val="3"/>
    </w:lvl>
  </w:abstractNum>
  <w:abstractNum w:abstractNumId="109">
    <w:nsid w:val="6AA7B75C"/>
    <w:multiLevelType w:val="hybridMultilevel"/>
    <w:lvl w:ilvl="0">
      <w:lvlJc w:val="left"/>
      <w:lvlText w:val="(%1)"/>
      <w:numFmt w:val="lowerLetter"/>
      <w:start w:val="4"/>
    </w:lvl>
  </w:abstractNum>
  <w:abstractNum w:abstractNumId="110">
    <w:nsid w:val="1DF029D3"/>
    <w:multiLevelType w:val="hybridMultilevel"/>
    <w:lvl w:ilvl="0">
      <w:lvlJc w:val="left"/>
      <w:lvlText w:val="(%1)"/>
      <w:numFmt w:val="lowerLetter"/>
      <w:start w:val="5"/>
    </w:lvl>
  </w:abstractNum>
  <w:abstractNum w:abstractNumId="111">
    <w:nsid w:val="5675FF36"/>
    <w:multiLevelType w:val="hybridMultilevel"/>
    <w:lvl w:ilvl="0">
      <w:lvlJc w:val="left"/>
      <w:lvlText w:val="(%1)"/>
      <w:numFmt w:val="decimal"/>
      <w:start w:val="9"/>
    </w:lvl>
  </w:abstractNum>
  <w:abstractNum w:abstractNumId="112">
    <w:nsid w:val="3DD15094"/>
    <w:multiLevelType w:val="hybridMultilevel"/>
    <w:lvl w:ilvl="0">
      <w:lvlJc w:val="left"/>
      <w:lvlText w:val="(%1)"/>
      <w:numFmt w:val="decimal"/>
      <w:start w:val="10"/>
    </w:lvl>
  </w:abstractNum>
  <w:abstractNum w:abstractNumId="113">
    <w:nsid w:val="3DB012B3"/>
    <w:multiLevelType w:val="hybridMultilevel"/>
    <w:lvl w:ilvl="0">
      <w:lvlJc w:val="left"/>
      <w:lvlText w:val="(%1)"/>
      <w:numFmt w:val="decimal"/>
      <w:start w:val="11"/>
    </w:lvl>
  </w:abstractNum>
  <w:abstractNum w:abstractNumId="114">
    <w:nsid w:val="2708C9AF"/>
    <w:multiLevelType w:val="hybridMultilevel"/>
    <w:lvl w:ilvl="0">
      <w:lvlJc w:val="left"/>
      <w:lvlText w:val="(%1)"/>
      <w:numFmt w:val="decimal"/>
      <w:start w:val="12"/>
    </w:lvl>
  </w:abstractNum>
  <w:abstractNum w:abstractNumId="115">
    <w:nsid w:val="5B25ACE2"/>
    <w:multiLevelType w:val="hybridMultilevel"/>
    <w:lvl w:ilvl="0">
      <w:lvlJc w:val="left"/>
      <w:lvlText w:val="(%1)"/>
      <w:numFmt w:val="decimal"/>
      <w:start w:val="13"/>
    </w:lvl>
  </w:abstractNum>
  <w:abstractNum w:abstractNumId="116">
    <w:nsid w:val="175DFCF0"/>
    <w:multiLevelType w:val="hybridMultilevel"/>
    <w:lvl w:ilvl="0">
      <w:lvlJc w:val="left"/>
      <w:lvlText w:val="(%1)"/>
      <w:numFmt w:val="decimal"/>
      <w:start w:val="14"/>
    </w:lvl>
  </w:abstractNum>
  <w:abstractNum w:abstractNumId="117">
    <w:nsid w:val="4F97E3E4"/>
    <w:multiLevelType w:val="hybridMultilevel"/>
    <w:lvl w:ilvl="0">
      <w:lvlJc w:val="left"/>
      <w:lvlText w:val="(%1)"/>
      <w:numFmt w:val="decimal"/>
      <w:start w:val="15"/>
    </w:lvl>
  </w:abstractNum>
  <w:abstractNum w:abstractNumId="118">
    <w:nsid w:val="53B0A9E"/>
    <w:multiLevelType w:val="hybridMultilevel"/>
    <w:lvl w:ilvl="0">
      <w:lvlJc w:val="left"/>
      <w:lvlText w:val="(%1)"/>
      <w:numFmt w:val="decimal"/>
      <w:start w:val="16"/>
    </w:lvl>
  </w:abstractNum>
  <w:abstractNum w:abstractNumId="119">
    <w:nsid w:val="34FD6B4F"/>
    <w:multiLevelType w:val="hybridMultilevel"/>
    <w:lvl w:ilvl="0">
      <w:lvlJc w:val="left"/>
      <w:lvlText w:val="(%1)"/>
      <w:numFmt w:val="decimal"/>
      <w:start w:val="17"/>
    </w:lvl>
  </w:abstractNum>
  <w:abstractNum w:abstractNumId="120">
    <w:nsid w:val="5915FF32"/>
    <w:multiLevelType w:val="hybridMultilevel"/>
    <w:lvl w:ilvl="0">
      <w:lvlJc w:val="left"/>
      <w:lvlText w:val="(%1)"/>
      <w:numFmt w:val="decimal"/>
      <w:start w:val="18"/>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2"/>
    </w:lvl>
  </w:abstractNum>
  <w:abstractNum w:abstractNumId="126">
    <w:nsid w:val="5046B5A9"/>
    <w:multiLevelType w:val="hybridMultilevel"/>
    <w:lvl w:ilvl="0">
      <w:lvlJc w:val="left"/>
      <w:lvlText w:val="%1"/>
      <w:numFmt w:val="decimal"/>
      <w:start w:val="1"/>
    </w:lvl>
    <w:lvl w:ilvl="1">
      <w:lvlJc w:val="left"/>
      <w:lvlText w:val="(%2)"/>
      <w:numFmt w:val="decimal"/>
      <w:start w:val="1"/>
    </w:lvl>
  </w:abstractNum>
  <w:abstractNum w:abstractNumId="127">
    <w:nsid w:val="5D888A08"/>
    <w:multiLevelType w:val="hybridMultilevel"/>
    <w:lvl w:ilvl="0">
      <w:lvlJc w:val="left"/>
      <w:lvlText w:val="(%1)"/>
      <w:numFmt w:val="decimal"/>
      <w:start w:val="1"/>
    </w:lvl>
    <w:lvl w:ilvl="1">
      <w:lvlJc w:val="left"/>
      <w:lvlText w:val="(%2)"/>
      <w:numFmt w:val="decimal"/>
      <w:start w:val="2"/>
    </w:lvl>
  </w:abstractNum>
  <w:abstractNum w:abstractNumId="128">
    <w:nsid w:val="2A082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2021-06-04T23:11:11Z</dcterms:created>
  <dcterms:modified xsi:type="dcterms:W3CDTF">2021-06-04T23:11:11Z</dcterms:modified>
</cp:coreProperties>
</file>