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As filed with the Securities and Exchange Commission on August 3, 2021</w:t>
      </w:r>
    </w:p>
    <w:p>
      <w:pPr>
        <w:spacing w:after="0" w:line="225" w:lineRule="exact"/>
        <w:rPr>
          <w:sz w:val="24"/>
          <w:szCs w:val="24"/>
          <w:color w:val="auto"/>
        </w:rPr>
      </w:pPr>
    </w:p>
    <w:p>
      <w:pPr>
        <w:ind w:left="87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jc w:val="center"/>
        <w:ind w:right="-1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right"/>
              <w:ind w:right="273"/>
              <w:spacing w:after="0"/>
              <w:rPr>
                <w:sz w:val="20"/>
                <w:szCs w:val="20"/>
                <w:color w:val="auto"/>
              </w:rPr>
            </w:pPr>
            <w:r>
              <w:rPr>
                <w:rFonts w:ascii="Arial" w:cs="Arial" w:eastAsia="Arial" w:hAnsi="Arial"/>
                <w:sz w:val="18"/>
                <w:szCs w:val="18"/>
                <w:b w:val="1"/>
                <w:bCs w:val="1"/>
                <w:color w:val="auto"/>
              </w:rPr>
              <w:t>32-0415449</w:t>
            </w:r>
          </w:p>
        </w:tc>
      </w:tr>
      <w:tr>
        <w:trPr>
          <w:trHeight w:val="148"/>
        </w:trPr>
        <w:tc>
          <w:tcPr>
            <w:tcW w:w="5740" w:type="dxa"/>
            <w:vAlign w:val="bottom"/>
            <w:gridSpan w:val="3"/>
          </w:tcPr>
          <w:p>
            <w:pPr>
              <w:jc w:val="center"/>
              <w:ind w:right="35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72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740" w:type="dxa"/>
            <w:vAlign w:val="bottom"/>
            <w:gridSpan w:val="3"/>
          </w:tcPr>
          <w:p>
            <w:pPr>
              <w:jc w:val="center"/>
              <w:ind w:right="3540"/>
              <w:spacing w:after="0"/>
              <w:rPr>
                <w:sz w:val="20"/>
                <w:szCs w:val="20"/>
                <w:color w:val="auto"/>
              </w:rPr>
            </w:pPr>
            <w:r>
              <w:rPr>
                <w:rFonts w:ascii="Arial" w:cs="Arial" w:eastAsia="Arial" w:hAnsi="Arial"/>
                <w:sz w:val="14"/>
                <w:szCs w:val="14"/>
                <w:b w:val="1"/>
                <w:bCs w:val="1"/>
                <w:color w:val="auto"/>
                <w:w w:val="94"/>
              </w:rPr>
              <w:t>incorporation or organization)</w:t>
            </w:r>
          </w:p>
        </w:tc>
        <w:tc>
          <w:tcPr>
            <w:tcW w:w="1720" w:type="dxa"/>
            <w:vAlign w:val="bottom"/>
          </w:tcPr>
          <w:p>
            <w:pPr>
              <w:jc w:val="center"/>
              <w:ind w:left="33"/>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spacing w:after="0"/>
              <w:rPr>
                <w:sz w:val="24"/>
                <w:szCs w:val="24"/>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7"/>
              </w:rPr>
              <w:t>7529 Standish Place</w:t>
            </w:r>
          </w:p>
        </w:tc>
        <w:tc>
          <w:tcPr>
            <w:tcW w:w="172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8"/>
              </w:rPr>
              <w:t>Suite 200</w:t>
            </w:r>
          </w:p>
        </w:tc>
        <w:tc>
          <w:tcPr>
            <w:tcW w:w="17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Derwood, MD 20855</w:t>
            </w:r>
          </w:p>
        </w:tc>
        <w:tc>
          <w:tcPr>
            <w:tcW w:w="1720" w:type="dxa"/>
            <w:vAlign w:val="bottom"/>
          </w:tcPr>
          <w:p>
            <w:pPr>
              <w:spacing w:after="0"/>
              <w:rPr>
                <w:sz w:val="18"/>
                <w:szCs w:val="18"/>
                <w:color w:val="auto"/>
              </w:rPr>
            </w:pPr>
          </w:p>
        </w:tc>
      </w:tr>
      <w:tr>
        <w:trPr>
          <w:trHeight w:val="212"/>
        </w:trPr>
        <w:tc>
          <w:tcPr>
            <w:tcW w:w="4980" w:type="dxa"/>
            <w:vAlign w:val="bottom"/>
            <w:gridSpan w:val="2"/>
          </w:tcPr>
          <w:p>
            <w:pPr>
              <w:jc w:val="center"/>
              <w:ind w:left="2574"/>
              <w:spacing w:after="0"/>
              <w:rPr>
                <w:sz w:val="20"/>
                <w:szCs w:val="20"/>
                <w:color w:val="auto"/>
              </w:rPr>
            </w:pPr>
            <w:r>
              <w:rPr>
                <w:rFonts w:ascii="Arial" w:cs="Arial" w:eastAsia="Arial" w:hAnsi="Arial"/>
                <w:sz w:val="18"/>
                <w:szCs w:val="18"/>
                <w:b w:val="1"/>
                <w:bCs w:val="1"/>
                <w:color w:val="auto"/>
                <w:w w:val="90"/>
              </w:rPr>
              <w:t>(240) 335-7914</w:t>
            </w: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6"/>
        </w:trPr>
        <w:tc>
          <w:tcPr>
            <w:tcW w:w="5740" w:type="dxa"/>
            <w:vAlign w:val="bottom"/>
            <w:gridSpan w:val="3"/>
          </w:tcPr>
          <w:p>
            <w:pPr>
              <w:jc w:val="center"/>
              <w:ind w:left="1814"/>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20" w:type="dxa"/>
            <w:vAlign w:val="bottom"/>
          </w:tcPr>
          <w:p>
            <w:pPr>
              <w:spacing w:after="0"/>
              <w:rPr>
                <w:sz w:val="16"/>
                <w:szCs w:val="16"/>
                <w:color w:val="auto"/>
              </w:rPr>
            </w:pPr>
          </w:p>
        </w:tc>
      </w:tr>
      <w:tr>
        <w:trPr>
          <w:trHeight w:val="399"/>
        </w:trPr>
        <w:tc>
          <w:tcPr>
            <w:tcW w:w="7460" w:type="dxa"/>
            <w:vAlign w:val="bottom"/>
            <w:gridSpan w:val="4"/>
          </w:tcPr>
          <w:p>
            <w:pPr>
              <w:jc w:val="center"/>
              <w:ind w:left="94"/>
              <w:spacing w:after="0"/>
              <w:rPr>
                <w:sz w:val="20"/>
                <w:szCs w:val="20"/>
                <w:color w:val="auto"/>
              </w:rPr>
            </w:pPr>
            <w:r>
              <w:rPr>
                <w:rFonts w:ascii="Arial" w:cs="Arial" w:eastAsia="Arial" w:hAnsi="Arial"/>
                <w:sz w:val="18"/>
                <w:szCs w:val="18"/>
                <w:b w:val="1"/>
                <w:bCs w:val="1"/>
                <w:color w:val="auto"/>
                <w:w w:val="92"/>
              </w:rPr>
              <w:t>Nextline Manufacturing Corp. 2014 Stock Option Plan</w:t>
            </w:r>
          </w:p>
        </w:tc>
      </w:tr>
      <w:tr>
        <w:trPr>
          <w:trHeight w:val="212"/>
        </w:trPr>
        <w:tc>
          <w:tcPr>
            <w:tcW w:w="5740" w:type="dxa"/>
            <w:vAlign w:val="bottom"/>
            <w:gridSpan w:val="3"/>
          </w:tcPr>
          <w:p>
            <w:pPr>
              <w:jc w:val="center"/>
              <w:ind w:left="1834"/>
              <w:spacing w:after="0"/>
              <w:rPr>
                <w:sz w:val="20"/>
                <w:szCs w:val="20"/>
                <w:color w:val="auto"/>
              </w:rPr>
            </w:pPr>
            <w:r>
              <w:rPr>
                <w:rFonts w:ascii="Arial" w:cs="Arial" w:eastAsia="Arial" w:hAnsi="Arial"/>
                <w:sz w:val="18"/>
                <w:szCs w:val="18"/>
                <w:b w:val="1"/>
                <w:bCs w:val="1"/>
                <w:color w:val="auto"/>
                <w:w w:val="92"/>
              </w:rPr>
              <w:t>Xometry, Inc. 2016 Equity Incentive Plan</w:t>
            </w:r>
          </w:p>
        </w:tc>
        <w:tc>
          <w:tcPr>
            <w:tcW w:w="1720" w:type="dxa"/>
            <w:vAlign w:val="bottom"/>
          </w:tcPr>
          <w:p>
            <w:pPr>
              <w:spacing w:after="0"/>
              <w:rPr>
                <w:sz w:val="18"/>
                <w:szCs w:val="18"/>
                <w:color w:val="auto"/>
              </w:rPr>
            </w:pPr>
          </w:p>
        </w:tc>
      </w:tr>
      <w:tr>
        <w:trPr>
          <w:trHeight w:val="186"/>
        </w:trPr>
        <w:tc>
          <w:tcPr>
            <w:tcW w:w="2660" w:type="dxa"/>
            <w:vAlign w:val="bottom"/>
          </w:tcPr>
          <w:p>
            <w:pPr>
              <w:spacing w:after="0"/>
              <w:rPr>
                <w:sz w:val="16"/>
                <w:szCs w:val="16"/>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(Full title of the plan)</w:t>
            </w:r>
          </w:p>
        </w:tc>
        <w:tc>
          <w:tcPr>
            <w:tcW w:w="1720" w:type="dxa"/>
            <w:vAlign w:val="bottom"/>
          </w:tcPr>
          <w:p>
            <w:pPr>
              <w:spacing w:after="0"/>
              <w:rPr>
                <w:sz w:val="16"/>
                <w:szCs w:val="16"/>
                <w:color w:val="auto"/>
              </w:rPr>
            </w:pPr>
          </w:p>
        </w:tc>
      </w:tr>
      <w:tr>
        <w:trPr>
          <w:trHeight w:val="399"/>
        </w:trPr>
        <w:tc>
          <w:tcPr>
            <w:tcW w:w="2660" w:type="dxa"/>
            <w:vAlign w:val="bottom"/>
          </w:tcPr>
          <w:p>
            <w:pPr>
              <w:spacing w:after="0"/>
              <w:rPr>
                <w:sz w:val="24"/>
                <w:szCs w:val="24"/>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0"/>
              </w:rPr>
              <w:t>Randolph Altschuler</w:t>
            </w:r>
          </w:p>
        </w:tc>
        <w:tc>
          <w:tcPr>
            <w:tcW w:w="172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1"/>
              </w:rPr>
              <w:t>Chief Executive Officer</w:t>
            </w:r>
          </w:p>
        </w:tc>
        <w:tc>
          <w:tcPr>
            <w:tcW w:w="17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3"/>
              </w:rPr>
              <w:t>Xometry, Inc.</w:t>
            </w:r>
          </w:p>
        </w:tc>
        <w:tc>
          <w:tcPr>
            <w:tcW w:w="17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7"/>
              </w:rPr>
              <w:t>7529 Standish Place</w:t>
            </w:r>
          </w:p>
        </w:tc>
        <w:tc>
          <w:tcPr>
            <w:tcW w:w="17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8"/>
              </w:rPr>
              <w:t>Suite 200</w:t>
            </w:r>
          </w:p>
        </w:tc>
        <w:tc>
          <w:tcPr>
            <w:tcW w:w="172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Derwood, MD 20855</w:t>
            </w:r>
          </w:p>
        </w:tc>
        <w:tc>
          <w:tcPr>
            <w:tcW w:w="1720" w:type="dxa"/>
            <w:vAlign w:val="bottom"/>
          </w:tcPr>
          <w:p>
            <w:pPr>
              <w:spacing w:after="0"/>
              <w:rPr>
                <w:sz w:val="18"/>
                <w:szCs w:val="18"/>
                <w:color w:val="auto"/>
              </w:rPr>
            </w:pPr>
          </w:p>
        </w:tc>
      </w:tr>
      <w:tr>
        <w:trPr>
          <w:trHeight w:val="212"/>
        </w:trPr>
        <w:tc>
          <w:tcPr>
            <w:tcW w:w="4980" w:type="dxa"/>
            <w:vAlign w:val="bottom"/>
            <w:gridSpan w:val="2"/>
          </w:tcPr>
          <w:p>
            <w:pPr>
              <w:jc w:val="center"/>
              <w:ind w:left="2574"/>
              <w:spacing w:after="0"/>
              <w:rPr>
                <w:sz w:val="20"/>
                <w:szCs w:val="20"/>
                <w:color w:val="auto"/>
              </w:rPr>
            </w:pPr>
            <w:r>
              <w:rPr>
                <w:rFonts w:ascii="Arial" w:cs="Arial" w:eastAsia="Arial" w:hAnsi="Arial"/>
                <w:sz w:val="18"/>
                <w:szCs w:val="18"/>
                <w:b w:val="1"/>
                <w:bCs w:val="1"/>
                <w:color w:val="auto"/>
                <w:w w:val="90"/>
              </w:rPr>
              <w:t>(240) 335-7914</w:t>
            </w: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6"/>
        </w:trPr>
        <w:tc>
          <w:tcPr>
            <w:tcW w:w="746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336"/>
        </w:trPr>
        <w:tc>
          <w:tcPr>
            <w:tcW w:w="26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26"/>
        </w:trPr>
        <w:tc>
          <w:tcPr>
            <w:tcW w:w="2660" w:type="dxa"/>
            <w:vAlign w:val="bottom"/>
          </w:tcPr>
          <w:p>
            <w:pPr>
              <w:spacing w:after="0"/>
              <w:rPr>
                <w:sz w:val="24"/>
                <w:szCs w:val="24"/>
                <w:color w:val="auto"/>
              </w:rPr>
            </w:pPr>
          </w:p>
        </w:tc>
        <w:tc>
          <w:tcPr>
            <w:tcW w:w="3080" w:type="dxa"/>
            <w:vAlign w:val="bottom"/>
            <w:gridSpan w:val="2"/>
          </w:tcPr>
          <w:p>
            <w:pPr>
              <w:jc w:val="center"/>
              <w:ind w:right="740"/>
              <w:spacing w:after="0"/>
              <w:rPr>
                <w:sz w:val="20"/>
                <w:szCs w:val="20"/>
                <w:color w:val="auto"/>
              </w:rPr>
            </w:pPr>
            <w:r>
              <w:rPr>
                <w:rFonts w:ascii="Arial" w:cs="Arial" w:eastAsia="Arial" w:hAnsi="Arial"/>
                <w:sz w:val="18"/>
                <w:szCs w:val="18"/>
                <w:b w:val="1"/>
                <w:bCs w:val="1"/>
                <w:i w:val="1"/>
                <w:iCs w:val="1"/>
                <w:color w:val="auto"/>
                <w:w w:val="84"/>
              </w:rPr>
              <w:t>Copies to:</w:t>
            </w:r>
          </w:p>
        </w:tc>
        <w:tc>
          <w:tcPr>
            <w:tcW w:w="1720" w:type="dxa"/>
            <w:vAlign w:val="bottom"/>
          </w:tcPr>
          <w:p>
            <w:pPr>
              <w:spacing w:after="0"/>
              <w:rPr>
                <w:sz w:val="24"/>
                <w:szCs w:val="24"/>
                <w:color w:val="auto"/>
              </w:rPr>
            </w:pPr>
          </w:p>
        </w:tc>
      </w:tr>
      <w:tr>
        <w:trPr>
          <w:trHeight w:val="441"/>
        </w:trPr>
        <w:tc>
          <w:tcPr>
            <w:tcW w:w="574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92"/>
              </w:rPr>
              <w:t>Eric Blanchard</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87"/>
              </w:rPr>
              <w:t>James Rallo</w:t>
            </w:r>
          </w:p>
        </w:tc>
      </w:tr>
      <w:tr>
        <w:trPr>
          <w:trHeight w:val="216"/>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89"/>
              </w:rPr>
              <w:t>David Peinsipp</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4"/>
              </w:rPr>
              <w:t>Laurence Zuriff</w:t>
            </w:r>
          </w:p>
        </w:tc>
      </w:tr>
      <w:tr>
        <w:trPr>
          <w:trHeight w:val="216"/>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Michael R. Lincoln</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0"/>
              </w:rPr>
              <w:t>Kristie Scott</w:t>
            </w:r>
          </w:p>
        </w:tc>
      </w:tr>
      <w:tr>
        <w:trPr>
          <w:trHeight w:val="216"/>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4"/>
              </w:rPr>
              <w:t>Derek O. Colla</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1"/>
              </w:rPr>
              <w:t>Xometry, Inc.</w:t>
            </w:r>
          </w:p>
        </w:tc>
      </w:tr>
      <w:tr>
        <w:trPr>
          <w:trHeight w:val="216"/>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Cooley LLP</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87"/>
              </w:rPr>
              <w:t>7529 Standish Place</w:t>
            </w:r>
          </w:p>
        </w:tc>
      </w:tr>
      <w:tr>
        <w:trPr>
          <w:trHeight w:val="216"/>
        </w:trPr>
        <w:tc>
          <w:tcPr>
            <w:tcW w:w="574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0"/>
              </w:rPr>
              <w:t>1299 Pennsylvania Ave. NW</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1"/>
              </w:rPr>
              <w:t>Suite 200</w:t>
            </w:r>
          </w:p>
        </w:tc>
      </w:tr>
      <w:tr>
        <w:trPr>
          <w:trHeight w:val="216"/>
        </w:trPr>
        <w:tc>
          <w:tcPr>
            <w:tcW w:w="574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88"/>
              </w:rPr>
              <w:t>Suite 700</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4"/>
              </w:rPr>
              <w:t>Derwood, MD 20855</w:t>
            </w:r>
          </w:p>
        </w:tc>
      </w:tr>
      <w:tr>
        <w:trPr>
          <w:trHeight w:val="216"/>
        </w:trPr>
        <w:tc>
          <w:tcPr>
            <w:tcW w:w="5740" w:type="dxa"/>
            <w:vAlign w:val="bottom"/>
            <w:gridSpan w:val="3"/>
          </w:tcPr>
          <w:p>
            <w:pPr>
              <w:jc w:val="center"/>
              <w:ind w:right="3560"/>
              <w:spacing w:after="0"/>
              <w:rPr>
                <w:sz w:val="20"/>
                <w:szCs w:val="20"/>
                <w:color w:val="auto"/>
              </w:rPr>
            </w:pPr>
            <w:r>
              <w:rPr>
                <w:rFonts w:ascii="Arial" w:cs="Arial" w:eastAsia="Arial" w:hAnsi="Arial"/>
                <w:sz w:val="18"/>
                <w:szCs w:val="18"/>
                <w:b w:val="1"/>
                <w:bCs w:val="1"/>
                <w:color w:val="auto"/>
                <w:w w:val="90"/>
              </w:rPr>
              <w:t>Washington, DC 20004-2400</w:t>
            </w:r>
          </w:p>
        </w:tc>
        <w:tc>
          <w:tcPr>
            <w:tcW w:w="1720" w:type="dxa"/>
            <w:vAlign w:val="bottom"/>
          </w:tcPr>
          <w:p>
            <w:pPr>
              <w:jc w:val="right"/>
              <w:ind w:right="153"/>
              <w:spacing w:after="0"/>
              <w:rPr>
                <w:sz w:val="20"/>
                <w:szCs w:val="20"/>
                <w:color w:val="auto"/>
              </w:rPr>
            </w:pPr>
            <w:r>
              <w:rPr>
                <w:rFonts w:ascii="Arial" w:cs="Arial" w:eastAsia="Arial" w:hAnsi="Arial"/>
                <w:sz w:val="18"/>
                <w:szCs w:val="18"/>
                <w:b w:val="1"/>
                <w:bCs w:val="1"/>
                <w:color w:val="auto"/>
              </w:rPr>
              <w:t>(240) 335-7914</w:t>
            </w:r>
          </w:p>
        </w:tc>
      </w:tr>
      <w:tr>
        <w:trPr>
          <w:trHeight w:val="234"/>
        </w:trPr>
        <w:tc>
          <w:tcPr>
            <w:tcW w:w="2660" w:type="dxa"/>
            <w:vAlign w:val="bottom"/>
          </w:tcPr>
          <w:p>
            <w:pPr>
              <w:jc w:val="center"/>
              <w:ind w:right="374"/>
              <w:spacing w:after="0"/>
              <w:rPr>
                <w:sz w:val="20"/>
                <w:szCs w:val="20"/>
                <w:color w:val="auto"/>
              </w:rPr>
            </w:pPr>
            <w:r>
              <w:rPr>
                <w:rFonts w:ascii="Arial" w:cs="Arial" w:eastAsia="Arial" w:hAnsi="Arial"/>
                <w:sz w:val="18"/>
                <w:szCs w:val="18"/>
                <w:b w:val="1"/>
                <w:bCs w:val="1"/>
                <w:color w:val="auto"/>
                <w:w w:val="90"/>
              </w:rPr>
              <w:t>(202) 842-7800</w:t>
            </w:r>
          </w:p>
        </w:tc>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120"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80"/>
          </w:cols>
          <w:pgMar w:left="320" w:top="230" w:right="499" w:bottom="103" w:gutter="0" w:footer="0" w:header="0"/>
        </w:sectPr>
      </w:pPr>
    </w:p>
    <w:bookmarkStart w:id="1" w:name="page2"/>
    <w:bookmarkEnd w:id="1"/>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7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7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9"/>
              </w:rPr>
              <w:t>Maximum</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12"/>
                <w:szCs w:val="12"/>
                <w:b w:val="1"/>
                <w:bCs w:val="1"/>
                <w:color w:val="auto"/>
                <w:w w:val="93"/>
              </w:rPr>
              <w:t>(2)</w:t>
            </w:r>
          </w:p>
        </w:tc>
        <w:tc>
          <w:tcPr>
            <w:tcW w:w="16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$0.000001 par value per share</w:t>
            </w:r>
          </w:p>
        </w:tc>
        <w:tc>
          <w:tcPr>
            <w:tcW w:w="154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1"/>
              </w:rPr>
              <w:t>304,498</w:t>
            </w:r>
            <w:r>
              <w:rPr>
                <w:rFonts w:ascii="Arial" w:cs="Arial" w:eastAsia="Arial" w:hAnsi="Arial"/>
                <w:sz w:val="15"/>
                <w:szCs w:val="15"/>
                <w:color w:val="auto"/>
                <w:w w:val="91"/>
              </w:rPr>
              <w:t>(3)</w:t>
            </w:r>
          </w:p>
        </w:tc>
        <w:tc>
          <w:tcPr>
            <w:tcW w:w="15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$80.70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$24,572,988.60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$2,681.00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0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promulgated under the Securities Act of 1933, as amended (the “Securities Act”), this Registration Statement shall also cover any additional shares of the Registrant’s Class A common stock that become issuable under the terms and conditions of the equity plan grants pursuant to which such shares were issued by the Registrant set forth herein by reason of any stock dividend, stock split, recapitalization or other similar transaction effected without receipt of consideration that increases the number of outstanding shares of the Registrant’s Class A common stock.</w:t>
      </w:r>
    </w:p>
    <w:p>
      <w:pPr>
        <w:spacing w:after="0" w:line="2"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457(h) of the Securities Act. The proposed maximum offering price per share and the proposed maximum aggregate offering price are based on the average of the high and low prices of the Registrant’s Class A common stock on August 2, 2021 as reported on the Nasdaq Global Select Market.</w:t>
      </w:r>
    </w:p>
    <w:p>
      <w:pPr>
        <w:spacing w:after="0" w:line="1" w:lineRule="exact"/>
        <w:rPr>
          <w:rFonts w:ascii="Arial" w:cs="Arial" w:eastAsia="Arial" w:hAnsi="Arial"/>
          <w:sz w:val="18"/>
          <w:szCs w:val="18"/>
          <w:color w:val="auto"/>
        </w:rPr>
      </w:pPr>
    </w:p>
    <w:p>
      <w:pPr>
        <w:ind w:left="424" w:right="20" w:hanging="424"/>
        <w:spacing w:after="0" w:line="271"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shares of Class A common stock that are being registered hereby are subject to certain agreements (the “Market Stand-off Agreements”) not to sell such shares for up to 180 days following the date of the prospectus related to the Company’s initial public offering (“IPO”). As permitted by the underwriting agreement dated June 29, 2021 among the Company and the underwriters for the IPO, the Company has released 20% of the aggregate shares and vested options held as of July 28, 2021 by the Selling Stockholders named herein. The shares that are not released from the Market Stand-off Agreements remain subject to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certain of those shares of Class A common stock (the “Shares”) of Xometry, Inc. (“us”, “we” or the “Registrant”) referred to above that constitute “control securities” or “restricted securities,” within the meaning of the Securities Act, by certain stockholders that are employees or former employees of the Registrant (the “Selling Stockholders”) for their own accounts. The shares of Class A common stock held by the Selling Stockholders are subject to certain agreements (the “Market Stand-off Agreements”) not to sell such shares for up to 180 days following the date of the prospectus related to the Company’s initial public offering (“IPO”). As permitted by the underwriting agreement dated June 29, 2021 among the Company and the underwriters for the IPO, the Company has released 20% of the aggregate shares and vested options held by such Selling Stockholders, as of July 28, 2021. The Shares that are not released from the Market Stand-off Agreements remain subject to such Agreements.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171450</wp:posOffset>
            </wp:positionV>
            <wp:extent cx="1183005"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00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XOMETRY, INC.</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304,498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This prospectus relates to 304,498 shares of Class A common stock, par value $0.000001 per share (the “Shares”), of Xometry, Inc., which may be offered from time to time by certain stockholders that are our employees or former employees (the “Selling Stockholders”) for their own accounts. We will not receive any of the proceeds from the sale of Shares by the Selling Stockholders made hereunder. The Shares were acquired by the Selling Stockholders pursuant to our 2016 Plan and our 2014 Plan (together, the “Plans”).</w:t>
      </w:r>
    </w:p>
    <w:p>
      <w:pPr>
        <w:spacing w:after="0" w:line="18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Selling Stockholders may sell the securities described in this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the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“XMTR.” On August 2, 2021, the last reported sale price of our Class A common stock was $81.35 per share.</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shares of Class A common stock held by the Selling Stockholders are subject to certain agreements (the “Market Stand-off Agreements”) not to sell such shares for up to 180 days following the date of the prospectus related to our initial public offering (“IPO”). As permitted by the underwriting agreement dated June 29, 2021 among us and the underwriters for the IPO, we have released 20% of the aggregate shares and vested options held by such Selling Stockholders, as of July 28, 2021. The Shares that are not released from the Market Stand-off Agreements remain subject to such Agreements. The amount of securities to be offered or resold under this reoffer prospectus by each Selling Stockholder or other person with whom he or she is acting in concert for the purpose of selling our securities, may not exceed, during any three month period, the amount specified in Rule 144(e) under the Securities Act.</w:t>
      </w:r>
    </w:p>
    <w:p>
      <w:pPr>
        <w:spacing w:after="0" w:line="299" w:lineRule="exact"/>
        <w:rPr>
          <w:sz w:val="20"/>
          <w:szCs w:val="20"/>
          <w:color w:val="auto"/>
        </w:rPr>
      </w:pPr>
    </w:p>
    <w:p>
      <w:pPr>
        <w:ind w:left="120" w:right="540"/>
        <w:spacing w:after="0" w:line="312"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left="120" w:right="340"/>
        <w:spacing w:after="0" w:line="333"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Before buying any securities, you should carefully read the discussion of the risks of investing in our securities in “</w:t>
      </w:r>
      <w:hyperlink w:anchor="page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 of this prospectus.</w:t>
      </w:r>
    </w:p>
    <w:p>
      <w:pPr>
        <w:spacing w:after="0" w:line="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291" w:lineRule="exact"/>
        <w:rPr>
          <w:sz w:val="20"/>
          <w:szCs w:val="20"/>
          <w:color w:val="auto"/>
        </w:rPr>
      </w:pPr>
    </w:p>
    <w:p>
      <w:pPr>
        <w:ind w:left="120" w:right="5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The date of this prospectus is August 3, 2021</w:t>
      </w:r>
    </w:p>
    <w:p>
      <w:pPr>
        <w:sectPr>
          <w:pgSz w:w="11900" w:h="16838" w:orient="portrait"/>
          <w:cols w:equalWidth="0" w:num="1">
            <w:col w:w="11080"/>
          </w:cols>
          <w:pgMar w:left="320" w:top="459" w:right="4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80" w:type="dxa"/>
            <w:vAlign w:val="bottom"/>
            <w:tcBorders>
              <w:bottom w:val="single" w:sz="8" w:color="0000EE"/>
            </w:tcBorders>
            <w:gridSpan w:val="4"/>
          </w:tcPr>
          <w:p>
            <w:pPr>
              <w:spacing w:after="0" w:line="190"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6960" w:type="dxa"/>
            <w:vAlign w:val="bottom"/>
            <w:gridSpan w:val="11"/>
          </w:tcPr>
          <w:p>
            <w:pPr>
              <w:spacing w:after="0"/>
              <w:rPr>
                <w:sz w:val="16"/>
                <w:szCs w:val="16"/>
                <w:color w:val="auto"/>
              </w:rPr>
            </w:pPr>
          </w:p>
        </w:tc>
        <w:tc>
          <w:tcPr>
            <w:tcW w:w="27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FORWARD-LOOKING STATEMENTS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USE OF PROCEEDS</w:t>
              </w:r>
            </w:hyperlink>
          </w:p>
        </w:tc>
        <w:tc>
          <w:tcPr>
            <w:tcW w:w="3740" w:type="dxa"/>
            <w:vAlign w:val="bottom"/>
            <w:tcBorders>
              <w:top w:val="single" w:sz="8" w:color="0000EE"/>
            </w:tcBorders>
            <w:gridSpan w:val="5"/>
          </w:tcPr>
          <w:p>
            <w:pPr>
              <w:spacing w:after="0"/>
              <w:rPr>
                <w:sz w:val="17"/>
                <w:szCs w:val="17"/>
                <w:color w:val="auto"/>
              </w:rPr>
            </w:pPr>
          </w:p>
        </w:tc>
        <w:tc>
          <w:tcPr>
            <w:tcW w:w="2920" w:type="dxa"/>
            <w:vAlign w:val="bottom"/>
            <w:gridSpan w:val="3"/>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SELLING STOCKHOLDERS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PLAN OF DISTRIBUTION</w:t>
              </w:r>
            </w:hyperlink>
          </w:p>
        </w:tc>
        <w:tc>
          <w:tcPr>
            <w:tcW w:w="6040" w:type="dxa"/>
            <w:vAlign w:val="bottom"/>
            <w:gridSpan w:val="6"/>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6200" w:type="dxa"/>
            <w:vAlign w:val="bottom"/>
            <w:gridSpan w:val="7"/>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INFORMATION INCORPORATED BY REFERENCE</w:t>
              </w:r>
            </w:hyperlink>
          </w:p>
        </w:tc>
        <w:tc>
          <w:tcPr>
            <w:tcW w:w="4220" w:type="dxa"/>
            <w:vAlign w:val="bottom"/>
            <w:gridSpan w:val="4"/>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PART I INFORMATION REQUIRED IN THE SECTION 10(A) PROSPECTUS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r>
      <w:tr>
        <w:trPr>
          <w:trHeight w:val="196"/>
        </w:trPr>
        <w:tc>
          <w:tcPr>
            <w:tcW w:w="5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PART II INFORMATION REQUIRED IN REGISTRATION STATEMENT</w:t>
              </w:r>
            </w:hyperlink>
          </w:p>
        </w:tc>
        <w:tc>
          <w:tcPr>
            <w:tcW w:w="2400" w:type="dxa"/>
            <w:vAlign w:val="bottom"/>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II-1</w:t>
            </w:r>
          </w:p>
        </w:tc>
      </w:tr>
      <w:tr>
        <w:trPr>
          <w:trHeight w:val="196"/>
        </w:trPr>
        <w:tc>
          <w:tcPr>
            <w:tcW w:w="5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2760" w:type="dxa"/>
            <w:vAlign w:val="bottom"/>
            <w:gridSpan w:val="2"/>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II-3</w:t>
            </w:r>
          </w:p>
        </w:tc>
      </w:tr>
      <w:tr>
        <w:trPr>
          <w:trHeight w:val="196"/>
        </w:trPr>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SIGNATURES</w:t>
              </w:r>
            </w:hyperlink>
          </w:p>
        </w:tc>
        <w:tc>
          <w:tcPr>
            <w:tcW w:w="220" w:type="dxa"/>
            <w:vAlign w:val="bottom"/>
            <w:tcBorders>
              <w:top w:val="single" w:sz="8" w:color="0000EE"/>
            </w:tcBorders>
            <w:gridSpan w:val="3"/>
          </w:tcPr>
          <w:p>
            <w:pPr>
              <w:spacing w:after="0"/>
              <w:rPr>
                <w:sz w:val="17"/>
                <w:szCs w:val="17"/>
                <w:color w:val="auto"/>
              </w:rPr>
            </w:pPr>
          </w:p>
        </w:tc>
        <w:tc>
          <w:tcPr>
            <w:tcW w:w="6920" w:type="dxa"/>
            <w:vAlign w:val="bottom"/>
            <w:gridSpan w:val="10"/>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II-5</w:t>
            </w:r>
          </w:p>
        </w:tc>
      </w:tr>
    </w:tbl>
    <w:p>
      <w:pPr>
        <w:spacing w:after="0" w:line="22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You should rely only on the information contained in this prospectus or in any accompanying prospectus supplement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the information appearing in this prospectus is accurate only as of the date on the front cover of this prospectus, regardless of the time of delivery of this prospectus or of any sale of the Shares. Our business, financial condition, results of operations and prospects may have changed since that date.</w:t>
      </w:r>
    </w:p>
    <w:p>
      <w:pPr>
        <w:spacing w:after="0" w:line="161"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the Xometry logo, and our other registered and common law trade names, trademarks and service marks are the property of Xometry, Inc. or our subsidiaries.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the context otherwise requires, all references in this prospectus to “we,” “us,” “our,” “our company,” “XMTR,” or similar terms refer to Xometry, Inc. and its subsidiaries.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Xometry, Inc.</w:t>
      </w:r>
    </w:p>
    <w:p>
      <w:pPr>
        <w:spacing w:after="0" w:line="121" w:lineRule="exact"/>
        <w:rPr>
          <w:sz w:val="20"/>
          <w:szCs w:val="20"/>
          <w:color w:val="auto"/>
        </w:rPr>
      </w:pPr>
    </w:p>
    <w:p>
      <w:pPr>
        <w:jc w:val="both"/>
        <w:ind w:left="300" w:right="540"/>
        <w:spacing w:after="0" w:line="263"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We were incorporated in 2013 under the name NextLine Manufacturing Corp. We changed our name to Xometry, Inc. on 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and is an inactive textual reference only, and you should not consider information on our website to be part of this prospectus or in deciding whether or not to purchase our Class A common stock.</w:t>
      </w:r>
    </w:p>
    <w:p>
      <w:pPr>
        <w:spacing w:after="0" w:line="3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An investment in shares of our Class A common stock is highly speculative and involves a high degree of risk. We face a variety of risks that may affect our operations or financial results and many of those risks are driven by factors that we cannot control or predict. Before investing in our Class A common stock, you should carefully consider the risks set forth under the caption “Risk Factors” in our final prospectus filed with the Securities and Exchange Commission on June 29, 2021 pursuant to Rule 424(b)(4), which are incorporated by reference herein, and subsequent reports filed with the SEC, together with the financial and other information contained or incorporated by reference in this prospectus. If any of these risks actually occurs, our business, prospects, financial condition and results of operations could be materially adversely affected. In that case, the trading price of our Class A common stock would likely decline and you may lose all or a part of your investment. Only those investors who can bear the risk of loss of their entire investment should invest in our Class A common stock.</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and Section 21E of the Securities Exchange Act and the Private Securities Litigation Reform Act of 1995) about us and our industry that involve substantial risks and uncertainties. All statements other than statements of historical facts contained or incorporated by reference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84"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or other proprietary rights and any costs associated therewith;</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2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and the documents incorporated by reference herein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or incorporated by reference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forward-looking statements made or incorporated by reference in this prospectus relate only to events as of the date on which the statements are made. We undertake no obligation to update any forward-looking statements made in this prospectus or incorporated by reference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320" w:top="459" w:right="9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July 29, 2021, as adjusted to reflect the Shares that may be sold from time to time pursuant to this prospectus, for all Selling Stockholders, consisting of the individuals shown as having shares listed in the column entitled “Shares Being Offered.”</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Shares being registered by this prospectus consist of an aggregate of 304,498 outstanding Shares acquired by certain of our employees and former employees upon the exercise of equity plan grants between June 26, 2014 and June 29, 2021. The shares of Class A common stock held by the Selling Stockholders are subject to certain agreements (the “Market Stand-off Agreements”) not to sell such shares for up to 180 days following the date of the prospectus related to our initial public offering (“IPO”). As permitted by the underwriting agreement dated June 29, 2021 among us and the underwriters for the IPO, we have released 20% of the aggregate shares and vested options held by such Selling Stockholders, as of July 28, 2021. The Shares that are not released from the Market Stand-off Agreements remain subject to such Agreements. 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options held by that person that are currently exercisable or exercisable within 60 days of July 29, 2021. We did not deem these shares outstanding, however, for the purpose of computing the percentage ownership of any other person.</w:t>
      </w:r>
    </w:p>
    <w:p>
      <w:pPr>
        <w:spacing w:after="0" w:line="1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based percentage ownership of our common stock prior to this offering on 41,654,834 shares of Class A common stock and 2,676,154 shares of Class B common stock outstanding as of July 29, 2021, unless otherwise noted.</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Xometry, Inc., 7529 Standish Place, Suite 200, Derwood, MD 20855.</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80" w:type="dxa"/>
            <w:vAlign w:val="bottom"/>
            <w:gridSpan w:val="6"/>
          </w:tcPr>
          <w:p>
            <w:pPr>
              <w:jc w:val="center"/>
              <w:ind w:left="83"/>
              <w:spacing w:after="0"/>
              <w:rPr>
                <w:sz w:val="20"/>
                <w:szCs w:val="20"/>
                <w:color w:val="auto"/>
              </w:rPr>
            </w:pPr>
            <w:r>
              <w:rPr>
                <w:rFonts w:ascii="Arial" w:cs="Arial" w:eastAsia="Arial" w:hAnsi="Arial"/>
                <w:sz w:val="14"/>
                <w:szCs w:val="14"/>
                <w:b w:val="1"/>
                <w:bCs w:val="1"/>
                <w:color w:val="auto"/>
                <w:w w:val="93"/>
              </w:rPr>
              <w:t>Beneficial Ownership Prior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7"/>
          </w:tcPr>
          <w:p>
            <w:pPr>
              <w:jc w:val="center"/>
              <w:ind w:left="142"/>
              <w:spacing w:after="0"/>
              <w:rPr>
                <w:sz w:val="20"/>
                <w:szCs w:val="20"/>
                <w:color w:val="auto"/>
              </w:rPr>
            </w:pPr>
            <w:r>
              <w:rPr>
                <w:rFonts w:ascii="Arial" w:cs="Arial" w:eastAsia="Arial" w:hAnsi="Arial"/>
                <w:sz w:val="14"/>
                <w:szCs w:val="14"/>
                <w:b w:val="1"/>
                <w:bCs w:val="1"/>
                <w:color w:val="auto"/>
                <w:w w:val="93"/>
              </w:rPr>
              <w:t>Beneficial Ownership After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80" w:type="dxa"/>
            <w:vAlign w:val="bottom"/>
            <w:tcBorders>
              <w:bottom w:val="single" w:sz="8" w:color="auto"/>
            </w:tcBorders>
            <w:gridSpan w:val="6"/>
          </w:tcPr>
          <w:p>
            <w:pPr>
              <w:jc w:val="center"/>
              <w:ind w:left="83"/>
              <w:spacing w:after="0"/>
              <w:rPr>
                <w:sz w:val="20"/>
                <w:szCs w:val="20"/>
                <w:color w:val="auto"/>
              </w:rPr>
            </w:pPr>
            <w:r>
              <w:rPr>
                <w:rFonts w:ascii="Arial" w:cs="Arial" w:eastAsia="Arial" w:hAnsi="Arial"/>
                <w:sz w:val="14"/>
                <w:szCs w:val="14"/>
                <w:b w:val="1"/>
                <w:bCs w:val="1"/>
                <w:color w:val="auto"/>
                <w:w w:val="95"/>
              </w:rPr>
              <w:t>to the Offering</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 of Class A</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5"/>
              </w:rPr>
              <w:t>the Offering</w:t>
            </w:r>
            <w:r>
              <w:rPr>
                <w:rFonts w:ascii="Arial" w:cs="Arial" w:eastAsia="Arial" w:hAnsi="Arial"/>
                <w:sz w:val="12"/>
                <w:szCs w:val="12"/>
                <w:b w:val="1"/>
                <w:bCs w:val="1"/>
                <w:color w:val="auto"/>
                <w:w w:val="95"/>
              </w:rPr>
              <w:t>(2)</w:t>
            </w: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6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660" w:type="dxa"/>
            <w:vAlign w:val="bottom"/>
            <w:gridSpan w:val="2"/>
          </w:tcPr>
          <w:p>
            <w:pPr>
              <w:jc w:val="center"/>
              <w:ind w:left="82"/>
              <w:spacing w:after="0" w:line="129" w:lineRule="exact"/>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Class A</w:t>
            </w:r>
          </w:p>
        </w:tc>
        <w:tc>
          <w:tcPr>
            <w:tcW w:w="800" w:type="dxa"/>
            <w:vAlign w:val="bottom"/>
            <w:gridSpan w:val="2"/>
            <w:vMerge w:val="restart"/>
          </w:tcPr>
          <w:p>
            <w:pPr>
              <w:jc w:val="center"/>
              <w:ind w:left="141"/>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1620" w:type="dxa"/>
            <w:vAlign w:val="bottom"/>
            <w:gridSpan w:val="5"/>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Stock Being</w:t>
            </w: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Arial" w:cs="Arial" w:eastAsia="Arial" w:hAnsi="Arial"/>
                <w:sz w:val="14"/>
                <w:szCs w:val="14"/>
                <w:b w:val="1"/>
                <w:bCs w:val="1"/>
                <w:color w:val="auto"/>
              </w:rPr>
              <w:t>Selling Stockholder</w:t>
            </w: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Offered</w:t>
            </w:r>
            <w:r>
              <w:rPr>
                <w:rFonts w:ascii="Arial" w:cs="Arial" w:eastAsia="Arial" w:hAnsi="Arial"/>
                <w:sz w:val="12"/>
                <w:szCs w:val="12"/>
                <w:b w:val="1"/>
                <w:bCs w:val="1"/>
                <w:color w:val="auto"/>
                <w:w w:val="96"/>
              </w:rPr>
              <w:t>(1)</w:t>
            </w:r>
          </w:p>
        </w:tc>
        <w:tc>
          <w:tcPr>
            <w:tcW w:w="8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Named Selling Stockholders</w:t>
            </w:r>
            <w:r>
              <w:rPr>
                <w:rFonts w:ascii="Arial" w:cs="Arial" w:eastAsia="Arial" w:hAnsi="Arial"/>
                <w:sz w:val="15"/>
                <w:szCs w:val="15"/>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1,525,967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300,314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1,225,653</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2.94</w:t>
            </w:r>
          </w:p>
        </w:tc>
        <w:tc>
          <w:tcPr>
            <w:tcW w:w="800" w:type="dxa"/>
            <w:vAlign w:val="bottom"/>
            <w:gridSpan w:val="2"/>
          </w:tcPr>
          <w:p>
            <w:pPr>
              <w:jc w:val="center"/>
              <w:ind w:left="121"/>
              <w:spacing w:after="0"/>
              <w:rPr>
                <w:sz w:val="20"/>
                <w:szCs w:val="20"/>
                <w:color w:val="auto"/>
              </w:rPr>
            </w:pPr>
            <w:r>
              <w:rPr>
                <w:rFonts w:ascii="Arial" w:cs="Arial" w:eastAsia="Arial" w:hAnsi="Arial"/>
                <w:sz w:val="18"/>
                <w:szCs w:val="18"/>
                <w:color w:val="auto"/>
                <w:w w:val="79"/>
              </w:rPr>
              <w:t>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Selling Stockholders</w:t>
            </w:r>
            <w:r>
              <w:rPr>
                <w:rFonts w:ascii="Arial" w:cs="Arial" w:eastAsia="Arial" w:hAnsi="Arial"/>
                <w:sz w:val="15"/>
                <w:szCs w:val="15"/>
                <w:color w:val="auto"/>
              </w:rPr>
              <w:t>(5)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21,793</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17,609</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800" w:type="dxa"/>
            <w:vAlign w:val="bottom"/>
            <w:gridSpan w:val="2"/>
            <w:shd w:val="clear" w:color="auto" w:fill="CCEEFF"/>
          </w:tcPr>
          <w:p>
            <w:pPr>
              <w:jc w:val="center"/>
              <w:ind w:left="121"/>
              <w:spacing w:after="0"/>
              <w:rPr>
                <w:sz w:val="20"/>
                <w:szCs w:val="20"/>
                <w:color w:val="auto"/>
              </w:rPr>
            </w:pPr>
            <w:r>
              <w:rPr>
                <w:rFonts w:ascii="Arial" w:cs="Arial" w:eastAsia="Arial" w:hAnsi="Arial"/>
                <w:sz w:val="18"/>
                <w:szCs w:val="18"/>
                <w:color w:val="auto"/>
                <w:w w:val="79"/>
              </w:rPr>
              <w:t>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shares of our Class A common stock offered under this prospectus.</w:t>
      </w:r>
    </w:p>
    <w:p>
      <w:pPr>
        <w:spacing w:after="0" w:line="23"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that all of the Shares held by each Selling Stockholder and being offered under this prospectus are sold, and that no Selling Stockholder will acquire additional shares of common stock before the completion of this offering.</w:t>
      </w:r>
    </w:p>
    <w:p>
      <w:pPr>
        <w:ind w:left="540" w:right="2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following 77 named non-affiliate persons, each of whom holds at least 1,000 Shares: Dmitry Kafidov, Albert Belousov, Alexander Belskiy, Gregory Paulsen, Kevin Scofield, Charles Turkington, Aaron Lichtig, Babak Youssefi, Alex Gunter, Erik Schwartz, Brian Deignan, Chris Cope, Stephen Schwab, Kimberly White, Robert Uhlenbrock, Daniel Senai, Rachel Rush, Mark Gallagher, Jordan Greco, Matthew Topelius, Michael Dickson, Simona Chetan, John Clemmens, Tom Kurke, Orin Berman, Daniel Richards, Ted Lubin, Brady Gambatese, Jeff Duncan, Manga Dhatrika, Danny Chang, Mark Wicks, Luke Hendrix, Shawn Stanley, John Andrews, Joshua Smith, Tim Bowman, Bhargavi Maradugu, Joyce Aguilar, Kuo Lee, Brian Herbert, Elizabeth Branton, Eric Sinzinger, Andrew MacDowell, David Tedder, Drura Parrish, Charles Scott Rothrock, Garitt Quigley, Rebecca Moran, Hunter Guerin, Laurel Johnson, Katherine Verrant, Dwipam Katariya, William Sankey, Jonathan Epstein, Jose Morales, Ryan Kelly, Jia Ni, John Coyne, Chase Southard, Eugenie LaCourt, Valerie Coffman, Prasanna Pagadala, Andri Rizhakov, Tom James, Angela Kinsella, Yevhen Lukin, Benjamin Smedberg, Don Paul Corbin, Dan Robinson, Graham Taylor, Thomas Schwend, Will Levine, Joel Schadegg, Saifu Muhammad, Tim Knowlton, and Justin Burnette. Each of these persons beneficially owns less than 1% of our capital</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540" w:right="220" w:hanging="424"/>
        <w:spacing w:after="0" w:line="26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61 unnamed non-affiliate persons, each of whom holds less than 1,000 Shares and each of whom may sell up to such amount using this prospectus. Each of these persons beneficially owns less than 1% of our capital stock.</w:t>
      </w:r>
    </w:p>
    <w:p>
      <w:pPr>
        <w:spacing w:after="0" w:line="185"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 Selling Stockholders listed in the above table may have sold or transferred, in transactions pursuant to this prospectus or exempt from the registration requirements of the Securities Act, some or all of their securities since the date on which the information in the above table is presented. Information about the Selling Stockholders may change from time to time. Information about other persons who may hereafter become Selling Stockholders will be set forth in prospectus supplements or post-effective amendments, if required.</w:t>
      </w:r>
    </w:p>
    <w:p>
      <w:pPr>
        <w:spacing w:after="0" w:line="17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Because the Selling Stockholders may offer all or some of their Shares from time to time, and none is obligated to sell any such Shares, we cannot estimate the beneficial ownership after this offering with any certainty. Also, this prospectus does not include awards that we may grant to the Selling Stockholders in the future. Such shares may subsequently be sold pursuant to this prospectus, as supplemented to reflect the offering of such shares for resale or in transactions exempt from the registration requirements of the Securities Act. See “Plan of Distribution” for further information.</w:t>
      </w:r>
    </w:p>
    <w:p>
      <w:pPr>
        <w:sectPr>
          <w:pgSz w:w="11900" w:h="16838" w:orient="portrait"/>
          <w:cols w:equalWidth="0" w:num="1">
            <w:col w:w="11140"/>
          </w:cols>
          <w:pgMar w:left="320" w:top="459" w:right="439" w:bottom="1440" w:gutter="0" w:footer="0" w:header="0"/>
        </w:sectPr>
      </w:pP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offered by this prospectus may be sold from time to time to purchasers:</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directly by the Selling Stockholders, or</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may be sold in one or more transactions at:</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31" w:lineRule="exact"/>
        <w:rPr>
          <w:sz w:val="20"/>
          <w:szCs w:val="20"/>
          <w:color w:val="auto"/>
        </w:rPr>
      </w:pPr>
    </w:p>
    <w:p>
      <w:pPr>
        <w:ind w:left="1080" w:right="3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Shares may be listed or quoted at the time of sale, including the Nasdaq;</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70"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8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validity of the Shares offered hereby has been passed upon by Cooley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consolidated financial statements of Xometry, Inc. as of and for the years ended December 31, 2020 and 2019 have been incorporated by reference herein into this Prospectus and Registration Statement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filed with the SEC are hereby incorporated by reference in this prospectus:</w:t>
      </w:r>
    </w:p>
    <w:p>
      <w:pPr>
        <w:spacing w:after="0" w:line="131" w:lineRule="exact"/>
        <w:rPr>
          <w:sz w:val="20"/>
          <w:szCs w:val="20"/>
          <w:color w:val="auto"/>
        </w:rPr>
      </w:pPr>
    </w:p>
    <w:p>
      <w:pPr>
        <w:jc w:val="both"/>
        <w:ind w:left="1080" w:right="1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34">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July 1, 2021 pursuant to Rule 424(b) under the Securities Act, relating to the Registration Statement on Form S-1, as amended (File No. 333-256769), which contains the Registrant’s audited financial statements for the latest fiscal year for which such statements have been filed.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Registrant’s Current Report on </w:t>
      </w:r>
      <w:hyperlink r:id="rId35">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Securities and Exchange Commission on July 2, 2021 (File No. 001-40546).</w:t>
      </w:r>
    </w:p>
    <w:p>
      <w:pPr>
        <w:spacing w:after="0" w:line="153" w:lineRule="exact"/>
        <w:rPr>
          <w:rFonts w:ascii="Arial" w:cs="Arial" w:eastAsia="Arial" w:hAnsi="Arial"/>
          <w:sz w:val="16"/>
          <w:szCs w:val="16"/>
          <w:color w:val="auto"/>
        </w:rPr>
      </w:pPr>
    </w:p>
    <w:p>
      <w:pPr>
        <w:ind w:left="1080" w:right="10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which is contained in a registration statement on </w:t>
      </w:r>
      <w:hyperlink r:id="rId36">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June 25, 2021 (File No. 001-40546) under the Exchange Act, including any amendment or report filed for the purpose of updating such description.</w:t>
      </w:r>
    </w:p>
    <w:p>
      <w:pPr>
        <w:spacing w:after="0" w:line="146" w:lineRule="exact"/>
        <w:rPr>
          <w:rFonts w:ascii="Arial" w:cs="Arial" w:eastAsia="Arial" w:hAnsi="Arial"/>
          <w:sz w:val="16"/>
          <w:szCs w:val="16"/>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w:t>
      </w:r>
    </w:p>
    <w:p>
      <w:pPr>
        <w:spacing w:after="0" w:line="176" w:lineRule="exact"/>
        <w:rPr>
          <w:rFonts w:ascii="Arial" w:cs="Arial" w:eastAsia="Arial" w:hAnsi="Arial"/>
          <w:sz w:val="16"/>
          <w:szCs w:val="16"/>
          <w:color w:val="auto"/>
        </w:rPr>
      </w:pPr>
    </w:p>
    <w:p>
      <w:pPr>
        <w:ind w:left="12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9"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6"/>
          <w:szCs w:val="16"/>
          <w:color w:val="auto"/>
        </w:rPr>
      </w:pPr>
    </w:p>
    <w:p>
      <w:pPr>
        <w:ind w:left="120" w:right="140"/>
        <w:spacing w:after="0" w:line="255"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www.xometry.com. These filings will be available as soon as reasonably practicable after we electronically file such material with, or furnish it to, the SEC. Information contained on our website is not part of this prospectus.</w:t>
      </w:r>
    </w:p>
    <w:p>
      <w:pPr>
        <w:spacing w:after="0" w:line="125"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Xometry, Inc., Attention: General Counsel, 7529 Standish Place, Suite 200, Derwood, Maryland, 20855, (240) 335-7914.</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Information</w:t>
      </w:r>
      <w:r>
        <w:rPr>
          <w:rFonts w:ascii="Arial" w:cs="Arial" w:eastAsia="Arial" w:hAnsi="Arial"/>
          <w:sz w:val="18"/>
          <w:szCs w:val="18"/>
          <w:b w:val="1"/>
          <w:bCs w:val="1"/>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Registration Information and Employee Plan Annual Information</w:t>
      </w:r>
      <w:r>
        <w:rPr>
          <w:rFonts w:ascii="Arial" w:cs="Arial" w:eastAsia="Arial" w:hAnsi="Arial"/>
          <w:sz w:val="18"/>
          <w:szCs w:val="18"/>
          <w:b w:val="1"/>
          <w:bCs w:val="1"/>
          <w:color w:val="auto"/>
        </w:rPr>
        <w:t>.*</w:t>
      </w:r>
    </w:p>
    <w:p>
      <w:pPr>
        <w:spacing w:after="0" w:line="135" w:lineRule="exact"/>
        <w:rPr>
          <w:sz w:val="20"/>
          <w:szCs w:val="20"/>
          <w:color w:val="auto"/>
        </w:rPr>
      </w:pPr>
    </w:p>
    <w:p>
      <w:pPr>
        <w:ind w:left="54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and the “Note” to Part I of Form S-8.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filed with the SEC are hereby incorporated by reference in this prospectus:</w:t>
      </w:r>
    </w:p>
    <w:p>
      <w:pPr>
        <w:spacing w:after="0" w:line="131" w:lineRule="exact"/>
        <w:rPr>
          <w:sz w:val="20"/>
          <w:szCs w:val="20"/>
          <w:color w:val="auto"/>
        </w:rPr>
      </w:pPr>
    </w:p>
    <w:p>
      <w:pPr>
        <w:jc w:val="both"/>
        <w:ind w:left="1080" w:right="1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Prospectus filed on July 1, 2021 pursuant to Rule 424(b) under the Securities Act, relating to the Registration Statement on Form S-1, as amended (File No. 333-256769), which contains the Registrant’s audited financial statements for the latest fiscal year for which such statements have been filed.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Current Report on Form 8-K filed with the Securities and Exchange Commission on July 2, 2021 (File No. 001-40546).</w:t>
      </w:r>
    </w:p>
    <w:p>
      <w:pPr>
        <w:spacing w:after="0" w:line="153" w:lineRule="exact"/>
        <w:rPr>
          <w:rFonts w:ascii="Arial" w:cs="Arial" w:eastAsia="Arial" w:hAnsi="Arial"/>
          <w:sz w:val="16"/>
          <w:szCs w:val="16"/>
          <w:color w:val="auto"/>
        </w:rPr>
      </w:pPr>
    </w:p>
    <w:p>
      <w:pPr>
        <w:ind w:left="1080" w:right="12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description of the Registrant’s common stock which is contained in a registration statement on Form 8-A filed on June 25, 2021 (File No. 001-40546) under the Exchange Act, including any amendment or report filed for the purpose of updating such description.</w:t>
      </w:r>
    </w:p>
    <w:p>
      <w:pPr>
        <w:spacing w:after="0" w:line="1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Section 145 of the Delaware General Corporation Law (the “DGCL”)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are not personally liable to it or its stockholders for monetary damages for any breach of fiduciary duties as directors, except liability for the following:</w:t>
      </w:r>
    </w:p>
    <w:p>
      <w:pPr>
        <w:spacing w:after="0" w:line="8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the Registrant’s directors will be further limited to the greatest extent permitted by the DGCL.</w:t>
      </w:r>
    </w:p>
    <w:p>
      <w:pPr>
        <w:spacing w:after="0" w:line="14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 addition, the Registrant’s amended and restated bylaws provide that it will indemnify, to the fullest extent permitted by law, any person who is or was a party or is threatened to be made a party to any action, suit or proceeding by reason of the fact that he or she is or was one of its directors or officers or is or was serving at its request as a director or officer of another corporation, partnership, joint venture, trust or other enterprise. The Registrant’s amended and restated bylaws provide that it may indemnify, to the fullest extent permitted by law, any person who is or was a party or is threatened to be made a party to any action, suit or proceeding by reason of the fact that he or she is or was one of its employees or agents or is or was serving at its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Further, the Registrant has entered into indemnification agreements with each of its directors and executive officers that may be broader than the specific indemnification provisions contained in the DGCL.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6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 limitation of liability and indemnification provisions that are included in the Registrant’s amended and restated certificate of incorporation, amended and restated bylaws and in indemnification agreements that the Registrant has entered into or will enter into with its directors and executive officers may discourage stockholders from bringing a lawsuit against its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its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6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Registrant has obtained insurance policies under which, subject to the limitations of the policies, coverage is provided to its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it to these directors and executive officers pursuant to its indemnification obligations or otherwise as a matter of law.</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company pursuant to the foregoing provisions, the Registrant has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issuance of the Shares being offered by the Form S-8 reoffer prospectus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Item 8.</w:t>
            </w:r>
          </w:p>
        </w:tc>
        <w:tc>
          <w:tcPr>
            <w:tcW w:w="6920" w:type="dxa"/>
            <w:vAlign w:val="bottom"/>
            <w:gridSpan w:val="9"/>
          </w:tcPr>
          <w:p>
            <w:pPr>
              <w:ind w:left="360"/>
              <w:spacing w:after="0"/>
              <w:rPr>
                <w:sz w:val="20"/>
                <w:szCs w:val="20"/>
                <w:color w:val="auto"/>
              </w:rPr>
            </w:pPr>
            <w:r>
              <w:rPr>
                <w:rFonts w:ascii="Arial" w:cs="Arial" w:eastAsia="Arial" w:hAnsi="Arial"/>
                <w:sz w:val="18"/>
                <w:szCs w:val="18"/>
                <w:b w:val="1"/>
                <w:bCs w:val="1"/>
                <w:color w:val="auto"/>
              </w:rPr>
              <w:t>Exhibits.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6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 INDEX</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740" w:type="dxa"/>
            <w:vAlign w:val="bottom"/>
          </w:tcPr>
          <w:p>
            <w:pPr>
              <w:spacing w:after="0"/>
              <w:rPr>
                <w:sz w:val="24"/>
                <w:szCs w:val="24"/>
                <w:color w:val="auto"/>
              </w:rPr>
            </w:pPr>
          </w:p>
        </w:tc>
        <w:tc>
          <w:tcPr>
            <w:tcW w:w="5180" w:type="dxa"/>
            <w:vAlign w:val="bottom"/>
            <w:gridSpan w:val="8"/>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6"/>
        </w:trPr>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Number</w:t>
            </w:r>
          </w:p>
        </w:tc>
        <w:tc>
          <w:tcPr>
            <w:tcW w:w="1740" w:type="dxa"/>
            <w:vAlign w:val="bottom"/>
          </w:tcPr>
          <w:p>
            <w:pPr>
              <w:spacing w:after="0"/>
              <w:rPr>
                <w:sz w:val="13"/>
                <w:szCs w:val="13"/>
                <w:color w:val="auto"/>
              </w:rPr>
            </w:pPr>
          </w:p>
        </w:tc>
        <w:tc>
          <w:tcPr>
            <w:tcW w:w="5180" w:type="dxa"/>
            <w:vAlign w:val="bottom"/>
            <w:gridSpan w:val="8"/>
            <w:vMerge w:val="continue"/>
          </w:tcPr>
          <w:p>
            <w:pPr>
              <w:spacing w:after="0"/>
              <w:rPr>
                <w:sz w:val="13"/>
                <w:szCs w:val="13"/>
                <w:color w:val="auto"/>
              </w:rPr>
            </w:pPr>
          </w:p>
        </w:tc>
        <w:tc>
          <w:tcPr>
            <w:tcW w:w="5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Form</w:t>
            </w:r>
          </w:p>
        </w:tc>
        <w:tc>
          <w:tcPr>
            <w:tcW w:w="11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File No.</w:t>
            </w:r>
          </w:p>
        </w:tc>
        <w:tc>
          <w:tcPr>
            <w:tcW w:w="62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9"/>
              </w:rPr>
              <w:t>Exhibit</w:t>
            </w:r>
          </w:p>
        </w:tc>
        <w:tc>
          <w:tcPr>
            <w:tcW w:w="106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6800" w:type="dxa"/>
            <w:vAlign w:val="bottom"/>
            <w:gridSpan w:val="8"/>
          </w:tcPr>
          <w:p>
            <w:pPr>
              <w:spacing w:after="0"/>
              <w:rPr>
                <w:rFonts w:ascii="Arial" w:cs="Arial" w:eastAsia="Arial" w:hAnsi="Arial"/>
                <w:sz w:val="18"/>
                <w:szCs w:val="18"/>
                <w:color w:val="0000EE"/>
                <w:w w:val="94"/>
              </w:rPr>
            </w:pPr>
            <w:hyperlink r:id="rId42">
              <w:r>
                <w:rPr>
                  <w:rFonts w:ascii="Arial" w:cs="Arial" w:eastAsia="Arial" w:hAnsi="Arial"/>
                  <w:sz w:val="18"/>
                  <w:szCs w:val="18"/>
                  <w:color w:val="0000EE"/>
                  <w:w w:val="94"/>
                </w:rPr>
                <w:t>Amended and Restated Certificate of Incorporation of the Registrant, as currently in effect.</w:t>
              </w:r>
            </w:hyperlink>
          </w:p>
        </w:tc>
        <w:tc>
          <w:tcPr>
            <w:tcW w:w="12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001-40546</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July 2,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6540" w:type="dxa"/>
            <w:vAlign w:val="bottom"/>
            <w:tcBorders>
              <w:top w:val="single" w:sz="8" w:color="0000EE"/>
            </w:tcBorders>
            <w:gridSpan w:val="7"/>
          </w:tcPr>
          <w:p>
            <w:pPr>
              <w:spacing w:after="0"/>
              <w:rPr>
                <w:rFonts w:ascii="Arial" w:cs="Arial" w:eastAsia="Arial" w:hAnsi="Arial"/>
                <w:sz w:val="18"/>
                <w:szCs w:val="18"/>
                <w:color w:val="0000EE"/>
              </w:rPr>
            </w:pPr>
            <w:hyperlink r:id="rId43">
              <w:r>
                <w:rPr>
                  <w:rFonts w:ascii="Arial" w:cs="Arial" w:eastAsia="Arial" w:hAnsi="Arial"/>
                  <w:sz w:val="18"/>
                  <w:szCs w:val="18"/>
                  <w:color w:val="0000EE"/>
                </w:rPr>
                <w:t>Amended and Restated Bylaws of the Registrant, as currently in effect.</w:t>
              </w:r>
            </w:hyperlink>
          </w:p>
        </w:tc>
        <w:tc>
          <w:tcPr>
            <w:tcW w:w="380" w:type="dxa"/>
            <w:vAlign w:val="bottom"/>
            <w:gridSpan w:val="2"/>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001-40546</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July 2,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rFonts w:ascii="Arial" w:cs="Arial" w:eastAsia="Arial" w:hAnsi="Arial"/>
                <w:sz w:val="18"/>
                <w:szCs w:val="18"/>
                <w:color w:val="0000EE"/>
              </w:rPr>
            </w:pPr>
            <w:hyperlink r:id="rId44">
              <w:r>
                <w:rPr>
                  <w:rFonts w:ascii="Arial" w:cs="Arial" w:eastAsia="Arial" w:hAnsi="Arial"/>
                  <w:sz w:val="18"/>
                  <w:szCs w:val="18"/>
                  <w:color w:val="0000EE"/>
                </w:rPr>
                <w:t>Form of Class A common stock certificate of the Registrant.</w:t>
              </w:r>
            </w:hyperlink>
          </w:p>
        </w:tc>
        <w:tc>
          <w:tcPr>
            <w:tcW w:w="1820" w:type="dxa"/>
            <w:vAlign w:val="bottom"/>
            <w:gridSpan w:val="4"/>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S-1/A</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333-256769</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June 25,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74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Opinion of Cooley LLP.</w:t>
              </w:r>
            </w:hyperlink>
          </w:p>
        </w:tc>
        <w:tc>
          <w:tcPr>
            <w:tcW w:w="2580" w:type="dxa"/>
            <w:vAlign w:val="bottom"/>
            <w:tcBorders>
              <w:top w:val="single" w:sz="8" w:color="0000EE"/>
            </w:tcBorders>
            <w:gridSpan w:val="3"/>
          </w:tcPr>
          <w:p>
            <w:pPr>
              <w:spacing w:after="0"/>
              <w:rPr>
                <w:sz w:val="24"/>
                <w:szCs w:val="24"/>
                <w:color w:val="auto"/>
              </w:rPr>
            </w:pPr>
          </w:p>
        </w:tc>
        <w:tc>
          <w:tcPr>
            <w:tcW w:w="26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5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Consent of KPMG LLP, independent registered public accounting firm.</w:t>
              </w:r>
            </w:hyperlink>
          </w:p>
        </w:tc>
        <w:tc>
          <w:tcPr>
            <w:tcW w:w="178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4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Consent of Cooley LLP (included in Exhibit 5.1 hereto).</w:t>
              </w:r>
            </w:hyperlink>
          </w:p>
        </w:tc>
        <w:tc>
          <w:tcPr>
            <w:tcW w:w="286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42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Power of Attorney (included on the signature page hereto).</w:t>
              </w:r>
            </w:hyperlink>
          </w:p>
        </w:tc>
        <w:tc>
          <w:tcPr>
            <w:tcW w:w="26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080"/>
          </w:cols>
          <w:pgMar w:left="320" w:top="459" w:right="499" w:bottom="1440" w:gutter="0" w:footer="0" w:header="0"/>
        </w:sect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45">
        <w:r>
          <w:rPr>
            <w:rFonts w:ascii="Arial" w:cs="Arial" w:eastAsia="Arial" w:hAnsi="Arial"/>
            <w:sz w:val="16"/>
            <w:szCs w:val="16"/>
            <w:u w:val="single" w:color="auto"/>
            <w:color w:val="0000EE"/>
          </w:rPr>
          <w:t>Nextline Manufacturing Corp. 2014 Stock Option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46">
        <w:r>
          <w:rPr>
            <w:rFonts w:ascii="Arial" w:cs="Arial" w:eastAsia="Arial" w:hAnsi="Arial"/>
            <w:sz w:val="16"/>
            <w:szCs w:val="16"/>
            <w:u w:val="single" w:color="auto"/>
            <w:color w:val="0000EE"/>
          </w:rPr>
          <w:t>Form of Stock Option Agreement to Nextline Manufacturing Corp. 2014 Stock Option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r:id="rId47">
        <w:r>
          <w:rPr>
            <w:rFonts w:ascii="Arial" w:cs="Arial" w:eastAsia="Arial" w:hAnsi="Arial"/>
            <w:sz w:val="16"/>
            <w:szCs w:val="16"/>
            <w:u w:val="single" w:color="auto"/>
            <w:color w:val="0000EE"/>
          </w:rPr>
          <w:t>Xometry, Inc.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r:id="rId48">
        <w:r>
          <w:rPr>
            <w:rFonts w:ascii="Arial" w:cs="Arial" w:eastAsia="Arial" w:hAnsi="Arial"/>
            <w:sz w:val="16"/>
            <w:szCs w:val="16"/>
            <w:u w:val="single" w:color="auto"/>
            <w:color w:val="0000EE"/>
          </w:rPr>
          <w:t>Xometry, Inc. Amendment No. 1 to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r:id="rId49">
        <w:r>
          <w:rPr>
            <w:rFonts w:ascii="Arial" w:cs="Arial" w:eastAsia="Arial" w:hAnsi="Arial"/>
            <w:sz w:val="16"/>
            <w:szCs w:val="16"/>
            <w:u w:val="single" w:color="auto"/>
            <w:color w:val="0000EE"/>
          </w:rPr>
          <w:t>Xometry, Inc. Amendment No. 2 to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99.6</w:t>
      </w:r>
      <w:r>
        <w:rPr>
          <w:sz w:val="20"/>
          <w:szCs w:val="20"/>
          <w:color w:val="auto"/>
        </w:rPr>
        <w:tab/>
      </w:r>
      <w:hyperlink r:id="rId50">
        <w:r>
          <w:rPr>
            <w:rFonts w:ascii="Arial" w:cs="Arial" w:eastAsia="Arial" w:hAnsi="Arial"/>
            <w:sz w:val="16"/>
            <w:szCs w:val="16"/>
            <w:u w:val="single" w:color="auto"/>
            <w:color w:val="0000EE"/>
          </w:rPr>
          <w:t>Xometry, Inc. Amendment No. 3 to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r:id="rId51">
        <w:r>
          <w:rPr>
            <w:rFonts w:ascii="Arial" w:cs="Arial" w:eastAsia="Arial" w:hAnsi="Arial"/>
            <w:sz w:val="16"/>
            <w:szCs w:val="16"/>
            <w:u w:val="single" w:color="auto"/>
            <w:color w:val="0000EE"/>
          </w:rPr>
          <w:t>Xometry, Inc. Amendment No. 4 to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99.8</w:t>
      </w:r>
      <w:r>
        <w:rPr>
          <w:sz w:val="20"/>
          <w:szCs w:val="20"/>
          <w:color w:val="auto"/>
        </w:rPr>
        <w:tab/>
      </w:r>
      <w:hyperlink r:id="rId52">
        <w:r>
          <w:rPr>
            <w:rFonts w:ascii="Arial" w:cs="Arial" w:eastAsia="Arial" w:hAnsi="Arial"/>
            <w:sz w:val="16"/>
            <w:szCs w:val="16"/>
            <w:u w:val="single" w:color="auto"/>
            <w:color w:val="0000EE"/>
          </w:rPr>
          <w:t>Xometry, Inc. Amendment No. 5 to 2016 Equity Incentive Plan.</w:t>
        </w:r>
      </w:hyperlink>
    </w:p>
    <w:p>
      <w:pPr>
        <w:spacing w:after="0" w:line="117" w:lineRule="exact"/>
        <w:rPr>
          <w:sz w:val="20"/>
          <w:szCs w:val="20"/>
          <w:color w:val="auto"/>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99.9</w:t>
      </w:r>
      <w:r>
        <w:rPr>
          <w:sz w:val="20"/>
          <w:szCs w:val="20"/>
          <w:color w:val="auto"/>
        </w:rPr>
        <w:tab/>
      </w:r>
      <w:hyperlink r:id="rId53">
        <w:r>
          <w:rPr>
            <w:rFonts w:ascii="Arial" w:cs="Arial" w:eastAsia="Arial" w:hAnsi="Arial"/>
            <w:sz w:val="16"/>
            <w:szCs w:val="16"/>
            <w:u w:val="single" w:color="auto"/>
            <w:color w:val="0000EE"/>
          </w:rPr>
          <w:t>Forms of grant notice, stock option agreement, and notice of exercise under the Xometry, Inc.</w:t>
        </w:r>
      </w:hyperlink>
    </w:p>
    <w:p>
      <w:pPr>
        <w:spacing w:after="0" w:line="23" w:lineRule="exact"/>
        <w:rPr>
          <w:sz w:val="20"/>
          <w:szCs w:val="20"/>
          <w:color w:val="auto"/>
        </w:rPr>
      </w:pPr>
    </w:p>
    <w:p>
      <w:pPr>
        <w:ind w:left="840"/>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2016 Equity Incentive Plan.</w:t>
        </w:r>
      </w:hyperlink>
    </w:p>
    <w:p>
      <w:pPr>
        <w:spacing w:after="0" w:line="23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10.16</w:t>
            </w: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21,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21,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540"/>
        </w:trPr>
        <w:tc>
          <w:tcPr>
            <w:tcW w:w="1580" w:type="dxa"/>
            <w:vAlign w:val="bottom"/>
          </w:tcPr>
          <w:p>
            <w:pPr>
              <w:spacing w:after="0"/>
              <w:rPr>
                <w:sz w:val="20"/>
                <w:szCs w:val="20"/>
                <w:color w:val="auto"/>
              </w:rPr>
            </w:pPr>
            <w:r>
              <w:rPr>
                <w:rFonts w:ascii="Arial" w:cs="Arial" w:eastAsia="Arial" w:hAnsi="Arial"/>
                <w:sz w:val="18"/>
                <w:szCs w:val="18"/>
                <w:color w:val="auto"/>
              </w:rPr>
              <w:t>S-1/A  333-256769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bl>
    <w:p>
      <w:pPr>
        <w:spacing w:after="0" w:line="635" w:lineRule="exact"/>
        <w:rPr>
          <w:sz w:val="20"/>
          <w:szCs w:val="20"/>
          <w:color w:val="auto"/>
        </w:rPr>
      </w:pPr>
    </w:p>
    <w:p>
      <w:pPr>
        <w:sectPr>
          <w:pgSz w:w="11900" w:h="16838" w:orient="portrait"/>
          <w:cols w:equalWidth="0" w:num="2">
            <w:col w:w="7580" w:space="180"/>
            <w:col w:w="3320"/>
          </w:cols>
          <w:pgMar w:left="320" w:top="459" w:right="499" w:bottom="1440" w:gutter="0" w:footer="0" w:header="0"/>
          <w:type w:val="continuous"/>
        </w:sectPr>
      </w:pPr>
    </w:p>
    <w:p>
      <w:pPr>
        <w:spacing w:after="0" w:line="1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120" w:right="80" w:hanging="4"/>
        <w:spacing w:after="0" w:line="293" w:lineRule="auto"/>
        <w:tabs>
          <w:tab w:leader="none" w:pos="3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hanging="4"/>
        <w:spacing w:after="0" w:line="277"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SEC by the Registrant pursuant to Section 13 or Section 15(d) of the Exchange Act that are incorporated by reference in this Registration Statement.</w:t>
      </w:r>
    </w:p>
    <w:p>
      <w:pPr>
        <w:spacing w:after="0" w:line="76" w:lineRule="exact"/>
        <w:rPr>
          <w:sz w:val="20"/>
          <w:szCs w:val="20"/>
          <w:color w:val="auto"/>
        </w:rPr>
      </w:pPr>
    </w:p>
    <w:p>
      <w:pPr>
        <w:ind w:left="120" w:right="140" w:hanging="4"/>
        <w:spacing w:after="0" w:line="263"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120" w:hanging="4"/>
        <w:spacing w:after="0" w:line="277"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Gaithersburg, State of Maryland, on August 3,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Randolph Altschuler as 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260" w:type="dxa"/>
            <w:vAlign w:val="bottom"/>
          </w:tcPr>
          <w:p>
            <w:pPr>
              <w:jc w:val="center"/>
              <w:ind w:right="412"/>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ind w:left="55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Randolph Altschuler</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2"/>
              </w:rPr>
              <w:t>Chief Executive Officer, Co-Founder and</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Randolph Altschuler</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 xml:space="preserve">Director </w:t>
            </w:r>
            <w:r>
              <w:rPr>
                <w:rFonts w:ascii="Arial" w:cs="Arial" w:eastAsia="Arial" w:hAnsi="Arial"/>
                <w:sz w:val="18"/>
                <w:szCs w:val="18"/>
                <w:i w:val="1"/>
                <w:iCs w:val="1"/>
                <w:color w:val="auto"/>
                <w:w w:val="95"/>
              </w:rPr>
              <w:t>(Principal Executive Officer)</w:t>
            </w: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Rallo</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 xml:space="preserve">Chief Financial Officer </w:t>
            </w:r>
            <w:r>
              <w:rPr>
                <w:rFonts w:ascii="Arial" w:cs="Arial" w:eastAsia="Arial" w:hAnsi="Arial"/>
                <w:sz w:val="18"/>
                <w:szCs w:val="18"/>
                <w:i w:val="1"/>
                <w:iCs w:val="1"/>
                <w:color w:val="auto"/>
                <w:w w:val="95"/>
              </w:rPr>
              <w:t>(Principal Financial and</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8"/>
              </w:rPr>
              <w:t>James Rallo</w:t>
            </w:r>
          </w:p>
        </w:tc>
        <w:tc>
          <w:tcPr>
            <w:tcW w:w="4260" w:type="dxa"/>
            <w:vAlign w:val="bottom"/>
          </w:tcPr>
          <w:p>
            <w:pPr>
              <w:jc w:val="center"/>
              <w:ind w:right="412"/>
              <w:spacing w:after="0"/>
              <w:rPr>
                <w:sz w:val="20"/>
                <w:szCs w:val="20"/>
                <w:color w:val="auto"/>
              </w:rPr>
            </w:pPr>
            <w:r>
              <w:rPr>
                <w:rFonts w:ascii="Arial" w:cs="Arial" w:eastAsia="Arial" w:hAnsi="Arial"/>
                <w:sz w:val="18"/>
                <w:szCs w:val="18"/>
                <w:i w:val="1"/>
                <w:iCs w:val="1"/>
                <w:color w:val="auto"/>
                <w:w w:val="94"/>
              </w:rPr>
              <w:t>Accounting Officer)</w:t>
            </w: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Zuriff</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2"/>
              </w:rPr>
              <w:t>Chief Strategy Officer, Co-Founder and Director</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Laurence Zuriff</w:t>
            </w:r>
          </w:p>
        </w:tc>
        <w:tc>
          <w:tcPr>
            <w:tcW w:w="4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Hornig</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George Hornig</w:t>
            </w:r>
          </w:p>
        </w:tc>
        <w:tc>
          <w:tcPr>
            <w:tcW w:w="4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Bial</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Deborah Bial</w:t>
            </w:r>
          </w:p>
        </w:tc>
        <w:tc>
          <w:tcPr>
            <w:tcW w:w="4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Ranjana B. Clark</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Ranjana B. Clark</w:t>
            </w:r>
          </w:p>
        </w:tc>
        <w:tc>
          <w:tcPr>
            <w:tcW w:w="4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Driscoll</w:t>
            </w:r>
          </w:p>
        </w:tc>
        <w:tc>
          <w:tcPr>
            <w:tcW w:w="4260" w:type="dxa"/>
            <w:vAlign w:val="bottom"/>
          </w:tcPr>
          <w:p>
            <w:pPr>
              <w:jc w:val="center"/>
              <w:ind w:right="41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552"/>
              <w:spacing w:after="0"/>
              <w:rPr>
                <w:sz w:val="20"/>
                <w:szCs w:val="20"/>
                <w:color w:val="auto"/>
              </w:rPr>
            </w:pPr>
            <w:r>
              <w:rPr>
                <w:rFonts w:ascii="Arial" w:cs="Arial" w:eastAsia="Arial" w:hAnsi="Arial"/>
                <w:sz w:val="18"/>
                <w:szCs w:val="18"/>
                <w:color w:val="auto"/>
                <w:w w:val="90"/>
              </w:rPr>
              <w:t>August 3, 2021</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Craig Driscoll</w:t>
            </w:r>
          </w:p>
        </w:tc>
        <w:tc>
          <w:tcPr>
            <w:tcW w:w="4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3860" w:type="dxa"/>
            <w:vAlign w:val="bottom"/>
          </w:tcPr>
          <w:p>
            <w:pPr>
              <w:spacing w:after="0"/>
              <w:rPr>
                <w:sz w:val="24"/>
                <w:szCs w:val="24"/>
                <w:color w:val="auto"/>
              </w:rPr>
            </w:pPr>
          </w:p>
        </w:tc>
        <w:tc>
          <w:tcPr>
            <w:tcW w:w="4260" w:type="dxa"/>
            <w:vAlign w:val="bottom"/>
          </w:tcPr>
          <w:p>
            <w:pPr>
              <w:ind w:left="1500"/>
              <w:spacing w:after="0"/>
              <w:rPr>
                <w:sz w:val="20"/>
                <w:szCs w:val="20"/>
                <w:color w:val="auto"/>
              </w:rPr>
            </w:pPr>
            <w:r>
              <w:rPr>
                <w:rFonts w:ascii="Arial" w:cs="Arial" w:eastAsia="Arial" w:hAnsi="Arial"/>
                <w:sz w:val="18"/>
                <w:szCs w:val="18"/>
                <w:color w:val="auto"/>
              </w:rPr>
              <w:t>II-5</w:t>
            </w:r>
          </w:p>
        </w:tc>
        <w:tc>
          <w:tcPr>
            <w:tcW w:w="17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6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Emily Rollins</w:t>
            </w:r>
          </w:p>
        </w:tc>
        <w:tc>
          <w:tcPr>
            <w:tcW w:w="35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360"/>
              <w:spacing w:after="0"/>
              <w:rPr>
                <w:sz w:val="20"/>
                <w:szCs w:val="20"/>
                <w:color w:val="auto"/>
              </w:rPr>
            </w:pPr>
            <w:r>
              <w:rPr>
                <w:rFonts w:ascii="Arial" w:cs="Arial" w:eastAsia="Arial" w:hAnsi="Arial"/>
                <w:sz w:val="18"/>
                <w:szCs w:val="18"/>
                <w:color w:val="auto"/>
                <w:w w:val="89"/>
              </w:rPr>
              <w:t>August 3, 2021</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20" w:type="dxa"/>
            <w:vAlign w:val="bottom"/>
          </w:tcPr>
          <w:p>
            <w:pPr>
              <w:jc w:val="center"/>
              <w:ind w:right="1170"/>
              <w:spacing w:after="0"/>
              <w:rPr>
                <w:sz w:val="20"/>
                <w:szCs w:val="20"/>
                <w:color w:val="auto"/>
              </w:rPr>
            </w:pPr>
            <w:r>
              <w:rPr>
                <w:rFonts w:ascii="Arial" w:cs="Arial" w:eastAsia="Arial" w:hAnsi="Arial"/>
                <w:sz w:val="18"/>
                <w:szCs w:val="18"/>
                <w:color w:val="auto"/>
                <w:w w:val="97"/>
              </w:rPr>
              <w:t>Emily Rollins</w:t>
            </w:r>
          </w:p>
        </w:tc>
        <w:tc>
          <w:tcPr>
            <w:tcW w:w="35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12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Fabio Rosati</w:t>
            </w:r>
          </w:p>
        </w:tc>
        <w:tc>
          <w:tcPr>
            <w:tcW w:w="35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360"/>
              <w:spacing w:after="0"/>
              <w:rPr>
                <w:sz w:val="20"/>
                <w:szCs w:val="20"/>
                <w:color w:val="auto"/>
              </w:rPr>
            </w:pPr>
            <w:r>
              <w:rPr>
                <w:rFonts w:ascii="Arial" w:cs="Arial" w:eastAsia="Arial" w:hAnsi="Arial"/>
                <w:sz w:val="18"/>
                <w:szCs w:val="18"/>
                <w:color w:val="auto"/>
                <w:w w:val="89"/>
              </w:rPr>
              <w:t>August 3, 2021</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20" w:type="dxa"/>
            <w:vAlign w:val="bottom"/>
          </w:tcPr>
          <w:p>
            <w:pPr>
              <w:jc w:val="center"/>
              <w:ind w:right="1170"/>
              <w:spacing w:after="0"/>
              <w:rPr>
                <w:sz w:val="20"/>
                <w:szCs w:val="20"/>
                <w:color w:val="auto"/>
              </w:rPr>
            </w:pPr>
            <w:r>
              <w:rPr>
                <w:rFonts w:ascii="Arial" w:cs="Arial" w:eastAsia="Arial" w:hAnsi="Arial"/>
                <w:sz w:val="18"/>
                <w:szCs w:val="18"/>
                <w:color w:val="auto"/>
                <w:w w:val="91"/>
              </w:rPr>
              <w:t>Fabio Rosati</w:t>
            </w:r>
          </w:p>
        </w:tc>
        <w:tc>
          <w:tcPr>
            <w:tcW w:w="35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12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Katharine Weymouth</w:t>
            </w:r>
          </w:p>
        </w:tc>
        <w:tc>
          <w:tcPr>
            <w:tcW w:w="35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360"/>
              <w:spacing w:after="0"/>
              <w:rPr>
                <w:sz w:val="20"/>
                <w:szCs w:val="20"/>
                <w:color w:val="auto"/>
              </w:rPr>
            </w:pPr>
            <w:r>
              <w:rPr>
                <w:rFonts w:ascii="Arial" w:cs="Arial" w:eastAsia="Arial" w:hAnsi="Arial"/>
                <w:sz w:val="18"/>
                <w:szCs w:val="18"/>
                <w:color w:val="auto"/>
                <w:w w:val="89"/>
              </w:rPr>
              <w:t>August 3, 2021</w:t>
            </w:r>
          </w:p>
        </w:tc>
      </w:tr>
      <w:tr>
        <w:trPr>
          <w:trHeight w:val="224"/>
        </w:trPr>
        <w:tc>
          <w:tcPr>
            <w:tcW w:w="120" w:type="dxa"/>
            <w:vAlign w:val="bottom"/>
          </w:tcPr>
          <w:p>
            <w:pPr>
              <w:spacing w:after="0"/>
              <w:rPr>
                <w:sz w:val="19"/>
                <w:szCs w:val="19"/>
                <w:color w:val="auto"/>
              </w:rPr>
            </w:pP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1"/>
              </w:rPr>
              <w:t>Katharine Weymouth</w:t>
            </w:r>
          </w:p>
        </w:tc>
        <w:tc>
          <w:tcPr>
            <w:tcW w:w="35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540" w:type="dxa"/>
            <w:vAlign w:val="bottom"/>
          </w:tcPr>
          <w:p>
            <w:pPr>
              <w:ind w:left="1500"/>
              <w:spacing w:after="0"/>
              <w:rPr>
                <w:sz w:val="20"/>
                <w:szCs w:val="20"/>
                <w:color w:val="auto"/>
              </w:rPr>
            </w:pPr>
            <w:r>
              <w:rPr>
                <w:rFonts w:ascii="Arial" w:cs="Arial" w:eastAsia="Arial" w:hAnsi="Arial"/>
                <w:sz w:val="18"/>
                <w:szCs w:val="18"/>
                <w:color w:val="auto"/>
              </w:rPr>
              <w:t>II-6</w:t>
            </w:r>
          </w:p>
        </w:tc>
        <w:tc>
          <w:tcPr>
            <w:tcW w:w="2460" w:type="dxa"/>
            <w:vAlign w:val="bottom"/>
          </w:tcPr>
          <w:p>
            <w:pPr>
              <w:spacing w:after="0"/>
              <w:rPr>
                <w:sz w:val="24"/>
                <w:szCs w:val="24"/>
                <w:color w:val="auto"/>
              </w:rPr>
            </w:pPr>
          </w:p>
        </w:tc>
      </w:tr>
    </w:tbl>
    <w:p>
      <w:pPr>
        <w:sectPr>
          <w:pgSz w:w="11900" w:h="16838" w:orient="portrait"/>
          <w:cols w:equalWidth="0" w:num="1">
            <w:col w:w="10139"/>
          </w:cols>
          <w:pgMar w:left="320" w:top="446"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Eric Blanchard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eblanchard@cooley.com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acted as counsel to Xometry,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resale of up to 304,498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Class A Common Stock, $0.000001 par value, of the Company by the selling stockholders described in the prospectus included in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Prospectus, (b) the Company’s Amended and Restated Certificate of Incorporation and Amended and Restated Bylaws, each as currently in effect, and (c) originals or copies certified to our satisfaction of such records, documents, certificates, memoranda and other instruments as in our judgment are necessary or appropriate to enable us to render the opinion expressed below.</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the foregoing, and in reliance thereon, we are of the opinion that the Shares are validly issued, fully paid and nonassessable.</w:t>
      </w:r>
    </w:p>
    <w:p>
      <w:pPr>
        <w:spacing w:after="0" w:line="23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60" w:lineRule="exact"/>
        <w:rPr>
          <w:sz w:val="20"/>
          <w:szCs w:val="20"/>
          <w:color w:val="auto"/>
        </w:rPr>
      </w:pPr>
    </w:p>
    <w:p>
      <w:pPr>
        <w:jc w:val="center"/>
        <w:spacing w:after="0"/>
        <w:tabs>
          <w:tab w:leader="none" w:pos="120" w:val="left"/>
          <w:tab w:leader="none" w:pos="140" w:val="left"/>
        </w:tabs>
        <w:rPr>
          <w:sz w:val="20"/>
          <w:szCs w:val="20"/>
          <w:color w:val="auto"/>
        </w:rPr>
      </w:pPr>
      <w:r>
        <w:rPr>
          <w:rFonts w:ascii="Arial" w:cs="Arial" w:eastAsia="Arial" w:hAnsi="Arial"/>
          <w:sz w:val="14"/>
          <w:szCs w:val="14"/>
          <w:color w:val="auto"/>
        </w:rPr>
        <w:t>COOLEY LLP</w:t>
        <w:tab/>
        <w:t>55 HUDSON YARDS,</w:t>
      </w:r>
      <w:r>
        <w:rPr>
          <w:sz w:val="20"/>
          <w:szCs w:val="20"/>
          <w:color w:val="auto"/>
        </w:rPr>
        <w:tab/>
      </w:r>
      <w:r>
        <w:rPr>
          <w:rFonts w:ascii="Arial" w:cs="Arial" w:eastAsia="Arial" w:hAnsi="Arial"/>
          <w:sz w:val="13"/>
          <w:szCs w:val="13"/>
          <w:color w:val="auto"/>
        </w:rPr>
        <w:t>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0"/>
          </w:cols>
          <w:pgMar w:left="440" w:top="121"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165860"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Eric Blanchard</w:t>
      </w:r>
    </w:p>
    <w:p>
      <w:pPr>
        <w:spacing w:after="0" w:line="224" w:lineRule="exact"/>
        <w:rPr>
          <w:sz w:val="20"/>
          <w:szCs w:val="20"/>
          <w:color w:val="auto"/>
        </w:rPr>
      </w:pPr>
    </w:p>
    <w:p>
      <w:pPr>
        <w:jc w:val="center"/>
        <w:ind w:right="-439"/>
        <w:spacing w:after="0"/>
        <w:tabs>
          <w:tab w:leader="none" w:pos="140" w:val="left"/>
          <w:tab w:leader="none" w:pos="160" w:val="left"/>
        </w:tabs>
        <w:rPr>
          <w:sz w:val="20"/>
          <w:szCs w:val="20"/>
          <w:color w:val="auto"/>
        </w:rPr>
      </w:pPr>
      <w:r>
        <w:rPr>
          <w:rFonts w:ascii="Arial" w:cs="Arial" w:eastAsia="Arial" w:hAnsi="Arial"/>
          <w:sz w:val="18"/>
          <w:szCs w:val="18"/>
          <w:color w:val="auto"/>
        </w:rPr>
        <w:t>COOLEY LLP</w:t>
        <w:tab/>
        <w:t>55 HUDSON YARDS,</w:t>
      </w:r>
      <w:r>
        <w:rPr>
          <w:sz w:val="20"/>
          <w:szCs w:val="20"/>
          <w:color w:val="auto"/>
        </w:rPr>
        <w:tab/>
      </w:r>
      <w:r>
        <w:rPr>
          <w:rFonts w:ascii="Arial" w:cs="Arial" w:eastAsia="Arial" w:hAnsi="Arial"/>
          <w:sz w:val="17"/>
          <w:szCs w:val="17"/>
          <w:color w:val="auto"/>
        </w:rPr>
        <w:t>NEW YORK, NY 10001-2157</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560"/>
          </w:cols>
          <w:pgMar w:left="440" w:top="1111" w:right="8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consent to the use of our report dated April 13, 2021, with respect to the consolidated financial statements and financial statement schedule of Xometry, Inc., incorporated herein by reference and to the reference to our firm under the heading “Experts” in the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upp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Roman"/>
      <w:start w:val="2"/>
    </w:lvl>
  </w:abstractNum>
  <w:abstractNum w:abstractNumId="16">
    <w:nsid w:val="519B500D"/>
    <w:multiLevelType w:val="hybridMultilevel"/>
    <w:lvl w:ilvl="0">
      <w:lvlJc w:val="left"/>
      <w:lvlText w:val="(%1)"/>
      <w:numFmt w:val="lowerRoman"/>
      <w:start w:val="3"/>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jpeg"/><Relationship Id="rId59" Type="http://schemas.openxmlformats.org/officeDocument/2006/relationships/image" Target="media/image37.png"/><Relationship Id="rId60" Type="http://schemas.openxmlformats.org/officeDocument/2006/relationships/image" Target="media/image38.jpeg"/><Relationship Id="rId61" Type="http://schemas.openxmlformats.org/officeDocument/2006/relationships/image" Target="media/image39.png"/><Relationship Id="rId34" Type="http://schemas.openxmlformats.org/officeDocument/2006/relationships/hyperlink" Target="http://www.sec.gov/Archives/edgar/data/1657573/000119312521206526/d120843d424b4.htm" TargetMode="External"/><Relationship Id="rId35" Type="http://schemas.openxmlformats.org/officeDocument/2006/relationships/hyperlink" Target="http://www.sec.gov/Archives/edgar/data/1657573/000119312521207643/d184650d8k.htm" TargetMode="External"/><Relationship Id="rId36" Type="http://schemas.openxmlformats.org/officeDocument/2006/relationships/hyperlink" Target="http://www.sec.gov/Archives/edgar/data/1657573/000119312521200432/d194865d8a12b.htm" TargetMode="External"/><Relationship Id="rId42" Type="http://schemas.openxmlformats.org/officeDocument/2006/relationships/hyperlink" Target="http://www.sec.gov/Archives/edgar/data/1657573/000119312521207643/d184650dex31.htm" TargetMode="External"/><Relationship Id="rId43" Type="http://schemas.openxmlformats.org/officeDocument/2006/relationships/hyperlink" Target="http://www.sec.gov/Archives/edgar/data/1657573/000119312521207643/d184650dex32.htm" TargetMode="External"/><Relationship Id="rId44" Type="http://schemas.openxmlformats.org/officeDocument/2006/relationships/hyperlink" Target="http://www.sec.gov/Archives/edgar/data/1657573/000119312521200359/d120843dex41.htm" TargetMode="External"/><Relationship Id="rId45" Type="http://schemas.openxmlformats.org/officeDocument/2006/relationships/hyperlink" Target="http://www.sec.gov/Archives/edgar/data/0001657573/000119312521194064/d120843dex1016.htm" TargetMode="External"/><Relationship Id="rId46" Type="http://schemas.openxmlformats.org/officeDocument/2006/relationships/hyperlink" Target="http://www.sec.gov/Archives/edgar/data/0001657573/000119312521194064/d120843dex1017.htm" TargetMode="External"/><Relationship Id="rId47" Type="http://schemas.openxmlformats.org/officeDocument/2006/relationships/hyperlink" Target="http://www.sec.gov/Archives/edgar/data/1657573/000119312521181945/d120843dex102.htm" TargetMode="External"/><Relationship Id="rId48" Type="http://schemas.openxmlformats.org/officeDocument/2006/relationships/hyperlink" Target="http://www.sec.gov/Archives/edgar/data/1657573/000119312521181945/d120843dex103.htm" TargetMode="External"/><Relationship Id="rId49" Type="http://schemas.openxmlformats.org/officeDocument/2006/relationships/hyperlink" Target="http://www.sec.gov/Archives/edgar/data/1657573/000119312521181945/d120843dex104.htm" TargetMode="External"/><Relationship Id="rId50" Type="http://schemas.openxmlformats.org/officeDocument/2006/relationships/hyperlink" Target="http://www.sec.gov/Archives/edgar/data/1657573/000119312521181945/d120843dex105.htm" TargetMode="External"/><Relationship Id="rId51" Type="http://schemas.openxmlformats.org/officeDocument/2006/relationships/hyperlink" Target="http://www.sec.gov/Archives/edgar/data/1657573/000119312521181945/d120843dex106.htm" TargetMode="External"/><Relationship Id="rId52" Type="http://schemas.openxmlformats.org/officeDocument/2006/relationships/hyperlink" Target="http://www.sec.gov/Archives/edgar/data/1657573/000119312521181945/d120843dex107.htm" TargetMode="External"/><Relationship Id="rId53" Type="http://schemas.openxmlformats.org/officeDocument/2006/relationships/hyperlink" Target="http://www.sec.gov/Archives/edgar/data/1657573/000119312521181945/d120843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2021-08-04T05:24:21Z</dcterms:created>
  <dcterms:modified xsi:type="dcterms:W3CDTF">2021-08-04T05:24:21Z</dcterms:modified>
</cp:coreProperties>
</file>