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CURRENT REPORT</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32-0415449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jc w:val="center"/>
        <w:ind w:right="1856"/>
        <w:spacing w:after="0"/>
        <w:rPr>
          <w:sz w:val="20"/>
          <w:szCs w:val="20"/>
          <w:color w:val="auto"/>
        </w:rPr>
      </w:pPr>
      <w:r>
        <w:rPr>
          <w:rFonts w:ascii="Arial" w:cs="Arial" w:eastAsia="Arial" w:hAnsi="Arial"/>
          <w:sz w:val="15"/>
          <w:szCs w:val="15"/>
          <w:b w:val="1"/>
          <w:bCs w:val="1"/>
          <w:color w:val="auto"/>
        </w:rPr>
        <w:t>7529 Standish Place,</w:t>
      </w:r>
    </w:p>
    <w:p>
      <w:pPr>
        <w:spacing w:after="0" w:line="62"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856"/>
        <w:spacing w:after="0"/>
        <w:rPr>
          <w:sz w:val="20"/>
          <w:szCs w:val="20"/>
          <w:color w:val="auto"/>
        </w:rPr>
      </w:pPr>
      <w:r>
        <w:rPr>
          <w:rFonts w:ascii="Arial" w:cs="Arial" w:eastAsia="Arial" w:hAnsi="Arial"/>
          <w:sz w:val="17"/>
          <w:szCs w:val="17"/>
          <w:b w:val="1"/>
          <w:bCs w:val="1"/>
          <w:color w:val="auto"/>
        </w:rPr>
        <w:t>Derwood,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20855</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On February 10, 2022, Xometry,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issued an additional $37.5 million aggregate principal amount of its 1.00% Convertible Senior Notes due 2027 (the “</w:t>
      </w:r>
      <w:r>
        <w:rPr>
          <w:rFonts w:ascii="Arial" w:cs="Arial" w:eastAsia="Arial" w:hAnsi="Arial"/>
          <w:sz w:val="16"/>
          <w:szCs w:val="16"/>
          <w:b w:val="1"/>
          <w:bCs w:val="1"/>
          <w:i w:val="1"/>
          <w:iCs w:val="1"/>
          <w:color w:val="auto"/>
        </w:rPr>
        <w:t>Additional Notes</w:t>
      </w:r>
      <w:r>
        <w:rPr>
          <w:rFonts w:ascii="Arial" w:cs="Arial" w:eastAsia="Arial" w:hAnsi="Arial"/>
          <w:sz w:val="16"/>
          <w:szCs w:val="16"/>
          <w:color w:val="auto"/>
        </w:rPr>
        <w:t>”) to the initial purchasers named in the purchase agreement (the “</w:t>
      </w:r>
      <w:r>
        <w:rPr>
          <w:rFonts w:ascii="Arial" w:cs="Arial" w:eastAsia="Arial" w:hAnsi="Arial"/>
          <w:sz w:val="16"/>
          <w:szCs w:val="16"/>
          <w:b w:val="1"/>
          <w:bCs w:val="1"/>
          <w:i w:val="1"/>
          <w:iCs w:val="1"/>
          <w:color w:val="auto"/>
        </w:rPr>
        <w:t>Initial Purchasers</w:t>
      </w:r>
      <w:r>
        <w:rPr>
          <w:rFonts w:ascii="Arial" w:cs="Arial" w:eastAsia="Arial" w:hAnsi="Arial"/>
          <w:sz w:val="16"/>
          <w:szCs w:val="16"/>
          <w:color w:val="auto"/>
        </w:rPr>
        <w:t>”), dated February 1, 2022, by and among the Company and the Initial Purchasers (the “</w:t>
      </w:r>
      <w:r>
        <w:rPr>
          <w:rFonts w:ascii="Arial" w:cs="Arial" w:eastAsia="Arial" w:hAnsi="Arial"/>
          <w:sz w:val="16"/>
          <w:szCs w:val="16"/>
          <w:b w:val="1"/>
          <w:bCs w:val="1"/>
          <w:i w:val="1"/>
          <w:iCs w:val="1"/>
          <w:color w:val="auto"/>
        </w:rPr>
        <w:t>Purchase Agreement</w:t>
      </w:r>
      <w:r>
        <w:rPr>
          <w:rFonts w:ascii="Arial" w:cs="Arial" w:eastAsia="Arial" w:hAnsi="Arial"/>
          <w:sz w:val="16"/>
          <w:szCs w:val="16"/>
          <w:i w:val="1"/>
          <w:iCs w:val="1"/>
          <w:color w:val="auto"/>
        </w:rPr>
        <w:t>”)</w:t>
      </w:r>
      <w:r>
        <w:rPr>
          <w:rFonts w:ascii="Arial" w:cs="Arial" w:eastAsia="Arial" w:hAnsi="Arial"/>
          <w:sz w:val="16"/>
          <w:szCs w:val="16"/>
          <w:color w:val="auto"/>
        </w:rPr>
        <w:t>). The issuance of the Additional Notes was pursuant to the Initial Purchasers’ exercise in full of their 13-day option to purchase Additional Notes granted in the original offering of $250 million aggregate principal amount of 1.00% Convertible Senior Notes due 2027 (the “</w:t>
      </w:r>
      <w:r>
        <w:rPr>
          <w:rFonts w:ascii="Arial" w:cs="Arial" w:eastAsia="Arial" w:hAnsi="Arial"/>
          <w:sz w:val="16"/>
          <w:szCs w:val="16"/>
          <w:b w:val="1"/>
          <w:bCs w:val="1"/>
          <w:i w:val="1"/>
          <w:iCs w:val="1"/>
          <w:color w:val="auto"/>
        </w:rPr>
        <w:t>Initial Notes</w:t>
      </w:r>
      <w:r>
        <w:rPr>
          <w:rFonts w:ascii="Arial" w:cs="Arial" w:eastAsia="Arial" w:hAnsi="Arial"/>
          <w:sz w:val="16"/>
          <w:szCs w:val="16"/>
          <w:color w:val="auto"/>
        </w:rPr>
        <w:t>” and, together with the Additional Notes, the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w:t>
      </w:r>
    </w:p>
    <w:p>
      <w:pPr>
        <w:spacing w:after="0" w:line="161"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The Additional Notes were issued under the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dated February 4, 2022, between the Company and U.S. Bank Trust Company, National Association, as trustee, and have identical terms to the Initial Notes. The terms of the Indenture and the Initial Notes are each described in Item 8.01 of the Company’s Current Report on Form 8-K filed with the Securities and Exchange Commission on February 4, 2022 (the “</w:t>
      </w:r>
      <w:r>
        <w:rPr>
          <w:rFonts w:ascii="Arial" w:cs="Arial" w:eastAsia="Arial" w:hAnsi="Arial"/>
          <w:sz w:val="18"/>
          <w:szCs w:val="18"/>
          <w:b w:val="1"/>
          <w:bCs w:val="1"/>
          <w:i w:val="1"/>
          <w:iCs w:val="1"/>
          <w:color w:val="auto"/>
        </w:rPr>
        <w:t>Prior 8-K</w:t>
      </w:r>
      <w:r>
        <w:rPr>
          <w:rFonts w:ascii="Arial" w:cs="Arial" w:eastAsia="Arial" w:hAnsi="Arial"/>
          <w:sz w:val="18"/>
          <w:szCs w:val="18"/>
          <w:color w:val="auto"/>
        </w:rPr>
        <w:t>”), which is incorporated herein by reference.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summary of the foregoing transactions is qualified in its entirety by reference to the text of the Indenture and the Form of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 Convertible Senior Note due 2027, which are filed as Exhibit 4.1 and 4.2, respectively, to the Prior 8-K and are incorporated herein by reference.</w:t>
      </w:r>
    </w:p>
    <w:p>
      <w:pPr>
        <w:spacing w:after="0" w:line="3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2.03 of this Current Report on Form 8-K is incorporated herein by reference.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offered and sold the Additional Notes to the Initial Purchasers in reliance on the exemption from registration provided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4(a)(2)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and for resale by the Initial Purchasers to persons reasonably believed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be qualified institutional buyers pursuant to the exemption from registration provided by Section 4(a)(2) and Rule 144A under the Securities Act.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relied on these exemptions from registration based in part on representations made by the Initial Purchasers in the Purchase Agreement.</w:t>
      </w:r>
    </w:p>
    <w:p>
      <w:pPr>
        <w:spacing w:after="0" w:line="234"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Additional Notes and the shares of Common Stock issuable upon conversion of the Additional Notes, if any, have not been registered under the Securities Act and may not be offered or sold in the United States absent registration or an applicable exemption from registration requirements.</w:t>
      </w:r>
    </w:p>
    <w:p>
      <w:pPr>
        <w:spacing w:after="0" w:line="124"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6"/>
          <w:szCs w:val="16"/>
          <w:color w:val="auto"/>
        </w:rPr>
        <w:t>To the extent that any shares of Common Stock are issued upon conversion of the Additional Notes, they will be issued in transactions anticipated to be exempt from registration under the Securities Act by virtue of Section 3(a)(9) thereof because no commission or other remuneration is expected to be paid in connection with conversion of the Additional Notes and any resulting issuance of shares of Common Stock. Initially, a maximum of 852,078 shares of the Company’s Common Stock may be issued upon conversion of the Additional Notes based on the initial maximum conversion rate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22.7221 shares of Common Stock per $1,000 principal amount of Additional Notes, which is subject to customary anti-dilution adjustment provisions.</w:t>
      </w:r>
    </w:p>
    <w:p>
      <w:pPr>
        <w:sectPr>
          <w:pgSz w:w="11900" w:h="16838" w:orient="portrait"/>
          <w:cols w:equalWidth="0" w:num="1">
            <w:col w:w="10960"/>
          </w:cols>
          <w:pgMar w:left="440" w:top="297"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Randolph Altschuler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2022-02-12T02:40:00Z</dcterms:created>
  <dcterms:modified xsi:type="dcterms:W3CDTF">2022-02-12T02:40:00Z</dcterms:modified>
</cp:coreProperties>
</file>