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Dutt Subir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Sales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36,643</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103,013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May 2024 subject to performance-based vesting conditions pertaining to 2024 performance, the achievement of which was certified by the Board on February 25, 2025. Of these RSUs, 1/3rd of the shares vested on May 15, 2025, and the remainder of the shares underlying the RSUs will vest in equal installments on each of May 15, 2026 and May 15, 2027, subject to the reporting person's continuous service.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was filed late due to an inadvertent administrative error.</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05/16/2025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040"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2025-05-16T19:52:17Z</dcterms:created>
  <dcterms:modified xsi:type="dcterms:W3CDTF">2025-05-16T19:52:17Z</dcterms:modified>
</cp:coreProperties>
</file>