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lineRule="atLeast" w:line="141" w:before="0" w:after="0"/>
        <w:jc w:val="left"/>
        <w:rPr/>
      </w:pPr>
      <w:bookmarkStart w:id="0" w:name="xmtr-20210812.htm"/>
      <w:bookmarkStart w:id="1" w:name="ksxmtr20210812"/>
      <w:bookmarkEnd w:id="0"/>
      <w:bookmarkEnd w:id="1"/>
      <w:r>
        <w:rPr/>
        <w:t> </w:t>
      </w:r>
    </w:p>
    <w:p>
      <w:pPr>
        <w:pStyle w:val="TextBody"/>
        <w:spacing w:lineRule="auto" w:line="312" w:before="115" w:after="0"/>
        <w:jc w:val="center"/>
        <w:rPr>
          <w:rFonts w:ascii="Times New Roman" w:hAnsi="Times New Roman"/>
          <w:sz w:val="20"/>
        </w:rPr>
      </w:pPr>
      <w:r>
        <w:rPr>
          <w:rFonts w:ascii="Times New Roman" w:hAnsi="Times New Roman"/>
          <w:b/>
          <w:sz w:val="36"/>
        </w:rPr>
        <w:t>UNITED STATES</w:t>
        <w:br/>
        <w:t>SECURITIES AND EXCHANGE COMMISSION</w:t>
        <w:br/>
      </w:r>
      <w:r>
        <w:rPr>
          <w:rFonts w:ascii="Times New Roman" w:hAnsi="Times New Roman"/>
          <w:b/>
          <w:sz w:val="24"/>
        </w:rPr>
        <w:t>WASHINGTON, D.C. 20549</w:t>
      </w:r>
    </w:p>
    <w:p>
      <w:pPr>
        <w:pStyle w:val="TextBody"/>
        <w:pBdr>
          <w:bottom w:val="single" w:sz="6" w:space="1" w:color="000000"/>
        </w:pBdr>
        <w:spacing w:lineRule="atLeast" w:line="141" w:before="0" w:after="0"/>
        <w:jc w:val="left"/>
        <w:rPr/>
      </w:pPr>
      <w:r>
        <w:rPr/>
        <w:t> </w:t>
      </w:r>
    </w:p>
    <w:p>
      <w:pPr>
        <w:pStyle w:val="TextBody"/>
        <w:spacing w:lineRule="auto" w:line="312" w:before="200" w:after="0"/>
        <w:jc w:val="center"/>
        <w:rPr>
          <w:rFonts w:ascii="Times New Roman" w:hAnsi="Times New Roman"/>
          <w:b/>
          <w:sz w:val="36"/>
        </w:rPr>
      </w:pPr>
      <w:r>
        <w:rPr>
          <w:rFonts w:ascii="Times New Roman" w:hAnsi="Times New Roman"/>
          <w:b/>
          <w:sz w:val="36"/>
        </w:rPr>
        <w:t>FORM 8-K</w:t>
      </w:r>
    </w:p>
    <w:p>
      <w:pPr>
        <w:pStyle w:val="TextBody"/>
        <w:pBdr>
          <w:bottom w:val="single" w:sz="6" w:space="1" w:color="000000"/>
        </w:pBdr>
        <w:spacing w:lineRule="atLeast" w:line="141" w:before="0" w:after="0"/>
        <w:jc w:val="left"/>
        <w:rPr/>
      </w:pPr>
      <w:r>
        <w:rPr/>
        <w:t> </w:t>
      </w:r>
    </w:p>
    <w:p>
      <w:pPr>
        <w:pStyle w:val="TextBody"/>
        <w:spacing w:lineRule="auto" w:line="312" w:before="180" w:after="0"/>
        <w:jc w:val="center"/>
        <w:rPr>
          <w:rFonts w:ascii="Times New Roman" w:hAnsi="Times New Roman"/>
          <w:b/>
          <w:sz w:val="24"/>
        </w:rPr>
      </w:pPr>
      <w:r>
        <w:rPr>
          <w:rFonts w:ascii="Times New Roman" w:hAnsi="Times New Roman"/>
          <w:b/>
          <w:sz w:val="24"/>
        </w:rPr>
        <w:t>CURRENT REPORT</w:t>
      </w:r>
    </w:p>
    <w:p>
      <w:pPr>
        <w:pStyle w:val="TextBody"/>
        <w:spacing w:lineRule="auto" w:line="312" w:before="180" w:after="120"/>
        <w:jc w:val="center"/>
        <w:rPr>
          <w:rFonts w:ascii="Times New Roman" w:hAnsi="Times New Roman"/>
          <w:b/>
          <w:sz w:val="24"/>
        </w:rPr>
      </w:pPr>
      <w:r>
        <w:rPr>
          <w:rFonts w:ascii="Times New Roman" w:hAnsi="Times New Roman"/>
          <w:b/>
          <w:sz w:val="24"/>
        </w:rPr>
        <w:t>Pursuant to Section 13 or 15(d) of the Securities Exchange Act of 1934</w:t>
      </w:r>
    </w:p>
    <w:tbl>
      <w:tblPr>
        <w:tblW w:w="5609" w:type="dxa"/>
        <w:jc w:val="left"/>
        <w:tblInd w:w="0" w:type="dxa"/>
        <w:tblCellMar>
          <w:top w:w="28" w:type="dxa"/>
          <w:left w:w="28" w:type="dxa"/>
          <w:bottom w:w="28" w:type="dxa"/>
          <w:right w:w="28" w:type="dxa"/>
        </w:tblCellMar>
      </w:tblPr>
      <w:tblGrid>
        <w:gridCol w:w="5609"/>
      </w:tblGrid>
      <w:tr>
        <w:trPr/>
        <w:tc>
          <w:tcPr>
            <w:tcW w:w="5609" w:type="dxa"/>
            <w:tcBorders/>
            <w:shd w:fill="auto" w:val="clear"/>
            <w:vAlign w:val="center"/>
          </w:tcPr>
          <w:p>
            <w:pPr>
              <w:pStyle w:val="TableContents"/>
              <w:spacing w:before="0" w:after="283"/>
              <w:rPr>
                <w:sz w:val="4"/>
                <w:szCs w:val="4"/>
              </w:rPr>
            </w:pPr>
            <w:r>
              <w:rPr>
                <w:sz w:val="4"/>
                <w:szCs w:val="4"/>
              </w:rPr>
            </w:r>
          </w:p>
        </w:tc>
      </w:tr>
      <w:tr>
        <w:trPr/>
        <w:tc>
          <w:tcPr>
            <w:tcW w:w="5609" w:type="dxa"/>
            <w:tcBorders/>
            <w:shd w:fill="auto" w:val="clear"/>
            <w:tcMar>
              <w:top w:w="0" w:type="dxa"/>
              <w:left w:w="0" w:type="dxa"/>
              <w:bottom w:w="0" w:type="dxa"/>
              <w:right w:w="0" w:type="dxa"/>
            </w:tcMar>
            <w:vAlign w:val="center"/>
          </w:tcPr>
          <w:p>
            <w:pPr>
              <w:pStyle w:val="TableContents"/>
              <w:spacing w:lineRule="auto" w:line="312" w:before="0" w:after="0"/>
              <w:ind w:left="0" w:right="43" w:hanging="0"/>
              <w:jc w:val="center"/>
              <w:rPr>
                <w:rFonts w:ascii="Times New Roman" w:hAnsi="Times New Roman"/>
                <w:b/>
                <w:sz w:val="20"/>
              </w:rPr>
            </w:pPr>
            <w:r>
              <w:rPr>
                <w:rFonts w:ascii="Times New Roman" w:hAnsi="Times New Roman"/>
                <w:b/>
                <w:sz w:val="20"/>
              </w:rPr>
              <w:t>Date of Report (Date of earliest event reported): August 12, 2021</w:t>
            </w:r>
          </w:p>
        </w:tc>
      </w:tr>
    </w:tbl>
    <w:p>
      <w:pPr>
        <w:pStyle w:val="TextBody"/>
        <w:pBdr>
          <w:bottom w:val="single" w:sz="6" w:space="1" w:color="000000"/>
        </w:pBdr>
        <w:spacing w:lineRule="atLeast" w:line="141" w:before="100" w:after="0"/>
        <w:jc w:val="left"/>
        <w:rPr/>
      </w:pPr>
      <w:r>
        <w:rPr/>
        <w:t> </w:t>
      </w:r>
    </w:p>
    <w:p>
      <w:pPr>
        <w:pStyle w:val="TextBody"/>
        <w:spacing w:lineRule="atLeast" w:line="141" w:before="0" w:after="0"/>
        <w:jc w:val="left"/>
        <w:rPr/>
      </w:pPr>
      <w:r>
        <w:rPr/>
        <w:t> </w:t>
      </w:r>
    </w:p>
    <w:p>
      <w:pPr>
        <w:pStyle w:val="TextBody"/>
        <w:spacing w:lineRule="auto" w:line="312" w:before="100" w:after="0"/>
        <w:jc w:val="center"/>
        <w:rPr>
          <w:rFonts w:ascii="Times New Roman" w:hAnsi="Times New Roman"/>
          <w:b/>
          <w:sz w:val="48"/>
        </w:rPr>
      </w:pPr>
      <w:r>
        <w:rPr>
          <w:rFonts w:ascii="Times New Roman" w:hAnsi="Times New Roman"/>
          <w:b/>
          <w:sz w:val="48"/>
        </w:rPr>
        <w:t>Xometry, Inc.</w:t>
      </w:r>
    </w:p>
    <w:p>
      <w:pPr>
        <w:pStyle w:val="TextBody"/>
        <w:spacing w:lineRule="auto" w:line="312" w:before="60" w:after="0"/>
        <w:jc w:val="center"/>
        <w:rPr>
          <w:rFonts w:ascii="Times New Roman" w:hAnsi="Times New Roman"/>
          <w:b/>
          <w:sz w:val="14"/>
        </w:rPr>
      </w:pPr>
      <w:r>
        <w:rPr>
          <w:rFonts w:ascii="Times New Roman" w:hAnsi="Times New Roman"/>
          <w:b/>
          <w:sz w:val="14"/>
        </w:rPr>
        <w:t>(Exact Name of Registrant as Specified in Its Charter)</w:t>
      </w:r>
    </w:p>
    <w:p>
      <w:pPr>
        <w:pStyle w:val="TextBody"/>
        <w:pBdr>
          <w:bottom w:val="single" w:sz="6" w:space="1" w:color="000000"/>
        </w:pBdr>
        <w:spacing w:lineRule="atLeast" w:line="141" w:before="180" w:after="0"/>
        <w:jc w:val="left"/>
        <w:rPr/>
      </w:pPr>
      <w:r>
        <w:rPr/>
        <w:t> </w:t>
      </w:r>
    </w:p>
    <w:p>
      <w:pPr>
        <w:pStyle w:val="TextBody"/>
        <w:spacing w:lineRule="atLeast" w:line="141" w:before="0" w:after="0"/>
        <w:jc w:val="left"/>
        <w:rPr/>
      </w:pPr>
      <w:r>
        <w:rPr/>
        <w:t> </w:t>
      </w:r>
    </w:p>
    <w:tbl>
      <w:tblPr>
        <w:tblW w:w="5611" w:type="dxa"/>
        <w:jc w:val="left"/>
        <w:tblInd w:w="0" w:type="dxa"/>
        <w:tblCellMar>
          <w:top w:w="28" w:type="dxa"/>
          <w:left w:w="28" w:type="dxa"/>
          <w:bottom w:w="28" w:type="dxa"/>
          <w:right w:w="28" w:type="dxa"/>
        </w:tblCellMar>
      </w:tblPr>
      <w:tblGrid>
        <w:gridCol w:w="949"/>
        <w:gridCol w:w="863"/>
        <w:gridCol w:w="872"/>
        <w:gridCol w:w="1681"/>
        <w:gridCol w:w="1246"/>
      </w:tblGrid>
      <w:tr>
        <w:trPr/>
        <w:tc>
          <w:tcPr>
            <w:tcW w:w="949"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Delaware</w:t>
            </w:r>
          </w:p>
        </w:tc>
        <w:tc>
          <w:tcPr>
            <w:tcW w:w="16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001-40546</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32-0415449</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(State or Other Jurisdiction</w:t>
              <w:br/>
              <w:t>of Incorporation)</w:t>
            </w:r>
          </w:p>
        </w:tc>
        <w:tc>
          <w:tcPr>
            <w:tcW w:w="16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(Commission File Number)</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949"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863"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872"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6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7529 Standish Place, Suite 200</w:t>
            </w:r>
          </w:p>
        </w:tc>
        <w:tc>
          <w:tcPr>
            <w:tcW w:w="2927" w:type="dxa"/>
            <w:gridSpan w:val="2"/>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Derwood, Maryland</w:t>
            </w:r>
          </w:p>
        </w:tc>
        <w:tc>
          <w:tcPr>
            <w:tcW w:w="16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20855</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6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tLeast" w:line="141" w:before="0" w:after="0"/>
        <w:jc w:val="left"/>
        <w:rPr/>
      </w:pPr>
      <w:r>
        <w:rPr/>
        <w:t> </w:t>
      </w:r>
    </w:p>
    <w:tbl>
      <w:tblPr>
        <w:tblW w:w="5999" w:type="dxa"/>
        <w:jc w:val="left"/>
        <w:tblInd w:w="0" w:type="dxa"/>
        <w:tblCellMar>
          <w:top w:w="28" w:type="dxa"/>
          <w:left w:w="28" w:type="dxa"/>
          <w:bottom w:w="28" w:type="dxa"/>
          <w:right w:w="28" w:type="dxa"/>
        </w:tblCellMar>
      </w:tblPr>
      <w:tblGrid>
        <w:gridCol w:w="5999"/>
      </w:tblGrid>
      <w:tr>
        <w:trPr/>
        <w:tc>
          <w:tcPr>
            <w:tcW w:w="5999" w:type="dxa"/>
            <w:tcBorders/>
            <w:shd w:fill="auto" w:val="clear"/>
            <w:vAlign w:val="center"/>
          </w:tcPr>
          <w:p>
            <w:pPr>
              <w:pStyle w:val="TableContents"/>
              <w:spacing w:before="0" w:after="283"/>
              <w:rPr>
                <w:sz w:val="4"/>
                <w:szCs w:val="4"/>
              </w:rPr>
            </w:pPr>
            <w:r>
              <w:rPr>
                <w:sz w:val="4"/>
                <w:szCs w:val="4"/>
              </w:rPr>
            </w:r>
          </w:p>
        </w:tc>
      </w:tr>
      <w:tr>
        <w:trPr/>
        <w:tc>
          <w:tcPr>
            <w:tcW w:w="5999" w:type="dxa"/>
            <w:tcBorders/>
            <w:shd w:fill="auto" w:val="clear"/>
            <w:tcMar>
              <w:top w:w="0" w:type="dxa"/>
              <w:left w:w="0" w:type="dxa"/>
              <w:bottom w:w="0" w:type="dxa"/>
              <w:right w:w="0" w:type="dxa"/>
            </w:tcMar>
            <w:vAlign w:val="center"/>
          </w:tcPr>
          <w:p>
            <w:pPr>
              <w:pStyle w:val="TableContents"/>
              <w:spacing w:lineRule="auto" w:line="312" w:before="0" w:after="0"/>
              <w:ind w:left="0" w:right="43" w:hanging="0"/>
              <w:jc w:val="center"/>
              <w:rPr>
                <w:rFonts w:ascii="Times New Roman" w:hAnsi="Times New Roman"/>
                <w:sz w:val="20"/>
              </w:rPr>
            </w:pPr>
            <w:r>
              <w:rPr>
                <w:rFonts w:ascii="Times New Roman" w:hAnsi="Times New Roman"/>
                <w:b/>
                <w:sz w:val="20"/>
              </w:rPr>
              <w:t>Registrant’s Telephone Number, Including Area Code:</w:t>
            </w:r>
            <w:r>
              <w:rPr>
                <w:rFonts w:ascii="Times New Roman" w:hAnsi="Times New Roman"/>
                <w:sz w:val="20"/>
              </w:rPr>
              <w:t xml:space="preserve"> </w:t>
            </w:r>
            <w:r>
              <w:rPr>
                <w:rFonts w:ascii="Times New Roman" w:hAnsi="Times New Roman"/>
                <w:b/>
                <w:sz w:val="20"/>
              </w:rPr>
              <w:t>240</w:t>
            </w:r>
            <w:r>
              <w:rPr>
                <w:rFonts w:ascii="Times New Roman" w:hAnsi="Times New Roman"/>
                <w:sz w:val="20"/>
              </w:rPr>
              <w:t xml:space="preserve"> </w:t>
            </w:r>
            <w:r>
              <w:rPr>
                <w:rFonts w:ascii="Times New Roman" w:hAnsi="Times New Roman"/>
                <w:b/>
                <w:sz w:val="20"/>
              </w:rPr>
              <w:t>335-7914</w:t>
            </w:r>
          </w:p>
        </w:tc>
      </w:tr>
    </w:tbl>
    <w:p>
      <w:pPr>
        <w:pStyle w:val="TextBody"/>
        <w:spacing w:lineRule="atLeast" w:line="141" w:before="0" w:after="0"/>
        <w:jc w:val="left"/>
        <w:rPr/>
      </w:pPr>
      <w:r>
        <w:rPr/>
        <w:t> </w:t>
      </w:r>
    </w:p>
    <w:tbl>
      <w:tblPr>
        <w:tblW w:w="1396" w:type="dxa"/>
        <w:jc w:val="left"/>
        <w:tblInd w:w="0" w:type="dxa"/>
        <w:tblCellMar>
          <w:top w:w="28" w:type="dxa"/>
          <w:left w:w="28" w:type="dxa"/>
          <w:bottom w:w="28" w:type="dxa"/>
          <w:right w:w="28" w:type="dxa"/>
        </w:tblCellMar>
      </w:tblPr>
      <w:tblGrid>
        <w:gridCol w:w="1396"/>
      </w:tblGrid>
      <w:tr>
        <w:trPr/>
        <w:tc>
          <w:tcPr>
            <w:tcW w:w="1396" w:type="dxa"/>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Not applicable</w:t>
            </w:r>
          </w:p>
        </w:tc>
      </w:tr>
    </w:tbl>
    <w:p>
      <w:pPr>
        <w:pStyle w:val="TextBody"/>
        <w:spacing w:lineRule="auto" w:line="312" w:before="0" w:after="0"/>
        <w:jc w:val="center"/>
        <w:rPr>
          <w:rFonts w:ascii="Times New Roman" w:hAnsi="Times New Roman"/>
          <w:b/>
          <w:sz w:val="14"/>
        </w:rPr>
      </w:pPr>
      <w:r>
        <w:rPr>
          <w:rFonts w:ascii="Times New Roman" w:hAnsi="Times New Roman"/>
          <w:b/>
          <w:sz w:val="14"/>
        </w:rPr>
        <w:t>(Former Name or Former Address, if Changed Since Last Report)</w:t>
      </w:r>
    </w:p>
    <w:p>
      <w:pPr>
        <w:pStyle w:val="TextBody"/>
        <w:pBdr>
          <w:bottom w:val="single" w:sz="6" w:space="1" w:color="000000"/>
        </w:pBdr>
        <w:spacing w:lineRule="atLeast" w:line="141" w:before="187" w:after="0"/>
        <w:jc w:val="left"/>
        <w:rPr/>
      </w:pPr>
      <w:r>
        <w:rPr/>
        <w:t> </w:t>
      </w:r>
    </w:p>
    <w:p>
      <w:pPr>
        <w:pStyle w:val="TextBody"/>
        <w:spacing w:lineRule="auto" w:line="312" w:before="187" w:after="120"/>
        <w:jc w:val="left"/>
        <w:rPr>
          <w:rFonts w:ascii="Times New Roman" w:hAnsi="Times New Roman"/>
          <w:sz w:val="20"/>
        </w:rPr>
      </w:pPr>
      <w:r>
        <w:rPr>
          <w:rFonts w:ascii="Times New Roman" w:hAnsi="Times New Roman"/>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lineRule="auto" w:line="312" w:before="180" w:after="0"/>
        <w:ind w:left="0" w:right="0" w:hanging="490"/>
        <w:jc w:val="left"/>
        <w:rPr/>
      </w:pPr>
      <w:r>
        <w:rPr/>
        <w:t>☐</w:t>
      </w:r>
      <w:r>
        <w:rPr>
          <w:rFonts w:ascii="Times New Roman" w:hAnsi="Times New Roman"/>
          <w:b w:val="false"/>
          <w:sz w:val="20"/>
        </w:rPr>
        <w:t>Written communications pursuant to Rule 425 under the Securities Act (17 CFR 230.425)</w:t>
      </w:r>
    </w:p>
    <w:p>
      <w:pPr>
        <w:pStyle w:val="TextBody"/>
        <w:spacing w:lineRule="auto" w:line="312" w:before="120" w:after="0"/>
        <w:ind w:left="0" w:right="0" w:hanging="490"/>
        <w:jc w:val="left"/>
        <w:rPr/>
      </w:pPr>
      <w:r>
        <w:rPr/>
        <w:t>☐</w:t>
      </w:r>
      <w:r>
        <w:rPr>
          <w:rFonts w:ascii="Times New Roman" w:hAnsi="Times New Roman"/>
          <w:b w:val="false"/>
          <w:sz w:val="20"/>
        </w:rPr>
        <w:t>Soliciting material pursuant to Rule 14a-12 under the Exchange Act (17 CFR 240.14a-12)</w:t>
      </w:r>
    </w:p>
    <w:p>
      <w:pPr>
        <w:pStyle w:val="TextBody"/>
        <w:spacing w:lineRule="auto" w:line="312" w:before="120" w:after="0"/>
        <w:ind w:left="0" w:right="0" w:hanging="490"/>
        <w:jc w:val="left"/>
        <w:rPr/>
      </w:pPr>
      <w:r>
        <w:rPr/>
        <w:t>☐</w:t>
      </w:r>
      <w:r>
        <w:rPr>
          <w:rFonts w:ascii="Times New Roman" w:hAnsi="Times New Roman"/>
          <w:b w:val="false"/>
          <w:sz w:val="20"/>
        </w:rPr>
        <w:t>Pre-commencement communications pursuant to Rule 14d-2(b) under the Exchange Act (17 CFR 240.14d-2(b))</w:t>
      </w:r>
    </w:p>
    <w:p>
      <w:pPr>
        <w:pStyle w:val="TextBody"/>
        <w:spacing w:lineRule="auto" w:line="312" w:before="120" w:after="283"/>
        <w:ind w:left="0" w:right="0" w:hanging="490"/>
        <w:jc w:val="left"/>
        <w:rPr/>
      </w:pPr>
      <w:r>
        <w:rPr/>
        <w:t>☐</w:t>
      </w:r>
      <w:r>
        <w:rPr>
          <w:rFonts w:ascii="Times New Roman" w:hAnsi="Times New Roman"/>
          <w:b w:val="false"/>
          <w:sz w:val="20"/>
        </w:rPr>
        <w:t>Pre-commencement communications pursuant to Rule 13e-4(c) under the Exchange Act (17 CFR 240.13e-4(c))</w:t>
      </w:r>
    </w:p>
    <w:p>
      <w:pPr>
        <w:pStyle w:val="TextBody"/>
        <w:spacing w:lineRule="auto" w:line="312" w:before="180" w:after="180"/>
        <w:jc w:val="center"/>
        <w:rPr>
          <w:rFonts w:ascii="Times New Roman" w:hAnsi="Times New Roman"/>
          <w:b/>
          <w:sz w:val="20"/>
        </w:rPr>
      </w:pPr>
      <w:r>
        <w:rPr>
          <w:rFonts w:ascii="Times New Roman" w:hAnsi="Times New Roman"/>
          <w:b/>
          <w:sz w:val="20"/>
        </w:rPr>
        <w:t>Securities registered pursuant to Section 12(b) of the Act:</w:t>
      </w:r>
    </w:p>
    <w:tbl>
      <w:tblPr>
        <w:tblW w:w="9640" w:type="dxa"/>
        <w:jc w:val="left"/>
        <w:tblInd w:w="0" w:type="dxa"/>
        <w:tblCellMar>
          <w:top w:w="28" w:type="dxa"/>
          <w:left w:w="28" w:type="dxa"/>
          <w:bottom w:w="28" w:type="dxa"/>
          <w:right w:w="28" w:type="dxa"/>
        </w:tblCellMar>
      </w:tblPr>
      <w:tblGrid>
        <w:gridCol w:w="4576"/>
        <w:gridCol w:w="146"/>
        <w:gridCol w:w="946"/>
        <w:gridCol w:w="146"/>
        <w:gridCol w:w="3826"/>
      </w:tblGrid>
      <w:tr>
        <w:trPr/>
        <w:tc>
          <w:tcPr>
            <w:tcW w:w="4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4576"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br/>
              <w:t>Title of each class</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Trading</w:t>
              <w:br/>
              <w:t>Symbol(s)</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826"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br/>
              <w:t>Name of each exchange on which registered</w:t>
            </w:r>
          </w:p>
        </w:tc>
      </w:tr>
      <w:tr>
        <w:trPr/>
        <w:tc>
          <w:tcPr>
            <w:tcW w:w="45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Class A Common Stock, $0.000001 par value per share</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XMTR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82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The NASDAQ Stock Market LLC</w:t>
            </w:r>
          </w:p>
        </w:tc>
      </w:tr>
    </w:tbl>
    <w:p>
      <w:pPr>
        <w:pStyle w:val="TextBody"/>
        <w:spacing w:lineRule="auto" w:line="312" w:before="240" w:after="0"/>
        <w:jc w:val="left"/>
        <w:rPr>
          <w:rFonts w:ascii="Times New Roman" w:hAnsi="Times New Roman"/>
          <w:sz w:val="20"/>
        </w:rPr>
      </w:pPr>
      <w:r>
        <w:rPr>
          <w:rFonts w:ascii="Times New Roman" w:hAnsi="Times New Roman"/>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lineRule="auto" w:line="312" w:before="180" w:after="0"/>
        <w:jc w:val="left"/>
        <w:rPr>
          <w:rFonts w:ascii="Times New Roman" w:hAnsi="Times New Roman"/>
          <w:sz w:val="20"/>
        </w:rPr>
      </w:pPr>
      <w:r>
        <w:rPr>
          <w:rFonts w:ascii="Times New Roman" w:hAnsi="Times New Roman"/>
          <w:b w:val="false"/>
          <w:sz w:val="20"/>
        </w:rPr>
        <w:t xml:space="preserve">Emerging growth company </w:t>
      </w:r>
      <w:r>
        <w:rPr>
          <w:rFonts w:ascii="Times New Roman" w:hAnsi="Times New Roman"/>
          <w:sz w:val="20"/>
        </w:rPr>
        <w:t>☒</w:t>
      </w:r>
    </w:p>
    <w:p>
      <w:pPr>
        <w:pStyle w:val="TextBody"/>
        <w:spacing w:lineRule="auto" w:line="312" w:before="180" w:after="0"/>
        <w:jc w:val="left"/>
        <w:rPr>
          <w:rFonts w:ascii="Times New Roman" w:hAnsi="Times New Roman"/>
          <w:sz w:val="20"/>
        </w:rPr>
      </w:pPr>
      <w:r>
        <w:rPr>
          <w:rFonts w:ascii="Times New Roman" w:hAnsi="Times New Roman"/>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spacing w:lineRule="atLeast" w:line="141"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360" w:after="120"/>
        <w:jc w:val="left"/>
        <w:rPr>
          <w:rFonts w:ascii="Times New Roman" w:hAnsi="Times New Roman"/>
          <w:b/>
          <w:sz w:val="20"/>
        </w:rPr>
      </w:pPr>
      <w:r>
        <w:rPr>
          <w:rFonts w:ascii="Times New Roman" w:hAnsi="Times New Roman"/>
          <w:b/>
          <w:sz w:val="20"/>
        </w:rPr>
        <w:t>Item 2.02 Results of Operations and Financial Condition.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18"/>
        </w:rPr>
      </w:pPr>
      <w:r>
        <w:rPr>
          <w:rFonts w:ascii="Times New Roman" w:hAnsi="Times New Roman"/>
          <w:b w:val="false"/>
          <w:sz w:val="18"/>
        </w:rPr>
        <w:t>On August 12, 2021, Xometry, Inc. issued a press release announcing its second quarter 2021 financial results. A copy of the press release is furnished as Exhibit 99.1 to this report.</w:t>
      </w:r>
    </w:p>
    <w:p>
      <w:pPr>
        <w:pStyle w:val="TextBody"/>
        <w:spacing w:lineRule="auto" w:line="312" w:before="360" w:after="120"/>
        <w:jc w:val="left"/>
        <w:rPr>
          <w:rFonts w:ascii="Times New Roman" w:hAnsi="Times New Roman"/>
          <w:b/>
          <w:sz w:val="20"/>
        </w:rPr>
      </w:pPr>
      <w:r>
        <w:rPr>
          <w:rFonts w:ascii="Times New Roman" w:hAnsi="Times New Roman"/>
          <w:b/>
          <w:sz w:val="20"/>
        </w:rPr>
        <w:t>Item 9.01 Financial Statements and Exhibits.</w:t>
      </w:r>
    </w:p>
    <w:tbl>
      <w:tblPr>
        <w:tblW w:w="7772" w:type="dxa"/>
        <w:jc w:val="left"/>
        <w:tblInd w:w="0" w:type="dxa"/>
        <w:tblCellMar>
          <w:top w:w="28" w:type="dxa"/>
          <w:left w:w="28" w:type="dxa"/>
          <w:bottom w:w="28" w:type="dxa"/>
          <w:right w:w="28" w:type="dxa"/>
        </w:tblCellMar>
      </w:tblPr>
      <w:tblGrid>
        <w:gridCol w:w="1081"/>
        <w:gridCol w:w="6691"/>
      </w:tblGrid>
      <w:tr>
        <w:trPr/>
        <w:tc>
          <w:tcPr>
            <w:tcW w:w="1081" w:type="dxa"/>
            <w:tcBorders/>
            <w:shd w:fill="auto" w:val="clear"/>
            <w:vAlign w:val="center"/>
          </w:tcPr>
          <w:p>
            <w:pPr>
              <w:pStyle w:val="TableContents"/>
              <w:spacing w:before="0" w:after="283"/>
              <w:rPr>
                <w:sz w:val="4"/>
                <w:szCs w:val="4"/>
              </w:rPr>
            </w:pPr>
            <w:r>
              <w:rPr>
                <w:sz w:val="4"/>
                <w:szCs w:val="4"/>
              </w:rPr>
            </w:r>
          </w:p>
        </w:tc>
        <w:tc>
          <w:tcPr>
            <w:tcW w:w="6691" w:type="dxa"/>
            <w:tcBorders/>
            <w:shd w:fill="auto" w:val="clear"/>
            <w:vAlign w:val="center"/>
          </w:tcPr>
          <w:p>
            <w:pPr>
              <w:pStyle w:val="TableContents"/>
              <w:spacing w:before="0" w:after="283"/>
              <w:rPr>
                <w:sz w:val="4"/>
                <w:szCs w:val="4"/>
              </w:rPr>
            </w:pPr>
            <w:r>
              <w:rPr>
                <w:sz w:val="4"/>
                <w:szCs w:val="4"/>
              </w:rPr>
            </w:r>
          </w:p>
        </w:tc>
      </w:tr>
      <w:tr>
        <w:trPr/>
        <w:tc>
          <w:tcPr>
            <w:tcW w:w="10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Exhibit No.</w:t>
            </w:r>
          </w:p>
        </w:tc>
        <w:tc>
          <w:tcPr>
            <w:tcW w:w="66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Description</w:t>
            </w:r>
          </w:p>
        </w:tc>
      </w:tr>
      <w:tr>
        <w:trPr/>
        <w:tc>
          <w:tcPr>
            <w:tcW w:w="10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xmtr-20210812ex99_1.htm">
              <w:r>
                <w:rPr>
                  <w:rStyle w:val="InternetLink"/>
                  <w:rFonts w:ascii="Times New Roman" w:hAnsi="Times New Roman"/>
                  <w:b w:val="false"/>
                  <w:sz w:val="20"/>
                  <w:u w:val="single"/>
                </w:rPr>
                <w:t>99.1</w:t>
              </w:r>
            </w:hyperlink>
          </w:p>
        </w:tc>
        <w:tc>
          <w:tcPr>
            <w:tcW w:w="66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xmtr-20210812ex99_1.htm">
              <w:r>
                <w:rPr>
                  <w:rStyle w:val="InternetLink"/>
                  <w:rFonts w:ascii="Times New Roman" w:hAnsi="Times New Roman"/>
                  <w:b w:val="false"/>
                  <w:sz w:val="20"/>
                  <w:u w:val="single"/>
                </w:rPr>
                <w:t>Press Release of Xometry, Inc. issued on August12, 2021.</w:t>
              </w:r>
            </w:hyperlink>
          </w:p>
        </w:tc>
      </w:tr>
      <w:tr>
        <w:trPr/>
        <w:tc>
          <w:tcPr>
            <w:tcW w:w="10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104</w:t>
            </w:r>
          </w:p>
        </w:tc>
        <w:tc>
          <w:tcPr>
            <w:tcW w:w="66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Cover Page Interactive Data File (embedded within the Inline XBRL document).</w:t>
            </w:r>
            <w:r>
              <w:rPr>
                <w:rFonts w:ascii="Times New Roman" w:hAnsi="Times New Roman"/>
                <w:sz w:val="20"/>
              </w:rPr>
              <w:t xml:space="preserve"> </w:t>
            </w:r>
          </w:p>
        </w:tc>
      </w:tr>
    </w:tbl>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187"/>
        <w:jc w:val="center"/>
        <w:rPr>
          <w:rFonts w:ascii="Times New Roman" w:hAnsi="Times New Roman"/>
          <w:b/>
          <w:sz w:val="20"/>
        </w:rPr>
      </w:pPr>
      <w:r>
        <w:rPr>
          <w:rFonts w:ascii="Times New Roman" w:hAnsi="Times New Roman"/>
          <w:b/>
          <w:sz w:val="20"/>
        </w:rPr>
        <w:t>SIGNATURES</w:t>
      </w:r>
    </w:p>
    <w:p>
      <w:pPr>
        <w:pStyle w:val="TextBody"/>
        <w:spacing w:lineRule="auto" w:line="312" w:before="0" w:after="187"/>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tbl>
      <w:tblPr>
        <w:tblW w:w="4549" w:type="dxa"/>
        <w:jc w:val="left"/>
        <w:tblInd w:w="0" w:type="dxa"/>
        <w:tblCellMar>
          <w:top w:w="28" w:type="dxa"/>
          <w:left w:w="28" w:type="dxa"/>
          <w:bottom w:w="28" w:type="dxa"/>
          <w:right w:w="28" w:type="dxa"/>
        </w:tblCellMar>
      </w:tblPr>
      <w:tblGrid>
        <w:gridCol w:w="556"/>
        <w:gridCol w:w="1456"/>
        <w:gridCol w:w="451"/>
        <w:gridCol w:w="2086"/>
      </w:tblGrid>
      <w:tr>
        <w:trPr/>
        <w:tc>
          <w:tcPr>
            <w:tcW w:w="55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86" w:type="dxa"/>
            <w:tcBorders/>
            <w:shd w:fill="auto" w:val="clear"/>
            <w:tcMar>
              <w:top w:w="0" w:type="dxa"/>
              <w:left w:w="0" w:type="dxa"/>
              <w:bottom w:w="0" w:type="dxa"/>
              <w:right w:w="0" w:type="dxa"/>
            </w:tcMar>
            <w:vAlign w:val="center"/>
          </w:tcPr>
          <w:p>
            <w:pPr>
              <w:pStyle w:val="TableContents"/>
              <w:spacing w:lineRule="auto" w:line="312" w:before="86" w:after="86"/>
              <w:ind w:left="0" w:right="0" w:hanging="0"/>
              <w:jc w:val="center"/>
              <w:rPr>
                <w:rFonts w:ascii="Times New Roman" w:hAnsi="Times New Roman"/>
                <w:sz w:val="20"/>
              </w:rPr>
            </w:pPr>
            <w:r>
              <w:rPr>
                <w:rFonts w:ascii="Times New Roman" w:hAnsi="Times New Roman"/>
                <w:b/>
                <w:sz w:val="20"/>
              </w:rPr>
              <w:t>XOMETRY, INC.</w:t>
            </w:r>
            <w:r>
              <w:rPr>
                <w:rFonts w:ascii="Times New Roman" w:hAnsi="Times New Roman"/>
                <w:sz w:val="20"/>
              </w:rPr>
              <w:t xml:space="preserve"> </w:t>
            </w:r>
          </w:p>
        </w:tc>
      </w:tr>
      <w:tr>
        <w:trPr/>
        <w:tc>
          <w:tcPr>
            <w:tcW w:w="5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lineRule="auto" w:line="312" w:before="86" w:after="0"/>
              <w:ind w:left="0" w:right="0" w:hanging="0"/>
              <w:jc w:val="left"/>
              <w:rPr>
                <w:rFonts w:ascii="Times New Roman" w:hAnsi="Times New Roman"/>
                <w:b w:val="false"/>
                <w:sz w:val="20"/>
              </w:rPr>
            </w:pPr>
            <w:r>
              <w:rPr>
                <w:rFonts w:ascii="Times New Roman" w:hAnsi="Times New Roman"/>
                <w:b w:val="false"/>
                <w:sz w:val="20"/>
              </w:rPr>
              <w:t>Date:</w:t>
            </w:r>
          </w:p>
        </w:tc>
        <w:tc>
          <w:tcPr>
            <w:tcW w:w="1456" w:type="dxa"/>
            <w:tcBorders/>
            <w:shd w:fill="auto" w:val="clear"/>
            <w:tcMar>
              <w:top w:w="0" w:type="dxa"/>
              <w:left w:w="0" w:type="dxa"/>
              <w:bottom w:w="0" w:type="dxa"/>
              <w:right w:w="0" w:type="dxa"/>
            </w:tcMar>
            <w:vAlign w:val="center"/>
          </w:tcPr>
          <w:p>
            <w:pPr>
              <w:pStyle w:val="TableContents"/>
              <w:spacing w:lineRule="auto" w:line="312" w:before="86" w:after="0"/>
              <w:ind w:left="0" w:right="0" w:hanging="0"/>
              <w:jc w:val="left"/>
              <w:rPr>
                <w:rFonts w:ascii="Times New Roman" w:hAnsi="Times New Roman"/>
                <w:b w:val="false"/>
                <w:sz w:val="20"/>
              </w:rPr>
            </w:pPr>
            <w:r>
              <w:rPr>
                <w:rFonts w:ascii="Times New Roman" w:hAnsi="Times New Roman"/>
                <w:b w:val="false"/>
                <w:sz w:val="20"/>
              </w:rPr>
              <w:t>August 12, 2021</w:t>
            </w:r>
          </w:p>
        </w:tc>
        <w:tc>
          <w:tcPr>
            <w:tcW w:w="451" w:type="dxa"/>
            <w:tcBorders/>
            <w:shd w:fill="auto" w:val="clear"/>
            <w:tcMar>
              <w:top w:w="0" w:type="dxa"/>
              <w:left w:w="0" w:type="dxa"/>
              <w:bottom w:w="0" w:type="dxa"/>
              <w:right w:w="0" w:type="dxa"/>
            </w:tcMar>
            <w:vAlign w:val="center"/>
          </w:tcPr>
          <w:p>
            <w:pPr>
              <w:pStyle w:val="TableContents"/>
              <w:spacing w:lineRule="auto" w:line="312" w:before="86" w:after="0"/>
              <w:ind w:left="0" w:right="0" w:hanging="0"/>
              <w:jc w:val="left"/>
              <w:rPr>
                <w:rFonts w:ascii="Times New Roman" w:hAnsi="Times New Roman"/>
                <w:sz w:val="20"/>
              </w:rPr>
            </w:pPr>
            <w:r>
              <w:rPr>
                <w:rFonts w:ascii="Times New Roman" w:hAnsi="Times New Roman"/>
                <w:b w:val="false"/>
                <w:sz w:val="20"/>
              </w:rPr>
              <w:t>By:</w:t>
            </w:r>
            <w:r>
              <w:rPr>
                <w:rFonts w:ascii="Times New Roman" w:hAnsi="Times New Roman"/>
                <w:sz w:val="20"/>
              </w:rPr>
              <w:t xml:space="preserve"> </w:t>
            </w:r>
          </w:p>
        </w:tc>
        <w:tc>
          <w:tcPr>
            <w:tcW w:w="2086" w:type="dxa"/>
            <w:tcBorders>
              <w:bottom w:val="single" w:sz="2" w:space="0" w:color="000000"/>
            </w:tcBorders>
            <w:shd w:fill="auto" w:val="clear"/>
            <w:tcMar>
              <w:top w:w="0" w:type="dxa"/>
              <w:left w:w="0" w:type="dxa"/>
              <w:right w:w="0" w:type="dxa"/>
            </w:tcMar>
            <w:vAlign w:val="center"/>
          </w:tcPr>
          <w:p>
            <w:pPr>
              <w:pStyle w:val="TableContents"/>
              <w:spacing w:lineRule="auto" w:line="312" w:before="86" w:after="0"/>
              <w:ind w:left="0" w:right="0" w:hanging="0"/>
              <w:jc w:val="left"/>
              <w:rPr>
                <w:rFonts w:ascii="Times New Roman" w:hAnsi="Times New Roman"/>
                <w:b w:val="false"/>
                <w:sz w:val="20"/>
                <w:u w:val="single"/>
              </w:rPr>
            </w:pPr>
            <w:r>
              <w:rPr>
                <w:rFonts w:ascii="Times New Roman" w:hAnsi="Times New Roman"/>
                <w:b w:val="false"/>
                <w:sz w:val="20"/>
                <w:u w:val="single"/>
              </w:rPr>
              <w:t>/s/ Randolph Altschuler</w:t>
            </w:r>
          </w:p>
        </w:tc>
      </w:tr>
      <w:tr>
        <w:trPr/>
        <w:tc>
          <w:tcPr>
            <w:tcW w:w="5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86" w:type="dxa"/>
            <w:tcBorders/>
            <w:shd w:fill="auto" w:val="clear"/>
            <w:tcMar>
              <w:top w:w="0" w:type="dxa"/>
              <w:left w:w="0" w:type="dxa"/>
              <w:bottom w:w="0" w:type="dxa"/>
              <w:right w:w="0" w:type="dxa"/>
            </w:tcMar>
            <w:vAlign w:val="center"/>
          </w:tcPr>
          <w:p>
            <w:pPr>
              <w:pStyle w:val="TableContents"/>
              <w:spacing w:lineRule="auto" w:line="312" w:before="14" w:after="187"/>
              <w:ind w:left="0" w:right="0" w:hanging="0"/>
              <w:jc w:val="left"/>
              <w:rPr>
                <w:rFonts w:ascii="Times New Roman" w:hAnsi="Times New Roman"/>
                <w:b w:val="false"/>
                <w:sz w:val="20"/>
              </w:rPr>
            </w:pPr>
            <w:r>
              <w:rPr>
                <w:rFonts w:ascii="Times New Roman" w:hAnsi="Times New Roman"/>
                <w:b w:val="false"/>
                <w:sz w:val="20"/>
              </w:rPr>
              <w:t>Randolph Altschuler</w:t>
              <w:br/>
              <w:t>Chief Executive Officer</w:t>
            </w:r>
          </w:p>
        </w:tc>
      </w:tr>
    </w:tbl>
    <w:p>
      <w:pPr>
        <w:pStyle w:val="TextBody"/>
        <w:spacing w:lineRule="auto" w:line="312" w:before="0" w:after="0"/>
        <w:jc w:val="left"/>
        <w:rPr/>
      </w:pPr>
      <w:r>
        <w:rPr/>
        <w:t> </w:t>
      </w:r>
    </w:p>
    <w:p>
      <w:pPr>
        <w:pStyle w:val="HorizontalLine"/>
        <w:rPr/>
      </w:pPr>
      <w:r>
        <w:rPr/>
      </w:r>
      <w:r>
        <w:br w:type="page"/>
      </w:r>
    </w:p>
    <w:p>
      <w:pPr>
        <w:pStyle w:val="TextBody"/>
        <w:spacing w:lineRule="auto" w:line="312" w:before="0" w:after="0"/>
        <w:jc w:val="left"/>
        <w:rPr/>
      </w:pPr>
      <w:bookmarkStart w:id="2" w:name="xmtr-20210812ex99_1.htm"/>
      <w:bookmarkStart w:id="3" w:name="ksxmtr20210812ex99_1"/>
      <w:bookmarkEnd w:id="2"/>
      <w:bookmarkEnd w:id="3"/>
      <w:r>
        <w:rPr/>
        <w:t> </w:t>
      </w:r>
    </w:p>
    <w:p>
      <w:pPr>
        <w:pStyle w:val="TextBody"/>
        <w:spacing w:lineRule="auto" w:line="312" w:before="0" w:after="0"/>
        <w:jc w:val="right"/>
        <w:rPr>
          <w:rFonts w:ascii="Times New Roman" w:hAnsi="Times New Roman"/>
          <w:b/>
          <w:sz w:val="22"/>
        </w:rPr>
      </w:pPr>
      <w:r>
        <w:rPr>
          <w:rFonts w:ascii="Times New Roman" w:hAnsi="Times New Roman"/>
          <w:b/>
          <w:sz w:val="22"/>
        </w:rPr>
        <w:t>Exhibit 99.1</w:t>
      </w:r>
    </w:p>
    <w:p>
      <w:pPr>
        <w:pStyle w:val="TextBody"/>
        <w:spacing w:lineRule="auto" w:line="312" w:before="240" w:after="240"/>
        <w:jc w:val="center"/>
        <w:rPr>
          <w:rFonts w:ascii="Times New Roman" w:hAnsi="Times New Roman"/>
          <w:b/>
          <w:sz w:val="22"/>
        </w:rPr>
      </w:pPr>
      <w:r>
        <w:rPr>
          <w:rFonts w:ascii="Times New Roman" w:hAnsi="Times New Roman"/>
          <w:b/>
          <w:sz w:val="22"/>
        </w:rPr>
        <w:t>Xometry, Inc. Reports Second Quarter 2021 Results</w:t>
      </w:r>
    </w:p>
    <w:p>
      <w:pPr>
        <w:pStyle w:val="TextBody"/>
        <w:spacing w:lineRule="auto" w:line="312" w:before="240" w:after="240"/>
        <w:jc w:val="center"/>
        <w:rPr>
          <w:rFonts w:ascii="Times New Roman" w:hAnsi="Times New Roman"/>
          <w:sz w:val="20"/>
        </w:rPr>
      </w:pPr>
      <w:r>
        <w:rPr>
          <w:rFonts w:ascii="Times New Roman" w:hAnsi="Times New Roman"/>
          <w:b w:val="false"/>
          <w:sz w:val="22"/>
        </w:rPr>
        <w:t>Reports 45% Growth in Year-Over-Year Revenue</w:t>
      </w:r>
      <w:r>
        <w:rPr>
          <w:rFonts w:ascii="Times New Roman" w:hAnsi="Times New Roman"/>
          <w:sz w:val="20"/>
        </w:rPr>
        <w:t xml:space="preserve"> </w:t>
      </w:r>
    </w:p>
    <w:p>
      <w:pPr>
        <w:pStyle w:val="TextBody"/>
        <w:spacing w:lineRule="auto" w:line="312" w:before="0" w:after="240"/>
        <w:jc w:val="left"/>
        <w:rPr>
          <w:rFonts w:ascii="Times New Roman" w:hAnsi="Times New Roman"/>
          <w:b w:val="false"/>
          <w:sz w:val="22"/>
        </w:rPr>
      </w:pPr>
      <w:r>
        <w:rPr>
          <w:rFonts w:ascii="Times New Roman" w:hAnsi="Times New Roman"/>
          <w:b w:val="false"/>
          <w:sz w:val="22"/>
        </w:rPr>
        <w:t>ROCKVILLE, MD., August 12, 2021 /Globe Newswire/ -- Xometry, Inc. (NASDAQ:XMTR), a leading AI-enabled marketplace for on-demand manufacturing, today reported financial results for the second quarter ended June 30, 2021, including the following highlights:</w:t>
      </w:r>
    </w:p>
    <w:p>
      <w:pPr>
        <w:pStyle w:val="TextBody"/>
        <w:spacing w:lineRule="auto" w:line="312" w:before="240" w:after="0"/>
        <w:rPr/>
      </w:pPr>
      <w:r>
        <w:rPr/>
        <w:t></w:t>
      </w:r>
    </w:p>
    <w:p>
      <w:pPr>
        <w:pStyle w:val="TextBody"/>
        <w:spacing w:lineRule="auto" w:line="312" w:before="240" w:after="0"/>
        <w:rPr>
          <w:rFonts w:ascii="Times New Roman" w:hAnsi="Times New Roman"/>
          <w:b w:val="false"/>
          <w:sz w:val="22"/>
        </w:rPr>
      </w:pPr>
      <w:r>
        <w:rPr>
          <w:rFonts w:ascii="Times New Roman" w:hAnsi="Times New Roman"/>
          <w:b w:val="false"/>
          <w:sz w:val="22"/>
        </w:rPr>
        <w:t>Revenue grew 45% year-over-year from $34.8 million as of June 30, 2020 to $50.6 million as of June 30, 2021.</w:t>
      </w:r>
    </w:p>
    <w:p>
      <w:pPr>
        <w:pStyle w:val="TextBody"/>
        <w:spacing w:lineRule="auto" w:line="312" w:before="240" w:after="0"/>
        <w:rPr/>
      </w:pPr>
      <w:r>
        <w:rPr/>
        <w:t></w:t>
      </w:r>
    </w:p>
    <w:p>
      <w:pPr>
        <w:pStyle w:val="TextBody"/>
        <w:spacing w:lineRule="auto" w:line="312" w:before="240" w:after="0"/>
        <w:rPr>
          <w:rFonts w:ascii="Times New Roman" w:hAnsi="Times New Roman"/>
          <w:b w:val="false"/>
          <w:sz w:val="22"/>
        </w:rPr>
      </w:pPr>
      <w:r>
        <w:rPr>
          <w:rFonts w:ascii="Times New Roman" w:hAnsi="Times New Roman"/>
          <w:b w:val="false"/>
          <w:sz w:val="22"/>
        </w:rPr>
        <w:t>Active Buyers increased 66% from 14,460 as of June 30, 2020 to 23,942 as of June 30, 2021.</w:t>
      </w:r>
    </w:p>
    <w:p>
      <w:pPr>
        <w:pStyle w:val="TextBody"/>
        <w:spacing w:lineRule="auto" w:line="312" w:before="240" w:after="0"/>
        <w:rPr/>
      </w:pPr>
      <w:r>
        <w:rPr/>
        <w:t></w:t>
      </w:r>
    </w:p>
    <w:p>
      <w:pPr>
        <w:pStyle w:val="TextBody"/>
        <w:spacing w:lineRule="auto" w:line="312" w:before="240" w:after="0"/>
        <w:rPr>
          <w:rFonts w:ascii="Times New Roman" w:hAnsi="Times New Roman"/>
          <w:b w:val="false"/>
          <w:sz w:val="22"/>
        </w:rPr>
      </w:pPr>
      <w:r>
        <w:rPr>
          <w:rFonts w:ascii="Times New Roman" w:hAnsi="Times New Roman"/>
          <w:b w:val="false"/>
          <w:sz w:val="22"/>
        </w:rPr>
        <w:t>Percentage of Revenue From Existing Accounts was 95%.</w:t>
      </w:r>
    </w:p>
    <w:p>
      <w:pPr>
        <w:pStyle w:val="TextBody"/>
        <w:spacing w:lineRule="auto" w:line="312" w:before="240" w:after="0"/>
        <w:rPr/>
      </w:pPr>
      <w:r>
        <w:rPr/>
        <w:t></w:t>
      </w:r>
    </w:p>
    <w:p>
      <w:pPr>
        <w:pStyle w:val="TextBody"/>
        <w:spacing w:lineRule="auto" w:line="312" w:before="240" w:after="0"/>
        <w:rPr>
          <w:rFonts w:ascii="Times New Roman" w:hAnsi="Times New Roman"/>
          <w:b w:val="false"/>
          <w:sz w:val="22"/>
        </w:rPr>
      </w:pPr>
      <w:r>
        <w:rPr>
          <w:rFonts w:ascii="Times New Roman" w:hAnsi="Times New Roman"/>
          <w:b w:val="false"/>
          <w:sz w:val="22"/>
        </w:rPr>
        <w:t xml:space="preserve">Accounts with Last Twelve-Months Spend of at least $50,000 increased 54% from 330 as of June 30, 2020 to 508 as of June 30, 2021. </w:t>
      </w:r>
    </w:p>
    <w:p>
      <w:pPr>
        <w:pStyle w:val="TextBody"/>
        <w:spacing w:lineRule="auto" w:line="312" w:before="240" w:after="0"/>
        <w:rPr/>
      </w:pPr>
      <w:r>
        <w:rPr/>
        <w:t></w:t>
      </w:r>
    </w:p>
    <w:p>
      <w:pPr>
        <w:pStyle w:val="TextBody"/>
        <w:spacing w:lineRule="auto" w:line="312" w:before="240" w:after="0"/>
        <w:rPr>
          <w:rFonts w:ascii="Times New Roman" w:hAnsi="Times New Roman"/>
          <w:b w:val="false"/>
          <w:sz w:val="22"/>
        </w:rPr>
      </w:pPr>
      <w:r>
        <w:rPr>
          <w:rFonts w:ascii="Times New Roman" w:hAnsi="Times New Roman"/>
          <w:b w:val="false"/>
          <w:sz w:val="22"/>
        </w:rPr>
        <w:t>Gross Profit increased 44% year-over-year to $11.9 million as of June 30, 2021, as compared to $8.3 million as of June 30, 2020.</w:t>
      </w:r>
    </w:p>
    <w:p>
      <w:pPr>
        <w:pStyle w:val="TextBody"/>
        <w:spacing w:lineRule="auto" w:line="312" w:before="240" w:after="0"/>
        <w:rPr/>
      </w:pPr>
      <w:r>
        <w:rPr/>
        <w:t></w:t>
      </w:r>
    </w:p>
    <w:p>
      <w:pPr>
        <w:pStyle w:val="TextBody"/>
        <w:spacing w:lineRule="auto" w:line="312" w:before="240" w:after="0"/>
        <w:rPr>
          <w:rFonts w:ascii="Times New Roman" w:hAnsi="Times New Roman"/>
          <w:b w:val="false"/>
          <w:sz w:val="22"/>
        </w:rPr>
      </w:pPr>
      <w:r>
        <w:rPr>
          <w:rFonts w:ascii="Times New Roman" w:hAnsi="Times New Roman"/>
          <w:b w:val="false"/>
          <w:sz w:val="22"/>
        </w:rPr>
        <w:t xml:space="preserve">Net loss was $12.3 million for the quarter, an increase of $6.1 million year-over-year, and Adjusted EBITDA was negative $9.1 million for the quarter, reflecting an increase of $4.3 million year-over-year. Net loss for Q2 2021 includes $2.0 million of stock-based compensation expense. </w:t>
      </w:r>
    </w:p>
    <w:p>
      <w:pPr>
        <w:pStyle w:val="TextBody"/>
        <w:spacing w:lineRule="auto" w:line="312" w:before="240" w:after="0"/>
        <w:rPr/>
      </w:pPr>
      <w:r>
        <w:rPr/>
        <w:t></w:t>
      </w:r>
    </w:p>
    <w:p>
      <w:pPr>
        <w:pStyle w:val="TextBody"/>
        <w:spacing w:lineRule="auto" w:line="312" w:before="240" w:after="283"/>
        <w:rPr>
          <w:rFonts w:ascii="Times New Roman" w:hAnsi="Times New Roman"/>
          <w:b w:val="false"/>
          <w:sz w:val="22"/>
        </w:rPr>
      </w:pPr>
      <w:r>
        <w:rPr>
          <w:rFonts w:ascii="Times New Roman" w:hAnsi="Times New Roman"/>
          <w:b w:val="false"/>
          <w:sz w:val="22"/>
        </w:rPr>
        <w:t>Cash and cash equivalents was $37.4 million at quarter end with $15.9 million in debt outstanding. On July 2, 2021, we completed our initial public offering, raising net proceeds of $325.3 million after deducting underwriting discounts and commissions.</w:t>
      </w:r>
    </w:p>
    <w:p>
      <w:pPr>
        <w:pStyle w:val="TextBody"/>
        <w:spacing w:lineRule="auto" w:line="312" w:before="0" w:after="240"/>
        <w:jc w:val="left"/>
        <w:rPr/>
      </w:pPr>
      <w:r>
        <w:rPr/>
        <w:t> </w:t>
      </w:r>
    </w:p>
    <w:p>
      <w:pPr>
        <w:pStyle w:val="TextBody"/>
        <w:spacing w:lineRule="auto" w:line="312" w:before="0" w:after="0"/>
        <w:jc w:val="left"/>
        <w:rPr/>
      </w:pPr>
      <w:r>
        <w:rPr/>
        <w:t>“</w:t>
      </w:r>
      <w:r>
        <w:rPr>
          <w:rFonts w:ascii="Times New Roman" w:hAnsi="Times New Roman"/>
          <w:b w:val="false"/>
          <w:sz w:val="22"/>
        </w:rPr>
        <w:t>Buyers and sellers around the world are choosing the Xometry marketplace for on-demand manufacturing” said Randy Altschuler, Xometry’s CEO. “Our focus is making it easier for our buyers to source customized manufacturing and enabling our sellers to more efficiently find jobs and run their operations in this massive, highly fragmented market.” </w:t>
      </w:r>
    </w:p>
    <w:p>
      <w:pPr>
        <w:pStyle w:val="TextBody"/>
        <w:spacing w:lineRule="auto" w:line="312" w:before="0" w:after="0"/>
        <w:jc w:val="left"/>
        <w:rPr/>
      </w:pPr>
      <w:r>
        <w:rPr/>
        <w:t> </w:t>
      </w:r>
    </w:p>
    <w:p>
      <w:pPr>
        <w:pStyle w:val="TextBody"/>
        <w:spacing w:lineRule="auto" w:line="312" w:before="0" w:after="0"/>
        <w:jc w:val="left"/>
        <w:rPr/>
      </w:pPr>
      <w:r>
        <w:rPr/>
        <w:t>“</w:t>
      </w:r>
      <w:r>
        <w:rPr>
          <w:rFonts w:ascii="Times New Roman" w:hAnsi="Times New Roman"/>
          <w:b w:val="false"/>
          <w:sz w:val="22"/>
        </w:rPr>
        <w:t>Second quarter results were strong across all key metrics. We delivered 45% year-over-year revenue growth, 66% year-over-year active buyer growth and sequentially improved gross margin over the first quarter of 2021.  While we are proud of these results, we are even prouder of the team that got us here, of the business we have built together, and of the great experiences that we deliver to our customers.”</w:t>
      </w:r>
    </w:p>
    <w:p>
      <w:pPr>
        <w:pStyle w:val="TextBody"/>
        <w:spacing w:lineRule="auto" w:line="312" w:before="0" w:after="240"/>
        <w:jc w:val="left"/>
        <w:rPr/>
      </w:pPr>
      <w:r>
        <w:rPr/>
        <w:t> </w:t>
      </w:r>
    </w:p>
    <w:p>
      <w:pPr>
        <w:pStyle w:val="TextBody"/>
        <w:spacing w:lineRule="auto" w:line="312" w:before="0" w:after="240"/>
        <w:jc w:val="left"/>
        <w:rPr/>
      </w:pPr>
      <w:r>
        <w:rPr/>
        <w:t> </w:t>
      </w:r>
    </w:p>
    <w:p>
      <w:pPr>
        <w:pStyle w:val="TextBody"/>
        <w:spacing w:lineRule="auto" w:line="312" w:before="0" w:after="240"/>
        <w:jc w:val="left"/>
        <w:rPr/>
      </w:pPr>
      <w:r>
        <w:rPr/>
        <w:t> </w:t>
      </w:r>
    </w:p>
    <w:p>
      <w:pPr>
        <w:pStyle w:val="TextBody"/>
        <w:spacing w:lineRule="auto" w:line="312" w:before="0" w:after="240"/>
        <w:jc w:val="left"/>
        <w:rPr/>
      </w:pPr>
      <w:r>
        <w:rPr/>
        <w:t> </w:t>
      </w:r>
    </w:p>
    <w:p>
      <w:pPr>
        <w:pStyle w:val="TextBody"/>
        <w:spacing w:lineRule="auto" w:line="312" w:before="0" w:after="240"/>
        <w:jc w:val="left"/>
        <w:rPr/>
      </w:pPr>
      <w:r>
        <w:rPr/>
        <w:t> </w:t>
      </w:r>
    </w:p>
    <w:p>
      <w:pPr>
        <w:pStyle w:val="TextBody"/>
        <w:spacing w:lineRule="auto" w:line="312" w:before="0" w:after="24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1</w:t>
      </w:r>
    </w:p>
    <w:p>
      <w:pPr>
        <w:pStyle w:val="HorizontalLine"/>
        <w:rPr/>
      </w:pPr>
      <w:r>
        <w:rPr/>
      </w:r>
    </w:p>
    <w:p>
      <w:pPr>
        <w:pStyle w:val="TextBody"/>
        <w:spacing w:lineRule="auto" w:line="312" w:before="0" w:after="0"/>
        <w:jc w:val="left"/>
        <w:rPr/>
      </w:pPr>
      <w:r>
        <w:rPr/>
        <w:t> </w:t>
      </w:r>
    </w:p>
    <w:p>
      <w:pPr>
        <w:pStyle w:val="TextBody"/>
        <w:spacing w:lineRule="auto" w:line="312" w:before="0" w:after="240"/>
        <w:jc w:val="left"/>
        <w:rPr/>
      </w:pPr>
      <w:r>
        <w:rPr/>
        <w:t> </w:t>
      </w:r>
    </w:p>
    <w:p>
      <w:pPr>
        <w:pStyle w:val="TextBody"/>
        <w:pBdr>
          <w:top w:val="single" w:sz="6" w:space="1" w:color="000000"/>
        </w:pBdr>
        <w:spacing w:lineRule="auto" w:line="312" w:before="0" w:after="0"/>
        <w:jc w:val="center"/>
        <w:rPr>
          <w:rFonts w:ascii="Times New Roman" w:hAnsi="Times New Roman"/>
          <w:b/>
          <w:sz w:val="22"/>
        </w:rPr>
      </w:pPr>
      <w:r>
        <w:rPr>
          <w:rFonts w:ascii="Times New Roman" w:hAnsi="Times New Roman"/>
          <w:b/>
          <w:sz w:val="22"/>
        </w:rPr>
        <w:t>Unaudited Financial Summary</w:t>
      </w:r>
    </w:p>
    <w:p>
      <w:pPr>
        <w:pStyle w:val="TextBody"/>
        <w:spacing w:lineRule="auto" w:line="312" w:before="0" w:after="0"/>
        <w:jc w:val="center"/>
        <w:rPr>
          <w:rFonts w:ascii="Times New Roman" w:hAnsi="Times New Roman"/>
          <w:b/>
          <w:sz w:val="22"/>
        </w:rPr>
      </w:pPr>
      <w:r>
        <w:rPr>
          <w:rFonts w:ascii="Times New Roman" w:hAnsi="Times New Roman"/>
          <w:b/>
          <w:sz w:val="22"/>
        </w:rPr>
        <w:t>(In thousands, except per share amounts)</w:t>
      </w:r>
    </w:p>
    <w:p>
      <w:pPr>
        <w:pStyle w:val="TextBody"/>
        <w:pBdr>
          <w:bottom w:val="single" w:sz="6" w:space="1" w:color="000000"/>
        </w:pBdr>
        <w:spacing w:lineRule="auto" w:line="312" w:before="0" w:after="0"/>
        <w:jc w:val="center"/>
        <w:rPr/>
      </w:pPr>
      <w:r>
        <w:rPr/>
        <w:t> </w:t>
      </w:r>
    </w:p>
    <w:tbl>
      <w:tblPr>
        <w:tblW w:w="10205" w:type="dxa"/>
        <w:jc w:val="left"/>
        <w:tblInd w:w="0" w:type="dxa"/>
        <w:tblCellMar>
          <w:top w:w="28" w:type="dxa"/>
          <w:left w:w="28" w:type="dxa"/>
          <w:bottom w:w="28" w:type="dxa"/>
          <w:right w:w="28" w:type="dxa"/>
        </w:tblCellMar>
      </w:tblPr>
      <w:tblGrid>
        <w:gridCol w:w="1874"/>
        <w:gridCol w:w="146"/>
        <w:gridCol w:w="238"/>
        <w:gridCol w:w="885"/>
        <w:gridCol w:w="190"/>
        <w:gridCol w:w="153"/>
        <w:gridCol w:w="238"/>
        <w:gridCol w:w="806"/>
        <w:gridCol w:w="181"/>
        <w:gridCol w:w="146"/>
        <w:gridCol w:w="207"/>
        <w:gridCol w:w="664"/>
        <w:gridCol w:w="286"/>
        <w:gridCol w:w="146"/>
        <w:gridCol w:w="230"/>
        <w:gridCol w:w="859"/>
        <w:gridCol w:w="184"/>
        <w:gridCol w:w="149"/>
        <w:gridCol w:w="230"/>
        <w:gridCol w:w="859"/>
        <w:gridCol w:w="181"/>
        <w:gridCol w:w="146"/>
        <w:gridCol w:w="258"/>
        <w:gridCol w:w="613"/>
        <w:gridCol w:w="336"/>
      </w:tblGrid>
      <w:tr>
        <w:trPr/>
        <w:tc>
          <w:tcPr>
            <w:tcW w:w="18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187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510"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For the Three Months Ended June 30,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71" w:type="dxa"/>
            <w:gridSpan w:val="2"/>
            <w:tcBorders/>
            <w:shd w:fill="auto" w:val="clear"/>
            <w:vAlign w:val="center"/>
          </w:tcPr>
          <w:p>
            <w:pPr>
              <w:pStyle w:val="TableContents"/>
              <w:spacing w:lineRule="auto" w:line="312" w:before="0" w:after="0"/>
              <w:ind w:left="0" w:right="0" w:hanging="0"/>
              <w:jc w:val="center"/>
              <w:rPr/>
            </w:pPr>
            <w:r>
              <w:rPr/>
              <w:t> </w:t>
            </w:r>
          </w:p>
        </w:tc>
        <w:tc>
          <w:tcPr>
            <w:tcW w:w="2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51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For the Six Months Ended June 30,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871" w:type="dxa"/>
            <w:gridSpan w:val="2"/>
            <w:tcBorders/>
            <w:shd w:fill="auto" w:val="clear"/>
            <w:vAlign w:val="center"/>
          </w:tcPr>
          <w:p>
            <w:pPr>
              <w:pStyle w:val="TableContents"/>
              <w:spacing w:lineRule="auto" w:line="312" w:before="0" w:after="0"/>
              <w:ind w:left="0" w:right="0" w:hanging="0"/>
              <w:jc w:val="right"/>
              <w:rPr/>
            </w:pPr>
            <w:r>
              <w:rPr/>
              <w:t> </w:t>
            </w:r>
          </w:p>
        </w:tc>
        <w:tc>
          <w:tcPr>
            <w:tcW w:w="336" w:type="dxa"/>
            <w:tcBorders/>
            <w:shd w:fill="auto" w:val="clear"/>
            <w:vAlign w:val="center"/>
          </w:tcPr>
          <w:p>
            <w:pPr>
              <w:pStyle w:val="TableContents"/>
              <w:spacing w:lineRule="auto" w:line="312" w:before="0" w:after="0"/>
              <w:ind w:left="0" w:right="0" w:hanging="0"/>
              <w:jc w:val="right"/>
              <w:rPr/>
            </w:pPr>
            <w:r>
              <w:rPr/>
              <w:t> </w:t>
            </w:r>
          </w:p>
        </w:tc>
      </w:tr>
      <w:tr>
        <w:trPr/>
        <w:tc>
          <w:tcPr>
            <w:tcW w:w="187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12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4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Change</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8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8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Change</w:t>
            </w:r>
          </w:p>
        </w:tc>
        <w:tc>
          <w:tcPr>
            <w:tcW w:w="3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7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123" w:type="dxa"/>
            <w:gridSpan w:val="2"/>
            <w:tcBorders/>
            <w:shd w:fill="auto" w:val="clear"/>
            <w:vAlign w:val="center"/>
          </w:tcPr>
          <w:p>
            <w:pPr>
              <w:pStyle w:val="TableContents"/>
              <w:spacing w:lineRule="auto" w:line="312" w:before="0" w:after="0"/>
              <w:ind w:left="0" w:right="0" w:hanging="0"/>
              <w:jc w:val="center"/>
              <w:rPr/>
            </w:pPr>
            <w:r>
              <w:rPr/>
              <w:t> </w:t>
            </w:r>
          </w:p>
        </w:tc>
        <w:tc>
          <w:tcPr>
            <w:tcW w:w="190" w:type="dxa"/>
            <w:tcBorders/>
            <w:shd w:fill="auto" w:val="clear"/>
            <w:vAlign w:val="center"/>
          </w:tcPr>
          <w:p>
            <w:pPr>
              <w:pStyle w:val="TableContents"/>
              <w:spacing w:lineRule="auto" w:line="312" w:before="0" w:after="0"/>
              <w:ind w:left="0" w:right="0" w:hanging="0"/>
              <w:jc w:val="center"/>
              <w:rPr/>
            </w:pPr>
            <w:r>
              <w:rPr/>
              <w:t> </w:t>
            </w:r>
          </w:p>
        </w:tc>
        <w:tc>
          <w:tcPr>
            <w:tcW w:w="153" w:type="dxa"/>
            <w:tcBorders/>
            <w:shd w:fill="auto" w:val="clear"/>
            <w:vAlign w:val="center"/>
          </w:tcPr>
          <w:p>
            <w:pPr>
              <w:pStyle w:val="TableContents"/>
              <w:spacing w:lineRule="auto" w:line="312" w:before="0" w:after="0"/>
              <w:ind w:left="0" w:right="0" w:hanging="0"/>
              <w:jc w:val="center"/>
              <w:rPr/>
            </w:pPr>
            <w:r>
              <w:rPr/>
              <w:t> </w:t>
            </w:r>
          </w:p>
        </w:tc>
        <w:tc>
          <w:tcPr>
            <w:tcW w:w="1044" w:type="dxa"/>
            <w:gridSpan w:val="2"/>
            <w:tcBorders/>
            <w:shd w:fill="auto" w:val="clear"/>
            <w:vAlign w:val="center"/>
          </w:tcPr>
          <w:p>
            <w:pPr>
              <w:pStyle w:val="TableContents"/>
              <w:spacing w:lineRule="auto" w:line="312" w:before="0" w:after="0"/>
              <w:ind w:left="0" w:right="0" w:hanging="0"/>
              <w:jc w:val="center"/>
              <w:rPr/>
            </w:pPr>
            <w:r>
              <w:rPr/>
              <w:t> </w:t>
            </w:r>
          </w:p>
        </w:tc>
        <w:tc>
          <w:tcPr>
            <w:tcW w:w="1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71" w:type="dxa"/>
            <w:gridSpan w:val="2"/>
            <w:tcBorders/>
            <w:shd w:fill="auto" w:val="clear"/>
            <w:vAlign w:val="center"/>
          </w:tcPr>
          <w:p>
            <w:pPr>
              <w:pStyle w:val="TableContents"/>
              <w:spacing w:lineRule="auto" w:line="312" w:before="0" w:after="0"/>
              <w:ind w:left="0" w:right="0" w:hanging="0"/>
              <w:jc w:val="center"/>
              <w:rPr/>
            </w:pPr>
            <w:r>
              <w:rPr/>
              <w:t> </w:t>
            </w:r>
          </w:p>
        </w:tc>
        <w:tc>
          <w:tcPr>
            <w:tcW w:w="2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89" w:type="dxa"/>
            <w:gridSpan w:val="2"/>
            <w:tcBorders/>
            <w:shd w:fill="auto" w:val="clear"/>
            <w:vAlign w:val="center"/>
          </w:tcPr>
          <w:p>
            <w:pPr>
              <w:pStyle w:val="TableContents"/>
              <w:spacing w:lineRule="auto" w:line="312" w:before="0" w:after="0"/>
              <w:ind w:left="0" w:right="0" w:hanging="0"/>
              <w:jc w:val="center"/>
              <w:rPr/>
            </w:pPr>
            <w:r>
              <w:rPr/>
              <w:t> </w:t>
            </w:r>
          </w:p>
        </w:tc>
        <w:tc>
          <w:tcPr>
            <w:tcW w:w="184" w:type="dxa"/>
            <w:tcBorders/>
            <w:shd w:fill="auto" w:val="clear"/>
            <w:vAlign w:val="center"/>
          </w:tcPr>
          <w:p>
            <w:pPr>
              <w:pStyle w:val="TableContents"/>
              <w:spacing w:lineRule="auto" w:line="312" w:before="0" w:after="0"/>
              <w:ind w:left="0" w:right="0" w:hanging="0"/>
              <w:jc w:val="center"/>
              <w:rPr/>
            </w:pPr>
            <w:r>
              <w:rPr/>
              <w:t> </w:t>
            </w:r>
          </w:p>
        </w:tc>
        <w:tc>
          <w:tcPr>
            <w:tcW w:w="149" w:type="dxa"/>
            <w:tcBorders/>
            <w:shd w:fill="auto" w:val="clear"/>
            <w:vAlign w:val="center"/>
          </w:tcPr>
          <w:p>
            <w:pPr>
              <w:pStyle w:val="TableContents"/>
              <w:spacing w:lineRule="auto" w:line="312" w:before="0" w:after="0"/>
              <w:ind w:left="0" w:right="0" w:hanging="0"/>
              <w:jc w:val="center"/>
              <w:rPr/>
            </w:pPr>
            <w:r>
              <w:rPr/>
              <w:t> </w:t>
            </w:r>
          </w:p>
        </w:tc>
        <w:tc>
          <w:tcPr>
            <w:tcW w:w="1089" w:type="dxa"/>
            <w:gridSpan w:val="2"/>
            <w:tcBorders/>
            <w:shd w:fill="auto" w:val="clear"/>
            <w:vAlign w:val="center"/>
          </w:tcPr>
          <w:p>
            <w:pPr>
              <w:pStyle w:val="TableContents"/>
              <w:spacing w:lineRule="auto" w:line="312" w:before="0" w:after="0"/>
              <w:ind w:left="0" w:right="0" w:hanging="0"/>
              <w:jc w:val="center"/>
              <w:rPr/>
            </w:pPr>
            <w:r>
              <w:rPr/>
              <w:t> </w:t>
            </w:r>
          </w:p>
        </w:tc>
        <w:tc>
          <w:tcPr>
            <w:tcW w:w="1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871" w:type="dxa"/>
            <w:gridSpan w:val="2"/>
            <w:tcBorders/>
            <w:shd w:fill="auto" w:val="clear"/>
            <w:vAlign w:val="center"/>
          </w:tcPr>
          <w:p>
            <w:pPr>
              <w:pStyle w:val="TableContents"/>
              <w:spacing w:lineRule="auto" w:line="312" w:before="0" w:after="0"/>
              <w:ind w:left="0" w:right="0" w:hanging="0"/>
              <w:jc w:val="right"/>
              <w:rPr/>
            </w:pPr>
            <w:r>
              <w:rPr/>
              <w:t> </w:t>
            </w:r>
          </w:p>
        </w:tc>
        <w:tc>
          <w:tcPr>
            <w:tcW w:w="336" w:type="dxa"/>
            <w:tcBorders/>
            <w:shd w:fill="auto" w:val="clear"/>
            <w:vAlign w:val="center"/>
          </w:tcPr>
          <w:p>
            <w:pPr>
              <w:pStyle w:val="TableContents"/>
              <w:spacing w:lineRule="auto" w:line="312" w:before="0" w:after="0"/>
              <w:ind w:left="0" w:right="0" w:hanging="0"/>
              <w:jc w:val="right"/>
              <w:rPr/>
            </w:pPr>
            <w:r>
              <w:rPr/>
              <w:t> </w:t>
            </w:r>
          </w:p>
        </w:tc>
      </w:tr>
      <w:tr>
        <w:trPr/>
        <w:tc>
          <w:tcPr>
            <w:tcW w:w="187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85"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50,589</w:t>
            </w:r>
          </w:p>
        </w:tc>
        <w:tc>
          <w:tcPr>
            <w:tcW w:w="190" w:type="dxa"/>
            <w:tcBorders/>
            <w:shd w:fill="auto" w:val="clear"/>
            <w:vAlign w:val="center"/>
          </w:tcPr>
          <w:p>
            <w:pPr>
              <w:pStyle w:val="TableContents"/>
              <w:spacing w:lineRule="auto" w:line="312" w:before="0" w:after="0"/>
              <w:ind w:left="0" w:right="0" w:hanging="0"/>
              <w:jc w:val="left"/>
              <w:rPr/>
            </w:pPr>
            <w:r>
              <w:rPr/>
              <w:t> </w:t>
            </w:r>
          </w:p>
        </w:tc>
        <w:tc>
          <w:tcPr>
            <w:tcW w:w="153"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34,783</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7"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45</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94,510</w:t>
            </w:r>
          </w:p>
        </w:tc>
        <w:tc>
          <w:tcPr>
            <w:tcW w:w="184"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61,472</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54</w:t>
            </w:r>
          </w:p>
        </w:tc>
        <w:tc>
          <w:tcPr>
            <w:tcW w:w="3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187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Gross Profit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5"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11,875</w:t>
            </w:r>
          </w:p>
        </w:tc>
        <w:tc>
          <w:tcPr>
            <w:tcW w:w="190" w:type="dxa"/>
            <w:tcBorders/>
            <w:shd w:fill="auto" w:val="clear"/>
            <w:vAlign w:val="center"/>
          </w:tcPr>
          <w:p>
            <w:pPr>
              <w:pStyle w:val="TableContents"/>
              <w:spacing w:lineRule="auto" w:line="312" w:before="0" w:after="0"/>
              <w:ind w:left="0" w:right="0" w:hanging="0"/>
              <w:jc w:val="left"/>
              <w:rPr/>
            </w:pPr>
            <w:r>
              <w:rPr/>
              <w:t> </w:t>
            </w:r>
          </w:p>
        </w:tc>
        <w:tc>
          <w:tcPr>
            <w:tcW w:w="153"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8,265</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7"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44</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21,710</w:t>
            </w:r>
          </w:p>
        </w:tc>
        <w:tc>
          <w:tcPr>
            <w:tcW w:w="184"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13,631</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8"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59</w:t>
            </w:r>
          </w:p>
        </w:tc>
        <w:tc>
          <w:tcPr>
            <w:tcW w:w="3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187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5"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(12,264</w:t>
            </w:r>
          </w:p>
        </w:tc>
        <w:tc>
          <w:tcPr>
            <w:tcW w:w="190"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53"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(6,119</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7"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100</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(22,765</w:t>
            </w:r>
          </w:p>
        </w:tc>
        <w:tc>
          <w:tcPr>
            <w:tcW w:w="18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9" w:type="dxa"/>
            <w:tcBorders/>
            <w:shd w:fill="auto" w:val="clear"/>
            <w:vAlign w:val="center"/>
          </w:tcPr>
          <w:p>
            <w:pPr>
              <w:pStyle w:val="TableContents"/>
              <w:spacing w:lineRule="auto" w:line="312" w:before="0" w:after="0"/>
              <w:ind w:left="0" w:right="0" w:hanging="0"/>
              <w:jc w:val="righ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(14,726</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55</w:t>
            </w:r>
          </w:p>
        </w:tc>
        <w:tc>
          <w:tcPr>
            <w:tcW w:w="3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187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EPS—basic and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5"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(1.46</w:t>
            </w:r>
          </w:p>
        </w:tc>
        <w:tc>
          <w:tcPr>
            <w:tcW w:w="190"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53"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(0.82</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7"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78</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(2.79</w:t>
            </w:r>
          </w:p>
        </w:tc>
        <w:tc>
          <w:tcPr>
            <w:tcW w:w="18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9" w:type="dxa"/>
            <w:tcBorders/>
            <w:shd w:fill="auto" w:val="clear"/>
            <w:vAlign w:val="center"/>
          </w:tcPr>
          <w:p>
            <w:pPr>
              <w:pStyle w:val="TableContents"/>
              <w:spacing w:lineRule="auto" w:line="312" w:before="0" w:after="0"/>
              <w:ind w:left="0" w:right="0" w:hanging="0"/>
              <w:jc w:val="righ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(1.99</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40</w:t>
            </w:r>
          </w:p>
        </w:tc>
        <w:tc>
          <w:tcPr>
            <w:tcW w:w="3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1874"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2"/>
              </w:rPr>
              <w:t>Adjusted EBITDA (Non-GAAP</w:t>
            </w:r>
            <w:r>
              <w:rPr>
                <w:rFonts w:ascii="Times New Roman" w:hAnsi="Times New Roman"/>
                <w:b w:val="false"/>
                <w:sz w:val="15"/>
              </w:rPr>
              <w:t>1</w:t>
            </w: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5"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(9,073</w:t>
            </w:r>
          </w:p>
        </w:tc>
        <w:tc>
          <w:tcPr>
            <w:tcW w:w="190"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53"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(4,788</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7"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89</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(17,882</w:t>
            </w:r>
          </w:p>
        </w:tc>
        <w:tc>
          <w:tcPr>
            <w:tcW w:w="18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59"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(12,303</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45</w:t>
            </w:r>
          </w:p>
        </w:tc>
        <w:tc>
          <w:tcPr>
            <w:tcW w:w="3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bl>
    <w:p>
      <w:pPr>
        <w:pStyle w:val="TextBody"/>
        <w:pBdr>
          <w:bottom w:val="single" w:sz="6" w:space="1" w:color="000000"/>
        </w:pBdr>
        <w:spacing w:lineRule="auto" w:line="312" w:before="0" w:after="0"/>
        <w:jc w:val="center"/>
        <w:rPr/>
      </w:pPr>
      <w:r>
        <w:rPr/>
        <w:t> </w:t>
      </w:r>
    </w:p>
    <w:p>
      <w:pPr>
        <w:pStyle w:val="TextBody"/>
        <w:spacing w:lineRule="auto" w:line="312" w:before="0" w:after="0"/>
        <w:rPr>
          <w:rFonts w:ascii="Times New Roman" w:hAnsi="Times New Roman"/>
          <w:b w:val="false"/>
          <w:sz w:val="22"/>
        </w:rPr>
      </w:pPr>
      <w:r>
        <w:rPr>
          <w:rFonts w:ascii="Times New Roman" w:hAnsi="Times New Roman"/>
          <w:b w:val="false"/>
          <w:sz w:val="22"/>
        </w:rPr>
        <w:t>(1)</w:t>
      </w:r>
    </w:p>
    <w:p>
      <w:pPr>
        <w:pStyle w:val="TextBody"/>
        <w:spacing w:lineRule="auto" w:line="312"/>
        <w:rPr>
          <w:rFonts w:ascii="Times New Roman" w:hAnsi="Times New Roman"/>
          <w:b w:val="false"/>
          <w:sz w:val="22"/>
        </w:rPr>
      </w:pPr>
      <w:r>
        <w:rPr>
          <w:rFonts w:ascii="Times New Roman" w:hAnsi="Times New Roman"/>
          <w:b w:val="false"/>
          <w:sz w:val="22"/>
        </w:rPr>
        <w:t>These non-GAAP financial measures, and reasons why we believe these non-GAAP financial measures are useful, are described below and reconciled to their most directly comparable GAAP measures in the accompanying tables.</w:t>
      </w:r>
    </w:p>
    <w:p>
      <w:pPr>
        <w:pStyle w:val="TextBody"/>
        <w:spacing w:lineRule="auto" w:line="312" w:before="240" w:after="0"/>
        <w:jc w:val="left"/>
        <w:rPr>
          <w:rFonts w:ascii="Times New Roman" w:hAnsi="Times New Roman"/>
          <w:sz w:val="20"/>
        </w:rPr>
      </w:pPr>
      <w:r>
        <w:rPr>
          <w:rFonts w:ascii="Times New Roman" w:hAnsi="Times New Roman"/>
          <w:b/>
          <w:sz w:val="22"/>
        </w:rPr>
        <w:t>Key Operating Metrics:</w:t>
      </w:r>
      <w:r>
        <w:rPr>
          <w:rFonts w:ascii="Times New Roman" w:hAnsi="Times New Roman"/>
          <w:sz w:val="20"/>
        </w:rPr>
        <w:t xml:space="preserve"> </w:t>
      </w:r>
    </w:p>
    <w:tbl>
      <w:tblPr>
        <w:tblW w:w="8942" w:type="dxa"/>
        <w:jc w:val="left"/>
        <w:tblInd w:w="0" w:type="dxa"/>
        <w:tblCellMar>
          <w:top w:w="28" w:type="dxa"/>
          <w:left w:w="28" w:type="dxa"/>
          <w:bottom w:w="28" w:type="dxa"/>
          <w:right w:w="28" w:type="dxa"/>
        </w:tblCellMar>
      </w:tblPr>
      <w:tblGrid>
        <w:gridCol w:w="5341"/>
        <w:gridCol w:w="146"/>
        <w:gridCol w:w="146"/>
        <w:gridCol w:w="676"/>
        <w:gridCol w:w="271"/>
        <w:gridCol w:w="146"/>
        <w:gridCol w:w="146"/>
        <w:gridCol w:w="676"/>
        <w:gridCol w:w="271"/>
        <w:gridCol w:w="146"/>
        <w:gridCol w:w="208"/>
        <w:gridCol w:w="453"/>
        <w:gridCol w:w="316"/>
      </w:tblGrid>
      <w:tr>
        <w:trPr/>
        <w:tc>
          <w:tcPr>
            <w:tcW w:w="5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3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3139" w:type="dxa"/>
            <w:gridSpan w:val="10"/>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June 30,</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53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66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 </w:t>
              <w:b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53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22" w:type="dxa"/>
            <w:gridSpan w:val="2"/>
            <w:tcBorders/>
            <w:shd w:fill="auto" w:val="clear"/>
            <w:vAlign w:val="center"/>
          </w:tcPr>
          <w:p>
            <w:pPr>
              <w:pStyle w:val="TableContents"/>
              <w:spacing w:lineRule="auto" w:line="312" w:before="0" w:after="0"/>
              <w:ind w:left="0" w:right="0" w:hanging="0"/>
              <w:jc w:val="center"/>
              <w:rPr/>
            </w:pPr>
            <w:r>
              <w:rPr/>
              <w:t> </w:t>
            </w:r>
          </w:p>
        </w:tc>
        <w:tc>
          <w:tcPr>
            <w:tcW w:w="2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22" w:type="dxa"/>
            <w:gridSpan w:val="2"/>
            <w:tcBorders/>
            <w:shd w:fill="auto" w:val="clear"/>
            <w:vAlign w:val="center"/>
          </w:tcPr>
          <w:p>
            <w:pPr>
              <w:pStyle w:val="TableContents"/>
              <w:spacing w:lineRule="auto" w:line="312" w:before="0" w:after="0"/>
              <w:ind w:left="0" w:right="0" w:hanging="0"/>
              <w:jc w:val="center"/>
              <w:rPr/>
            </w:pPr>
            <w:r>
              <w:rPr/>
              <w:t> </w:t>
            </w:r>
          </w:p>
        </w:tc>
        <w:tc>
          <w:tcPr>
            <w:tcW w:w="2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661" w:type="dxa"/>
            <w:gridSpan w:val="2"/>
            <w:tcBorders/>
            <w:shd w:fill="auto" w:val="clear"/>
            <w:vAlign w:val="center"/>
          </w:tcPr>
          <w:p>
            <w:pPr>
              <w:pStyle w:val="TableContents"/>
              <w:spacing w:lineRule="auto" w:line="312" w:before="0" w:after="0"/>
              <w:ind w:left="0" w:right="0" w:hanging="0"/>
              <w:jc w:val="center"/>
              <w:rPr/>
            </w:pPr>
            <w:r>
              <w:rPr/>
              <w:t> </w:t>
            </w:r>
          </w:p>
        </w:tc>
        <w:tc>
          <w:tcPr>
            <w:tcW w:w="316" w:type="dxa"/>
            <w:tcBorders/>
            <w:shd w:fill="auto" w:val="clear"/>
            <w:vAlign w:val="center"/>
          </w:tcPr>
          <w:p>
            <w:pPr>
              <w:pStyle w:val="TableContents"/>
              <w:spacing w:lineRule="auto" w:line="312" w:before="0" w:after="0"/>
              <w:ind w:left="0" w:right="0" w:hanging="0"/>
              <w:jc w:val="center"/>
              <w:rPr/>
            </w:pPr>
            <w:r>
              <w:rPr/>
              <w:t> </w:t>
            </w:r>
          </w:p>
        </w:tc>
      </w:tr>
      <w:tr>
        <w:trPr/>
        <w:tc>
          <w:tcPr>
            <w:tcW w:w="53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Active Buyers</w:t>
            </w:r>
            <w:r>
              <w:rPr>
                <w:rFonts w:ascii="Times New Roman" w:hAnsi="Times New Roman"/>
                <w:b w:val="false"/>
                <w:sz w:val="13"/>
              </w:rPr>
              <w:t>(2)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23,942</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14,460</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8" w:type="dxa"/>
            <w:tcBorders/>
            <w:shd w:fill="auto" w:val="clear"/>
            <w:vAlign w:val="center"/>
          </w:tcPr>
          <w:p>
            <w:pPr>
              <w:pStyle w:val="TableContents"/>
              <w:spacing w:lineRule="auto" w:line="312" w:before="0" w:after="0"/>
              <w:ind w:left="0" w:right="0" w:hanging="0"/>
              <w:jc w:val="left"/>
              <w:rPr/>
            </w:pPr>
            <w:r>
              <w:rPr/>
              <w:t> </w:t>
            </w:r>
          </w:p>
        </w:tc>
        <w:tc>
          <w:tcPr>
            <w:tcW w:w="45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Percentage of Revenue from Existing Accounts</w:t>
            </w:r>
            <w:r>
              <w:rPr>
                <w:rFonts w:ascii="Times New Roman" w:hAnsi="Times New Roman"/>
                <w:b w:val="false"/>
                <w:sz w:val="13"/>
              </w:rPr>
              <w:t>(2)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8" w:type="dxa"/>
            <w:tcBorders/>
            <w:shd w:fill="auto" w:val="clear"/>
            <w:vAlign w:val="center"/>
          </w:tcPr>
          <w:p>
            <w:pPr>
              <w:pStyle w:val="TableContents"/>
              <w:spacing w:lineRule="auto" w:line="312" w:before="0" w:after="0"/>
              <w:ind w:left="0" w:right="0" w:hanging="0"/>
              <w:jc w:val="left"/>
              <w:rPr/>
            </w:pPr>
            <w:r>
              <w:rPr/>
              <w:t> </w:t>
            </w:r>
          </w:p>
        </w:tc>
        <w:tc>
          <w:tcPr>
            <w:tcW w:w="45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Accounts with Last Twelve-Months Spend of at Least $50,000</w:t>
            </w:r>
            <w:r>
              <w:rPr>
                <w:rFonts w:ascii="Times New Roman" w:hAnsi="Times New Roman"/>
                <w:b w:val="false"/>
                <w:sz w:val="13"/>
              </w:rPr>
              <w:t>(2)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508</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330</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8" w:type="dxa"/>
            <w:tcBorders/>
            <w:shd w:fill="auto" w:val="clear"/>
            <w:vAlign w:val="center"/>
          </w:tcPr>
          <w:p>
            <w:pPr>
              <w:pStyle w:val="TableContents"/>
              <w:spacing w:lineRule="auto" w:line="312" w:before="0" w:after="0"/>
              <w:ind w:left="0" w:right="0" w:hanging="0"/>
              <w:jc w:val="left"/>
              <w:rPr/>
            </w:pPr>
            <w:r>
              <w:rPr/>
              <w:t> </w:t>
            </w:r>
          </w:p>
        </w:tc>
        <w:tc>
          <w:tcPr>
            <w:tcW w:w="45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240" w:after="0"/>
        <w:jc w:val="left"/>
        <w:rPr/>
      </w:pPr>
      <w:r>
        <w:rPr/>
        <w:t> </w:t>
      </w:r>
    </w:p>
    <w:p>
      <w:pPr>
        <w:pStyle w:val="TextBody"/>
        <w:spacing w:lineRule="auto" w:line="312" w:before="0" w:after="0"/>
        <w:rPr>
          <w:rFonts w:ascii="Times New Roman" w:hAnsi="Times New Roman"/>
          <w:b w:val="false"/>
          <w:sz w:val="22"/>
        </w:rPr>
      </w:pPr>
      <w:r>
        <w:rPr>
          <w:rFonts w:ascii="Times New Roman" w:hAnsi="Times New Roman"/>
          <w:b w:val="false"/>
          <w:sz w:val="22"/>
        </w:rPr>
        <w:t>(2)</w:t>
      </w:r>
    </w:p>
    <w:p>
      <w:pPr>
        <w:pStyle w:val="TextBody"/>
        <w:spacing w:lineRule="auto" w:line="312"/>
        <w:rPr>
          <w:rFonts w:ascii="Times New Roman" w:hAnsi="Times New Roman"/>
          <w:b w:val="false"/>
          <w:sz w:val="22"/>
        </w:rPr>
      </w:pPr>
      <w:r>
        <w:rPr>
          <w:rFonts w:ascii="Times New Roman" w:hAnsi="Times New Roman"/>
          <w:b w:val="false"/>
          <w:sz w:val="22"/>
        </w:rPr>
        <w:t>Amounts shown for Active Buyers and Accounts with Last Twelve-Months Spend of at Least $50,000 are as of June 30, 2021 and 2020, and Percentage of Revenue from Existing Accounts is presented for the quarters ended June 30, 2021 and 2020.</w:t>
      </w:r>
    </w:p>
    <w:p>
      <w:pPr>
        <w:pStyle w:val="TextBody"/>
        <w:spacing w:lineRule="auto" w:line="312" w:before="0" w:after="0"/>
        <w:jc w:val="left"/>
        <w:rPr/>
      </w:pPr>
      <w:r>
        <w:rPr/>
        <w:t> </w:t>
      </w:r>
    </w:p>
    <w:p>
      <w:pPr>
        <w:pStyle w:val="TextBody"/>
        <w:spacing w:lineRule="auto" w:line="312" w:before="0" w:after="200"/>
        <w:jc w:val="left"/>
        <w:rPr>
          <w:rFonts w:ascii="Times New Roman" w:hAnsi="Times New Roman"/>
          <w:b/>
          <w:sz w:val="22"/>
        </w:rPr>
      </w:pPr>
      <w:r>
        <w:rPr>
          <w:rFonts w:ascii="Times New Roman" w:hAnsi="Times New Roman"/>
          <w:b/>
          <w:sz w:val="22"/>
        </w:rPr>
        <w:t>Subsequent to Second Quarter 2021</w:t>
      </w:r>
    </w:p>
    <w:p>
      <w:pPr>
        <w:pStyle w:val="TextBody"/>
        <w:spacing w:lineRule="auto" w:line="312" w:before="120" w:after="0"/>
        <w:jc w:val="left"/>
        <w:rPr>
          <w:rFonts w:ascii="Times New Roman" w:hAnsi="Times New Roman"/>
          <w:sz w:val="20"/>
        </w:rPr>
      </w:pPr>
      <w:r>
        <w:rPr>
          <w:rFonts w:ascii="Times New Roman" w:hAnsi="Times New Roman"/>
          <w:b w:val="false"/>
          <w:sz w:val="22"/>
        </w:rPr>
        <w:t>On July 2, 2021, we closed our planned initial public offering ("IPO"), in which we issued and sold 7,906,250 shares of our Class A common stock. The initial offering price was $44.00 per share. We received net proceeds of approximately $325.3 million from the IPO after deducting underwriting discounts and commissions of $22.6 million.</w:t>
      </w:r>
      <w:r>
        <w:rPr>
          <w:rFonts w:ascii="Times New Roman" w:hAnsi="Times New Roman"/>
          <w:sz w:val="20"/>
        </w:rPr>
        <w:t xml:space="preserve"> </w:t>
      </w:r>
    </w:p>
    <w:p>
      <w:pPr>
        <w:pStyle w:val="TextBody"/>
        <w:spacing w:lineRule="auto" w:line="312" w:before="120" w:after="0"/>
        <w:jc w:val="left"/>
        <w:rPr>
          <w:rFonts w:ascii="Times New Roman" w:hAnsi="Times New Roman"/>
          <w:sz w:val="20"/>
        </w:rPr>
      </w:pPr>
      <w:r>
        <w:rPr>
          <w:rFonts w:ascii="Times New Roman" w:hAnsi="Times New Roman"/>
          <w:b w:val="false"/>
          <w:sz w:val="22"/>
        </w:rPr>
        <w:t>Upon the closing of the IPO on July 2, 2021, 8,665,797 shares of our outstanding common stock were reclassified into Class A common stock, 27,758,941 shares of our outstanding convertible preferred stock were converted into Class A common stock, and 2,676,154 shares of Class A common stock were exchanged by our co-founders for an equivalent number of shares of Class B common stock pursuant to the terms of the exchange agreement.</w:t>
      </w:r>
      <w:r>
        <w:rPr>
          <w:rFonts w:ascii="Times New Roman" w:hAnsi="Times New Roman"/>
          <w:sz w:val="20"/>
        </w:rPr>
        <w:t xml:space="preserve"> </w:t>
      </w:r>
    </w:p>
    <w:p>
      <w:pPr>
        <w:pStyle w:val="TextBody"/>
        <w:spacing w:lineRule="auto" w:line="312" w:before="120" w:after="0"/>
        <w:jc w:val="left"/>
        <w:rPr>
          <w:rFonts w:ascii="Times New Roman" w:hAnsi="Times New Roman"/>
          <w:sz w:val="20"/>
        </w:rPr>
      </w:pPr>
      <w:r>
        <w:rPr>
          <w:rFonts w:ascii="Times New Roman" w:hAnsi="Times New Roman"/>
          <w:b w:val="false"/>
          <w:sz w:val="22"/>
        </w:rPr>
        <w:t>Also on July 2, 2021, the Company reserved 402,658 shares of its Class A common stock, representing 1% of the Company's fully diluted capitalization as of the date of approval of our board of directors, for charitable contributions to non-profit organizations. These shares will be issued over the next five years, in an amount not to exceed 20% of the initial reserve amount per calendar year.</w:t>
      </w:r>
      <w:r>
        <w:rPr>
          <w:rFonts w:ascii="Times New Roman" w:hAnsi="Times New Roman"/>
          <w:sz w:val="20"/>
        </w:rPr>
        <w:t xml:space="preserve"> </w:t>
      </w:r>
    </w:p>
    <w:p>
      <w:pPr>
        <w:pStyle w:val="TextBody"/>
        <w:spacing w:lineRule="auto" w:line="312" w:before="120" w:after="0"/>
        <w:jc w:val="left"/>
        <w:rPr>
          <w:rFonts w:ascii="Times New Roman" w:hAnsi="Times New Roman"/>
          <w:sz w:val="20"/>
        </w:rPr>
      </w:pPr>
      <w:r>
        <w:rPr>
          <w:rFonts w:ascii="Times New Roman" w:hAnsi="Times New Roman"/>
          <w:b w:val="false"/>
          <w:sz w:val="22"/>
        </w:rPr>
        <w:t>On July 9, 2021, we repaid our $15.9 million term loan outstanding and recorded a loss on extinguishment of approximately $0.3 million.</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2</w:t>
      </w:r>
    </w:p>
    <w:p>
      <w:pPr>
        <w:pStyle w:val="HorizontalLine"/>
        <w:rPr/>
      </w:pPr>
      <w:r>
        <w:rPr/>
      </w:r>
    </w:p>
    <w:p>
      <w:pPr>
        <w:pStyle w:val="TextBody"/>
        <w:spacing w:lineRule="auto" w:line="312" w:before="0" w:after="0"/>
        <w:jc w:val="left"/>
        <w:rPr/>
      </w:pPr>
      <w:r>
        <w:rPr/>
        <w:t> </w:t>
      </w:r>
    </w:p>
    <w:p>
      <w:pPr>
        <w:pStyle w:val="TextBody"/>
        <w:spacing w:lineRule="auto" w:line="312" w:before="0" w:after="200"/>
        <w:jc w:val="left"/>
        <w:rPr>
          <w:rFonts w:ascii="Times New Roman" w:hAnsi="Times New Roman"/>
          <w:b/>
          <w:sz w:val="22"/>
        </w:rPr>
      </w:pPr>
      <w:r>
        <w:rPr>
          <w:rFonts w:ascii="Times New Roman" w:hAnsi="Times New Roman"/>
          <w:b/>
          <w:sz w:val="22"/>
        </w:rPr>
        <w:t>Financial Guidance and Outlook:</w:t>
      </w:r>
    </w:p>
    <w:tbl>
      <w:tblPr>
        <w:tblW w:w="6597" w:type="dxa"/>
        <w:jc w:val="left"/>
        <w:tblInd w:w="0" w:type="dxa"/>
        <w:tblCellMar>
          <w:top w:w="28" w:type="dxa"/>
          <w:left w:w="28" w:type="dxa"/>
          <w:bottom w:w="28" w:type="dxa"/>
          <w:right w:w="28" w:type="dxa"/>
        </w:tblCellMar>
      </w:tblPr>
      <w:tblGrid>
        <w:gridCol w:w="1846"/>
        <w:gridCol w:w="146"/>
        <w:gridCol w:w="226"/>
        <w:gridCol w:w="601"/>
        <w:gridCol w:w="181"/>
        <w:gridCol w:w="146"/>
        <w:gridCol w:w="226"/>
        <w:gridCol w:w="601"/>
        <w:gridCol w:w="181"/>
        <w:gridCol w:w="146"/>
        <w:gridCol w:w="226"/>
        <w:gridCol w:w="646"/>
        <w:gridCol w:w="181"/>
        <w:gridCol w:w="146"/>
        <w:gridCol w:w="226"/>
        <w:gridCol w:w="646"/>
        <w:gridCol w:w="22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8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Q3 2021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07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FY 2021</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379"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(in millions)</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827"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Low</w:t>
            </w:r>
          </w:p>
        </w:tc>
        <w:tc>
          <w:tcPr>
            <w:tcW w:w="1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27"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High</w:t>
            </w:r>
          </w:p>
        </w:tc>
        <w:tc>
          <w:tcPr>
            <w:tcW w:w="1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872" w:type="dxa"/>
            <w:gridSpan w:val="2"/>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16"/>
              </w:rPr>
              <w:t>Low</w:t>
            </w:r>
            <w:r>
              <w:rPr>
                <w:rFonts w:ascii="Times New Roman" w:hAnsi="Times New Roman"/>
                <w:sz w:val="20"/>
              </w:rPr>
              <w:t xml:space="preserve"> </w:t>
            </w:r>
          </w:p>
        </w:tc>
        <w:tc>
          <w:tcPr>
            <w:tcW w:w="1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7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High</w:t>
            </w:r>
          </w:p>
        </w:tc>
        <w:tc>
          <w:tcPr>
            <w:tcW w:w="226" w:type="dxa"/>
            <w:tcBorders/>
            <w:shd w:fill="auto" w:val="clear"/>
            <w:vAlign w:val="center"/>
          </w:tcPr>
          <w:p>
            <w:pPr>
              <w:pStyle w:val="TableContents"/>
              <w:spacing w:lineRule="auto" w:line="312" w:before="0" w:after="0"/>
              <w:ind w:left="0" w:right="0" w:hanging="0"/>
              <w:jc w:val="center"/>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53.0</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55.0</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207.5</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211.5</w:t>
            </w:r>
          </w:p>
        </w:tc>
        <w:tc>
          <w:tcPr>
            <w:tcW w:w="226" w:type="dxa"/>
            <w:tcBorders/>
            <w:shd w:fill="auto" w:val="clear"/>
            <w:vAlign w:val="center"/>
          </w:tcPr>
          <w:p>
            <w:pPr>
              <w:pStyle w:val="TableContents"/>
              <w:spacing w:lineRule="auto" w:line="312" w:before="0" w:after="0"/>
              <w:ind w:left="0" w:right="0" w:hanging="0"/>
              <w:jc w:val="lef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Adjusted EBITDA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(13.0</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(12.0</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(43.0</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(41.0</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bl>
    <w:p>
      <w:pPr>
        <w:pStyle w:val="TextBody"/>
        <w:spacing w:lineRule="auto" w:line="312" w:before="120" w:after="200"/>
        <w:jc w:val="left"/>
        <w:rPr/>
      </w:pPr>
      <w:r>
        <w:rPr/>
        <w:t> </w:t>
      </w:r>
    </w:p>
    <w:p>
      <w:pPr>
        <w:pStyle w:val="TextBody"/>
        <w:spacing w:lineRule="auto" w:line="312" w:before="120" w:after="0"/>
        <w:rPr/>
      </w:pPr>
      <w:r>
        <w:rPr/>
        <w:t></w:t>
      </w:r>
    </w:p>
    <w:p>
      <w:pPr>
        <w:pStyle w:val="TextBody"/>
        <w:spacing w:lineRule="auto" w:line="312" w:before="120" w:after="283"/>
        <w:rPr>
          <w:rFonts w:ascii="Times New Roman" w:hAnsi="Times New Roman"/>
          <w:b w:val="false"/>
          <w:sz w:val="22"/>
        </w:rPr>
      </w:pPr>
      <w:r>
        <w:rPr>
          <w:rFonts w:ascii="Times New Roman" w:hAnsi="Times New Roman"/>
          <w:b w:val="false"/>
          <w:sz w:val="22"/>
        </w:rPr>
        <w:t>In 2020, one customer, that produces masks, accounted for approximately 11% of our revenue with a majority of that revenue recognized in Q3 2020. Excluding revenue from that one customer, growth is expected to range between 66%-72% for Q3 2021, as compared to Q3 2020.</w:t>
      </w:r>
    </w:p>
    <w:p>
      <w:pPr>
        <w:pStyle w:val="TextBody"/>
        <w:spacing w:lineRule="auto" w:line="312" w:before="240" w:after="0"/>
        <w:jc w:val="left"/>
        <w:rPr>
          <w:rFonts w:ascii="Times New Roman" w:hAnsi="Times New Roman"/>
          <w:sz w:val="20"/>
        </w:rPr>
      </w:pPr>
      <w:r>
        <w:rPr>
          <w:rFonts w:ascii="Times New Roman" w:hAnsi="Times New Roman"/>
          <w:b/>
          <w:sz w:val="22"/>
        </w:rPr>
        <w:t>Use of Non-GAAP Financial Measures</w:t>
      </w:r>
      <w:r>
        <w:rPr>
          <w:rFonts w:ascii="Times New Roman" w:hAnsi="Times New Roman"/>
          <w:sz w:val="20"/>
        </w:rPr>
        <w:t xml:space="preserve"> </w:t>
      </w:r>
    </w:p>
    <w:p>
      <w:pPr>
        <w:pStyle w:val="TextBody"/>
        <w:spacing w:lineRule="auto" w:line="312" w:before="120" w:after="0"/>
        <w:jc w:val="left"/>
        <w:rPr>
          <w:rFonts w:ascii="Times New Roman" w:hAnsi="Times New Roman"/>
          <w:sz w:val="20"/>
        </w:rPr>
      </w:pPr>
      <w:r>
        <w:rPr>
          <w:rFonts w:ascii="Times New Roman" w:hAnsi="Times New Roman"/>
          <w:b w:val="false"/>
          <w:sz w:val="22"/>
        </w:rPr>
        <w:t>To supplement its consolidated financial statements, which are prepared and presented in accordance with generally accepted accounting principles in the United States of America (“GAAP”), Xometry, Inc. ("Xometry", the "Company", "we" or "our") uses Adjusted EBITDA, a non-GAAP financial measure, as described below. This non-GAAP financial measure is presented to enhance the user’s overall understanding of Xometry’s financial performance and should not be considered a substitute for, or superior to, the financial information prepared and presented in accordance with GAAP. The non-GAAP financial measure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this measure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this non-GAAP financial measure provides useful information to investors and others in understanding and evaluating the Company’s operating results in the same manner as the Company’s management and in comparing operating results across periods and to those of Xometry’s peer companies.</w:t>
      </w:r>
      <w:r>
        <w:rPr>
          <w:rFonts w:ascii="Times New Roman" w:hAnsi="Times New Roman"/>
          <w:sz w:val="20"/>
        </w:rPr>
        <w:t xml:space="preserve"> </w:t>
      </w:r>
    </w:p>
    <w:p>
      <w:pPr>
        <w:pStyle w:val="TextBody"/>
        <w:spacing w:lineRule="auto" w:line="312" w:before="240" w:after="0"/>
        <w:jc w:val="left"/>
        <w:rPr>
          <w:rFonts w:ascii="Times New Roman" w:hAnsi="Times New Roman"/>
          <w:sz w:val="20"/>
        </w:rPr>
      </w:pPr>
      <w:r>
        <w:rPr>
          <w:rFonts w:ascii="Times New Roman" w:hAnsi="Times New Roman"/>
          <w:b w:val="false"/>
          <w:sz w:val="22"/>
        </w:rPr>
        <w:t>The use of non-GAAP financial measures has certain limitations because they do not reflect all items of income and expense, or cash flows, that affect the Company’s financial performance and operations. An additional limitation of non-GAAP financial measures is that they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r>
        <w:rPr>
          <w:rFonts w:ascii="Times New Roman" w:hAnsi="Times New Roman"/>
          <w:sz w:val="20"/>
        </w:rPr>
        <w:t xml:space="preserve"> </w:t>
      </w:r>
    </w:p>
    <w:p>
      <w:pPr>
        <w:pStyle w:val="TextBody"/>
        <w:spacing w:lineRule="auto" w:line="312" w:before="24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3</w:t>
      </w:r>
    </w:p>
    <w:p>
      <w:pPr>
        <w:pStyle w:val="HorizontalLine"/>
        <w:rPr/>
      </w:pPr>
      <w:r>
        <w:rPr/>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sz w:val="22"/>
        </w:rPr>
      </w:pPr>
      <w:r>
        <w:rPr>
          <w:rFonts w:ascii="Times New Roman" w:hAnsi="Times New Roman"/>
          <w:b/>
          <w:sz w:val="22"/>
        </w:rPr>
        <w:t>Key Terms for our Key Metrics and Non-GAAP Financial Measures</w:t>
      </w:r>
    </w:p>
    <w:p>
      <w:pPr>
        <w:pStyle w:val="TextBody"/>
        <w:spacing w:lineRule="auto" w:line="312" w:before="240" w:after="0"/>
        <w:jc w:val="left"/>
        <w:rPr>
          <w:rFonts w:ascii="Times New Roman" w:hAnsi="Times New Roman"/>
          <w:sz w:val="20"/>
        </w:rPr>
      </w:pPr>
      <w:r>
        <w:rPr>
          <w:rFonts w:ascii="Times New Roman" w:hAnsi="Times New Roman"/>
          <w:b w:val="false"/>
          <w:sz w:val="22"/>
        </w:rPr>
        <w:t xml:space="preserve">The Company defines </w:t>
      </w:r>
      <w:r>
        <w:rPr>
          <w:rFonts w:ascii="Times New Roman" w:hAnsi="Times New Roman"/>
          <w:b/>
          <w:sz w:val="22"/>
        </w:rPr>
        <w:t xml:space="preserve">Adjusted earnings before interest, taxes, depreciation and amortization (Adjusted EBITDA) </w:t>
      </w:r>
      <w:r>
        <w:rPr>
          <w:rFonts w:ascii="Times New Roman" w:hAnsi="Times New Roman"/>
          <w:b w:val="false"/>
          <w:sz w:val="22"/>
        </w:rPr>
        <w:t>as net income (loss) excluding interest (income) expense, income tax expense (benefit), and certain other non-cash or non-recurring items impacting net loss from time to time, principally comprised of depreciation and amortization, stock-based compensation and impairment charges. Management believes that the exclusion of certain expenses and gains in calculating Adjusted EBITDA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amounts of such expenses is the result of long-term investment decisions made in previous periods rather than day-to-day operating decisions.</w:t>
      </w:r>
      <w:r>
        <w:rPr>
          <w:rFonts w:ascii="Times New Roman" w:hAnsi="Times New Roman"/>
          <w:sz w:val="20"/>
        </w:rPr>
        <w:t xml:space="preserve"> </w:t>
      </w:r>
    </w:p>
    <w:p>
      <w:pPr>
        <w:pStyle w:val="TextBody"/>
        <w:spacing w:lineRule="auto" w:line="312" w:before="240" w:after="0"/>
        <w:jc w:val="left"/>
        <w:rPr>
          <w:rFonts w:ascii="Times New Roman" w:hAnsi="Times New Roman"/>
          <w:sz w:val="20"/>
        </w:rPr>
      </w:pPr>
      <w:r>
        <w:rPr>
          <w:rFonts w:ascii="Times New Roman" w:hAnsi="Times New Roman"/>
          <w:b/>
          <w:sz w:val="22"/>
        </w:rPr>
        <w:t>Active Buyers:</w:t>
      </w:r>
      <w:r>
        <w:rPr>
          <w:rFonts w:ascii="Times New Roman" w:hAnsi="Times New Roman"/>
          <w:sz w:val="20"/>
        </w:rPr>
        <w:t xml:space="preserve"> </w:t>
      </w:r>
      <w:r>
        <w:rPr>
          <w:rFonts w:ascii="Times New Roman" w:hAnsi="Times New Roman"/>
          <w:b w:val="false"/>
          <w:sz w:val="22"/>
        </w:rPr>
        <w:t>The Company defines “buyers” as individuals who have placed an order to purchase on-demand parts or assemblies on our platform.  The Company defines Active Buyers</w:t>
      </w:r>
      <w:r>
        <w:rPr>
          <w:rFonts w:ascii="Times New Roman" w:hAnsi="Times New Roman"/>
          <w:sz w:val="20"/>
        </w:rPr>
        <w:t xml:space="preserve"> </w:t>
      </w:r>
      <w:r>
        <w:rPr>
          <w:rFonts w:ascii="Times New Roman" w:hAnsi="Times New Roman"/>
          <w:b w:val="false"/>
          <w:sz w:val="22"/>
        </w:rPr>
        <w:t>as the number of buyers who have made at least one purchase on our marketplace during the last twelve months.</w:t>
      </w:r>
      <w:r>
        <w:rPr>
          <w:rFonts w:ascii="Times New Roman" w:hAnsi="Times New Roman"/>
          <w:sz w:val="20"/>
        </w:rPr>
        <w:t xml:space="preserve"> </w:t>
      </w:r>
    </w:p>
    <w:p>
      <w:pPr>
        <w:pStyle w:val="TextBody"/>
        <w:spacing w:lineRule="auto" w:line="312" w:before="240" w:after="0"/>
        <w:jc w:val="left"/>
        <w:rPr>
          <w:rFonts w:ascii="Times New Roman" w:hAnsi="Times New Roman"/>
          <w:sz w:val="20"/>
        </w:rPr>
      </w:pPr>
      <w:r>
        <w:rPr>
          <w:rFonts w:ascii="Times New Roman" w:hAnsi="Times New Roman"/>
          <w:b/>
          <w:sz w:val="22"/>
        </w:rPr>
        <w:t xml:space="preserve">Percentage of Revenue from Existing Accounts: </w:t>
      </w:r>
      <w:r>
        <w:rPr>
          <w:rFonts w:ascii="Times New Roman" w:hAnsi="Times New Roman"/>
          <w:b w:val="false"/>
          <w:sz w:val="22"/>
        </w:rPr>
        <w:t>The</w:t>
      </w:r>
      <w:r>
        <w:rPr>
          <w:rFonts w:ascii="Times New Roman" w:hAnsi="Times New Roman"/>
          <w:sz w:val="20"/>
        </w:rPr>
        <w:t xml:space="preserve"> </w:t>
      </w:r>
      <w:r>
        <w:rPr>
          <w:rFonts w:ascii="Times New Roman" w:hAnsi="Times New Roman"/>
          <w:b w:val="false"/>
          <w:sz w:val="22"/>
        </w:rPr>
        <w:t>Company defines “accounts” as an individual entity, such as a sole proprietor with a single buyer or corporate entities with multiple buyers, having purchased at least one part on our marketplace. The Company defines an existing account as an account where at least one buyer has made a purchase on our marketplace.</w:t>
      </w:r>
      <w:r>
        <w:rPr>
          <w:rFonts w:ascii="Times New Roman" w:hAnsi="Times New Roman"/>
          <w:sz w:val="20"/>
        </w:rPr>
        <w:t xml:space="preserve"> </w:t>
      </w:r>
    </w:p>
    <w:p>
      <w:pPr>
        <w:pStyle w:val="TextBody"/>
        <w:spacing w:lineRule="auto" w:line="312" w:before="240" w:after="0"/>
        <w:jc w:val="left"/>
        <w:rPr>
          <w:rFonts w:ascii="Times New Roman" w:hAnsi="Times New Roman"/>
          <w:sz w:val="20"/>
        </w:rPr>
      </w:pPr>
      <w:r>
        <w:rPr>
          <w:rFonts w:ascii="Times New Roman" w:hAnsi="Times New Roman"/>
          <w:b/>
          <w:sz w:val="22"/>
        </w:rPr>
        <w:t>Accounts with Last Twelve-Month Spend of At Least $50,000: </w:t>
      </w:r>
      <w:r>
        <w:rPr>
          <w:rFonts w:ascii="Times New Roman" w:hAnsi="Times New Roman"/>
          <w:b w:val="false"/>
          <w:sz w:val="22"/>
        </w:rPr>
        <w:t>The Company defines Accounts with Last Twelve-Month Spend of At Least $50,000 as an account that has spent at least $50,000 on our marketplace in the most recent twelve-month period.</w:t>
      </w:r>
      <w:r>
        <w:rPr>
          <w:rFonts w:ascii="Times New Roman" w:hAnsi="Times New Roman"/>
          <w:sz w:val="20"/>
        </w:rPr>
        <w:t xml:space="preserve"> </w:t>
      </w:r>
    </w:p>
    <w:p>
      <w:pPr>
        <w:pStyle w:val="TextBody"/>
        <w:spacing w:lineRule="auto" w:line="312" w:before="240" w:after="0"/>
        <w:jc w:val="left"/>
        <w:rPr>
          <w:rFonts w:ascii="Times New Roman" w:hAnsi="Times New Roman"/>
          <w:b/>
          <w:sz w:val="22"/>
        </w:rPr>
      </w:pPr>
      <w:r>
        <w:rPr>
          <w:rFonts w:ascii="Times New Roman" w:hAnsi="Times New Roman"/>
          <w:b/>
          <w:sz w:val="22"/>
        </w:rPr>
        <w:t>About Xometry</w:t>
      </w:r>
    </w:p>
    <w:p>
      <w:pPr>
        <w:pStyle w:val="TextBody"/>
        <w:spacing w:lineRule="auto" w:line="312" w:before="240" w:after="0"/>
        <w:jc w:val="left"/>
        <w:rPr>
          <w:rFonts w:ascii="Times New Roman" w:hAnsi="Times New Roman"/>
          <w:sz w:val="20"/>
        </w:rPr>
      </w:pPr>
      <w:r>
        <w:rPr>
          <w:rFonts w:ascii="Times New Roman" w:hAnsi="Times New Roman"/>
          <w:b w:val="false"/>
          <w:sz w:val="22"/>
        </w:rPr>
        <w:t>Xometry, Inc. (NASDAQ: XMTR) is a leading AI-enabled marketplace for on demand manufacturing, transforming one of the largest industries in the world. Xometry uses its proprietary technology to create a marketplace that enables buyers to efficiently source on-demand manufactured parts and assemblies, and empowers sellers of manufacturing services to grow their businesses. Xometry's buyers range from self-funded startups to Fortune 100 companies. Learn more at www.xometry.com</w:t>
      </w:r>
      <w:r>
        <w:rPr>
          <w:rFonts w:ascii="Times New Roman" w:hAnsi="Times New Roman"/>
          <w:sz w:val="20"/>
        </w:rPr>
        <w:t xml:space="preserve"> </w:t>
      </w:r>
      <w:r>
        <w:rPr>
          <w:rFonts w:ascii="Times New Roman" w:hAnsi="Times New Roman"/>
          <w:b w:val="false"/>
          <w:sz w:val="22"/>
        </w:rPr>
        <w:t>or follow @xometry.</w:t>
      </w:r>
      <w:r>
        <w:rPr>
          <w:rFonts w:ascii="Times New Roman" w:hAnsi="Times New Roman"/>
          <w:sz w:val="20"/>
        </w:rPr>
        <w:t xml:space="preserve"> </w:t>
      </w:r>
    </w:p>
    <w:p>
      <w:pPr>
        <w:pStyle w:val="TextBody"/>
        <w:spacing w:lineRule="auto" w:line="312" w:before="240" w:after="0"/>
        <w:jc w:val="left"/>
        <w:rPr>
          <w:rFonts w:ascii="Times New Roman" w:hAnsi="Times New Roman"/>
          <w:b/>
          <w:sz w:val="22"/>
        </w:rPr>
      </w:pPr>
      <w:r>
        <w:rPr>
          <w:rFonts w:ascii="Times New Roman" w:hAnsi="Times New Roman"/>
          <w:b/>
          <w:sz w:val="22"/>
        </w:rPr>
        <w:t>Conference Call</w:t>
      </w:r>
    </w:p>
    <w:p>
      <w:pPr>
        <w:pStyle w:val="TextBody"/>
        <w:spacing w:lineRule="auto" w:line="312" w:before="240" w:after="0"/>
        <w:jc w:val="left"/>
        <w:rPr>
          <w:rFonts w:ascii="Times New Roman" w:hAnsi="Times New Roman"/>
          <w:sz w:val="20"/>
        </w:rPr>
      </w:pPr>
      <w:r>
        <w:rPr>
          <w:rFonts w:ascii="Times New Roman" w:hAnsi="Times New Roman"/>
          <w:b w:val="false"/>
          <w:sz w:val="22"/>
        </w:rPr>
        <w:t>The Company will discuss its second quarter and year to date financial results during a teleconference on (8/12/2021), at (5:00 PM EST/2:00 PM PT). The conference call can be accessed in the U.S. at (877-313-2061) or outside the U.S. at (470-495-9537) with the conference ID# (8195399). A live audio webcast of the call will also be available simultaneously at investors.xometry.com. Following completion of the call, a recorded replay of the teleconference will be available in the investor relations section of Xometry's website. The earnings webcast presentation will be archived within the Investor Relations</w:t>
      </w:r>
      <w:r>
        <w:rPr>
          <w:rFonts w:ascii="Times New Roman" w:hAnsi="Times New Roman"/>
          <w:sz w:val="20"/>
        </w:rPr>
        <w:t xml:space="preserve"> </w:t>
      </w:r>
      <w:r>
        <w:rPr>
          <w:rFonts w:ascii="Times New Roman" w:hAnsi="Times New Roman"/>
          <w:b w:val="false"/>
          <w:sz w:val="22"/>
        </w:rPr>
        <w:t>section of Xometry's website.</w:t>
      </w:r>
      <w:r>
        <w:rPr>
          <w:rFonts w:ascii="Times New Roman" w:hAnsi="Times New Roman"/>
          <w:sz w:val="20"/>
        </w:rPr>
        <w:t xml:space="preserve"> </w:t>
      </w:r>
    </w:p>
    <w:p>
      <w:pPr>
        <w:pStyle w:val="TextBody"/>
        <w:spacing w:lineRule="auto" w:line="312" w:before="240" w:after="0"/>
        <w:jc w:val="center"/>
        <w:rPr>
          <w:rFonts w:ascii="Arial" w:hAnsi="Arial"/>
          <w:b w:val="false"/>
          <w:sz w:val="20"/>
        </w:rPr>
      </w:pPr>
      <w:r>
        <w:rPr>
          <w:rFonts w:ascii="Arial" w:hAnsi="Arial"/>
          <w:b w:val="false"/>
          <w:sz w:val="20"/>
        </w:rPr>
        <w:t>4</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sz w:val="22"/>
        </w:rPr>
      </w:pPr>
      <w:r>
        <w:rPr>
          <w:rFonts w:ascii="Times New Roman" w:hAnsi="Times New Roman"/>
          <w:b/>
          <w:sz w:val="22"/>
        </w:rPr>
        <w:t>Cautionary Information Regarding Forward-Looking Statements</w:t>
      </w:r>
    </w:p>
    <w:p>
      <w:pPr>
        <w:pStyle w:val="TextBody"/>
        <w:spacing w:lineRule="auto" w:line="312" w:before="0" w:after="0"/>
        <w:jc w:val="left"/>
        <w:rPr>
          <w:rFonts w:ascii="Times New Roman" w:hAnsi="Times New Roman"/>
          <w:b w:val="false"/>
          <w:sz w:val="22"/>
        </w:rPr>
      </w:pPr>
      <w:r>
        <w:rPr>
          <w:rFonts w:ascii="Times New Roman" w:hAnsi="Times New Roman"/>
          <w:b w:val="false"/>
          <w:sz w:val="22"/>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third quarter and full year 2021, and demand for our marketplace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including the impact of the COVID-19 pandemic on our business and operations and our ability to forecast our performance due to our limited operating history and the COVID-19 pandemic, investments in new products or offerings, our ability to attract buyers and sellers to our marketplace, legal proceedings and regulatory matters and developments, any future changes to our business or our financial or operating model, and our brand and reputation. The forward-looking statements contained in this press release are also subject to other risks and uncertainties that could cause actual results to differ from the results predicted, including those more fully described in our filings with the SEC, including our Quarterly Report on Form 10-Q for the period ended June 30, 2021. All forward-looking statements in this press release are based on information available to Xometry and assumptions and beliefs as of the date hereof, and we disclaim any obligation to update any forward-looking statements, except as required by law.</w:t>
      </w:r>
    </w:p>
    <w:p>
      <w:pPr>
        <w:pStyle w:val="TextBody"/>
        <w:spacing w:lineRule="auto" w:line="312" w:before="240" w:after="0"/>
        <w:jc w:val="center"/>
        <w:rPr>
          <w:rFonts w:ascii="Times New Roman" w:hAnsi="Times New Roman"/>
          <w:b w:val="false"/>
          <w:sz w:val="22"/>
        </w:rPr>
      </w:pPr>
      <w:r>
        <w:rPr>
          <w:rFonts w:ascii="Times New Roman" w:hAnsi="Times New Roman"/>
          <w:b w:val="false"/>
          <w:sz w:val="22"/>
        </w:rPr>
        <w:t># #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(Tables Follow)</w:t>
      </w:r>
    </w:p>
    <w:p>
      <w:pPr>
        <w:pStyle w:val="TextBody"/>
        <w:spacing w:lineRule="atLeast" w:line="200" w:before="0" w:after="0"/>
        <w:jc w:val="left"/>
        <w:rPr/>
      </w:pPr>
      <w:r>
        <w:rPr/>
        <w:t> </w:t>
      </w:r>
    </w:p>
    <w:tbl>
      <w:tblPr>
        <w:tblW w:w="5027" w:type="dxa"/>
        <w:jc w:val="left"/>
        <w:tblInd w:w="0" w:type="dxa"/>
        <w:tblCellMar>
          <w:top w:w="28" w:type="dxa"/>
          <w:left w:w="28" w:type="dxa"/>
          <w:bottom w:w="28" w:type="dxa"/>
          <w:right w:w="28" w:type="dxa"/>
        </w:tblCellMar>
      </w:tblPr>
      <w:tblGrid>
        <w:gridCol w:w="2761"/>
        <w:gridCol w:w="2266"/>
      </w:tblGrid>
      <w:tr>
        <w:trPr/>
        <w:tc>
          <w:tcPr>
            <w:tcW w:w="2761"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r>
      <w:tr>
        <w:trPr/>
        <w:tc>
          <w:tcPr>
            <w:tcW w:w="2761" w:type="dxa"/>
            <w:tcBorders/>
            <w:shd w:fill="auto" w:val="clear"/>
            <w:vAlign w:val="center"/>
          </w:tcPr>
          <w:p>
            <w:pPr>
              <w:pStyle w:val="TableContents"/>
              <w:spacing w:lineRule="auto" w:line="312" w:before="0" w:after="0"/>
              <w:ind w:left="0" w:right="0" w:hanging="0"/>
              <w:jc w:val="left"/>
              <w:rPr/>
            </w:pPr>
            <w:r>
              <w:rPr/>
              <w:t> </w:t>
            </w:r>
          </w:p>
        </w:tc>
        <w:tc>
          <w:tcPr>
            <w:tcW w:w="2266" w:type="dxa"/>
            <w:tcBorders/>
            <w:shd w:fill="auto" w:val="clear"/>
            <w:vAlign w:val="center"/>
          </w:tcPr>
          <w:p>
            <w:pPr>
              <w:pStyle w:val="TableContents"/>
              <w:spacing w:lineRule="auto" w:line="312" w:before="0" w:after="0"/>
              <w:ind w:left="0" w:right="0" w:hanging="0"/>
              <w:jc w:val="left"/>
              <w:rPr/>
            </w:pPr>
            <w:r>
              <w:rPr/>
              <w:t> </w:t>
            </w:r>
          </w:p>
        </w:tc>
      </w:tr>
      <w:tr>
        <w:trPr/>
        <w:tc>
          <w:tcPr>
            <w:tcW w:w="276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sz w:val="22"/>
              </w:rPr>
              <w:t>Investor Contact:</w:t>
            </w:r>
            <w:r>
              <w:rPr>
                <w:rFonts w:ascii="Times New Roman" w:hAnsi="Times New Roman"/>
                <w:sz w:val="20"/>
              </w:rPr>
              <w:t xml:space="preserve"> </w:t>
            </w:r>
          </w:p>
        </w:tc>
        <w:tc>
          <w:tcPr>
            <w:tcW w:w="2266"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Media Contact:</w:t>
            </w:r>
          </w:p>
        </w:tc>
      </w:tr>
      <w:tr>
        <w:trPr/>
        <w:tc>
          <w:tcPr>
            <w:tcW w:w="2761" w:type="dxa"/>
            <w:tcBorders/>
            <w:shd w:fill="auto" w:val="clear"/>
            <w:vAlign w:val="center"/>
          </w:tcPr>
          <w:p>
            <w:pPr>
              <w:pStyle w:val="TableContents"/>
              <w:spacing w:lineRule="auto" w:line="312" w:before="0" w:after="0"/>
              <w:ind w:left="0" w:right="0" w:hanging="0"/>
              <w:jc w:val="left"/>
              <w:rPr/>
            </w:pPr>
            <w:r>
              <w:rPr/>
              <w:t> </w:t>
            </w:r>
          </w:p>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Shawn Milne</w:t>
            </w:r>
          </w:p>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VP Investor Relations</w:t>
            </w:r>
          </w:p>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240-335-8132</w:t>
            </w:r>
          </w:p>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shawn.milne@xometry.com</w:t>
            </w:r>
          </w:p>
        </w:tc>
        <w:tc>
          <w:tcPr>
            <w:tcW w:w="226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Ted Weismann</w:t>
            </w:r>
          </w:p>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fama PR for Xometry</w:t>
            </w:r>
          </w:p>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617-396-7740</w:t>
            </w:r>
          </w:p>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xometry@famapr.com</w:t>
            </w:r>
          </w:p>
        </w:tc>
      </w:tr>
      <w:tr>
        <w:trPr/>
        <w:tc>
          <w:tcPr>
            <w:tcW w:w="2761" w:type="dxa"/>
            <w:tcBorders/>
            <w:shd w:fill="auto" w:val="clear"/>
            <w:vAlign w:val="center"/>
          </w:tcPr>
          <w:p>
            <w:pPr>
              <w:pStyle w:val="TableContents"/>
              <w:spacing w:lineRule="auto" w:line="312" w:before="0" w:after="0"/>
              <w:ind w:left="0" w:right="0" w:hanging="0"/>
              <w:jc w:val="left"/>
              <w:rPr/>
            </w:pPr>
            <w:r>
              <w:rPr/>
              <w:t> </w:t>
            </w:r>
          </w:p>
        </w:tc>
        <w:tc>
          <w:tcPr>
            <w:tcW w:w="2266"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5</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2"/>
        </w:rPr>
        <w:t>Xometry, Inc. and Subsidiaries</w:t>
      </w:r>
      <w:r>
        <w:rPr>
          <w:rFonts w:ascii="Times New Roman" w:hAnsi="Times New Roman"/>
          <w:sz w:val="20"/>
        </w:rPr>
        <w:t xml:space="preserve"> </w:t>
      </w:r>
    </w:p>
    <w:p>
      <w:pPr>
        <w:pStyle w:val="TextBody"/>
        <w:spacing w:lineRule="auto" w:line="312" w:before="0" w:after="0"/>
        <w:jc w:val="center"/>
        <w:rPr>
          <w:rFonts w:ascii="Times New Roman" w:hAnsi="Times New Roman"/>
          <w:sz w:val="20"/>
        </w:rPr>
      </w:pPr>
      <w:r>
        <w:rPr>
          <w:rFonts w:ascii="Times New Roman" w:hAnsi="Times New Roman"/>
          <w:b w:val="false"/>
          <w:sz w:val="22"/>
        </w:rPr>
        <w:t>Unaudited Condensed Consolidated Balance Sheets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 except share and per share data)</w:t>
      </w:r>
    </w:p>
    <w:tbl>
      <w:tblPr>
        <w:tblW w:w="10205" w:type="dxa"/>
        <w:jc w:val="left"/>
        <w:tblInd w:w="0" w:type="dxa"/>
        <w:tblCellMar>
          <w:top w:w="28" w:type="dxa"/>
          <w:left w:w="28" w:type="dxa"/>
          <w:bottom w:w="28" w:type="dxa"/>
          <w:right w:w="28" w:type="dxa"/>
        </w:tblCellMar>
      </w:tblPr>
      <w:tblGrid>
        <w:gridCol w:w="7242"/>
        <w:gridCol w:w="146"/>
        <w:gridCol w:w="196"/>
        <w:gridCol w:w="751"/>
        <w:gridCol w:w="166"/>
        <w:gridCol w:w="146"/>
        <w:gridCol w:w="196"/>
        <w:gridCol w:w="751"/>
        <w:gridCol w:w="611"/>
      </w:tblGrid>
      <w:tr>
        <w:trPr/>
        <w:tc>
          <w:tcPr>
            <w:tcW w:w="72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724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December 31,</w:t>
              <w:br/>
              <w:t>2020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724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(unaudited)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47" w:type="dxa"/>
            <w:gridSpan w:val="2"/>
            <w:tcBorders/>
            <w:shd w:fill="auto" w:val="clear"/>
            <w:vAlign w:val="center"/>
          </w:tcPr>
          <w:p>
            <w:pPr>
              <w:pStyle w:val="TableContents"/>
              <w:spacing w:lineRule="auto" w:line="312" w:before="0" w:after="0"/>
              <w:ind w:left="0" w:right="0" w:hanging="0"/>
              <w:jc w:val="center"/>
              <w:rPr/>
            </w:pPr>
            <w:r>
              <w:rPr/>
              <w:t> </w:t>
            </w:r>
          </w:p>
        </w:tc>
        <w:tc>
          <w:tcPr>
            <w:tcW w:w="611" w:type="dxa"/>
            <w:tcBorders/>
            <w:shd w:fill="auto" w:val="clear"/>
            <w:vAlign w:val="center"/>
          </w:tcPr>
          <w:p>
            <w:pPr>
              <w:pStyle w:val="TableContents"/>
              <w:spacing w:lineRule="auto" w:line="312" w:before="0" w:after="0"/>
              <w:ind w:left="0" w:right="0" w:hanging="0"/>
              <w:jc w:val="center"/>
              <w:rPr/>
            </w:pPr>
            <w:r>
              <w:rPr/>
              <w:t> </w:t>
            </w:r>
          </w:p>
        </w:tc>
      </w:tr>
      <w:tr>
        <w:trPr/>
        <w:tc>
          <w:tcPr>
            <w:tcW w:w="7242"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r>
        <w:trPr/>
        <w:tc>
          <w:tcPr>
            <w:tcW w:w="7242"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200"/>
              <w:jc w:val="righ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Cash and cash equivalents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37,351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59,874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Accounts receivable, less allowance for doubtful accounts of $0.6 million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21,432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14,574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Inventory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2,294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Prepaid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913</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Other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26,462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7242" w:type="dxa"/>
            <w:tcBorders/>
            <w:shd w:fill="auto" w:val="clear"/>
            <w:vAlign w:val="center"/>
          </w:tcPr>
          <w:p>
            <w:pPr>
              <w:pStyle w:val="TableContents"/>
              <w:spacing w:lineRule="auto" w:line="312" w:before="0" w:after="0"/>
              <w:ind w:left="400" w:right="0" w:hanging="0"/>
              <w:jc w:val="left"/>
              <w:rPr>
                <w:rFonts w:ascii="Times New Roman" w:hAnsi="Times New Roman"/>
                <w:b/>
                <w:sz w:val="16"/>
              </w:rPr>
            </w:pPr>
            <w:r>
              <w:rPr>
                <w:rFonts w:ascii="Times New Roman" w:hAnsi="Times New Roman"/>
                <w:b/>
                <w:sz w:val="16"/>
              </w:rPr>
              <w:t>Total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92,931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77,655</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Property and equipment,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7,638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6,113</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Operating lease right-of-use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2,275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1,922</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Other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285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788</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Intangible assets,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1,521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1,652</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Goodwill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833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833</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7242" w:type="dxa"/>
            <w:tcBorders/>
            <w:shd w:fill="auto" w:val="clear"/>
            <w:vAlign w:val="center"/>
          </w:tcPr>
          <w:p>
            <w:pPr>
              <w:pStyle w:val="TableContents"/>
              <w:spacing w:lineRule="auto" w:line="312" w:before="0" w:after="0"/>
              <w:ind w:left="400" w:right="0" w:hanging="0"/>
              <w:jc w:val="left"/>
              <w:rPr>
                <w:rFonts w:ascii="Times New Roman" w:hAnsi="Times New Roman"/>
                <w:b/>
                <w:sz w:val="16"/>
              </w:rPr>
            </w:pPr>
            <w:r>
              <w:rPr>
                <w:rFonts w:ascii="Times New Roman" w:hAnsi="Times New Roman"/>
                <w:b/>
                <w:sz w:val="16"/>
              </w:rPr>
              <w:t>Total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105,483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88,963</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7242"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Liabilities, convertible preferred stock and stockholders’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r>
        <w:trPr/>
        <w:tc>
          <w:tcPr>
            <w:tcW w:w="7242"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200"/>
              <w:jc w:val="righ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Accounts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13,138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5,640</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Accrued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39,200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13,606</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Contract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4,252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2,355</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Operating lease liabilities, current portion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1,013</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Finance lease liabilities, current portion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Short-term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15,864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15,753</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7242" w:type="dxa"/>
            <w:tcBorders/>
            <w:shd w:fill="auto" w:val="clear"/>
            <w:vAlign w:val="center"/>
          </w:tcPr>
          <w:p>
            <w:pPr>
              <w:pStyle w:val="TableContents"/>
              <w:spacing w:lineRule="auto" w:line="312" w:before="0" w:after="0"/>
              <w:ind w:left="400" w:right="0" w:hanging="0"/>
              <w:jc w:val="left"/>
              <w:rPr>
                <w:rFonts w:ascii="Times New Roman" w:hAnsi="Times New Roman"/>
                <w:b/>
                <w:sz w:val="16"/>
              </w:rPr>
            </w:pPr>
            <w:r>
              <w:rPr>
                <w:rFonts w:ascii="Times New Roman" w:hAnsi="Times New Roman"/>
                <w:b/>
                <w:sz w:val="16"/>
              </w:rPr>
              <w:t>Total 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73,382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38,381</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Operating lease liabilities, net of current portion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1,118</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7242" w:type="dxa"/>
            <w:tcBorders/>
            <w:shd w:fill="auto" w:val="clear"/>
            <w:vAlign w:val="center"/>
          </w:tcPr>
          <w:p>
            <w:pPr>
              <w:pStyle w:val="TableContents"/>
              <w:spacing w:lineRule="auto" w:line="312" w:before="0" w:after="0"/>
              <w:ind w:left="400" w:right="0" w:hanging="0"/>
              <w:jc w:val="left"/>
              <w:rPr>
                <w:rFonts w:ascii="Times New Roman" w:hAnsi="Times New Roman"/>
                <w:b/>
                <w:sz w:val="16"/>
              </w:rPr>
            </w:pPr>
            <w:r>
              <w:rPr>
                <w:rFonts w:ascii="Times New Roman" w:hAnsi="Times New Roman"/>
                <w:b/>
                <w:sz w:val="16"/>
              </w:rPr>
              <w:t>Total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74,955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39,499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7242"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Commitments and contingencies (Note 13)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r>
        <w:trPr/>
        <w:tc>
          <w:tcPr>
            <w:tcW w:w="7242"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200"/>
              <w:jc w:val="righ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6"/>
              </w:rPr>
              <w:t>Convertible preferred stock- Seed-1, $0.000001 par value. 4,200,000 shares authorized, issued and</w:t>
              <w:br/>
              <w:t>   outstanding as of June 30, 2021 and December 31, 2020</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4,200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4,200</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Convertible preferred stock- Seed-2, $0.000001 par value. 2,188,322 shares authorized, issued and</w:t>
              <w:br/>
              <w:t>   outstanding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2,998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2,998</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Convertible preferred stock- Series A-1, $0.000001 par value. 4,211,094 shares authorized, issued and</w:t>
              <w:br/>
              <w:t>   outstanding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8,704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8,704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6"/>
              </w:rPr>
              <w:t>Convertible preferred stock- Series A-2, $0.000001 par value. 1,591,230 shares authorized, issued and</w:t>
              <w:br/>
              <w:t>   outstanding as of June 30, 2021 and December 31, 2020</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12,839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12,839</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Convertible preferred stock- Series B, $0.000001 par value. 4,132,055 shares authorized</w:t>
              <w:br/>
              <w:t>   and 4,044,271 issued and outstanding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20,347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20,347</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Convertible preferred stock- Series C, $0.000001 par value. 3,754,201 shares authorized, issued and</w:t>
              <w:br/>
              <w:t>   outstanding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26,004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26,004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Convertible preferred stock- Series D, $0.000001 par value. 5,494,064 authorized, issued and outstanding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54,864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54,864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Convertible preferred stock- Series E, $0.000001 par value. 2,400,000 shares</w:t>
              <w:br/>
              <w:t>   authorized and 2,275,759 shares issued and outstanding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30,757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30,757</w:t>
            </w:r>
          </w:p>
        </w:tc>
        <w:tc>
          <w:tcPr>
            <w:tcW w:w="611" w:type="dxa"/>
            <w:tcBorders/>
            <w:shd w:fill="auto" w:val="clear"/>
            <w:vAlign w:val="center"/>
          </w:tcPr>
          <w:p>
            <w:pPr>
              <w:pStyle w:val="TableContents"/>
              <w:spacing w:lineRule="auto" w:line="312" w:before="0" w:after="0"/>
              <w:ind w:left="0" w:right="0" w:hanging="0"/>
              <w:jc w:val="left"/>
              <w:rPr/>
            </w:pPr>
            <w:r>
              <w:rPr/>
              <w:t> </w:t>
            </w:r>
          </w:p>
        </w:tc>
      </w:tr>
      <w:tr>
        <w:trPr/>
        <w:tc>
          <w:tcPr>
            <w:tcW w:w="7242"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Stockholders’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200"/>
              <w:jc w:val="righ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Common stock, $0.000001 par value. Authorized 42,000,000; 8,665,797 and 7,755,782</w:t>
              <w:br/>
              <w:t>   shares issued and outstanding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pPr>
            <w:r>
              <w:rPr/>
              <w:t>—</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Additional paid-in capital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4,315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503</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Accumulated other comprehensive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75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210</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7242"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Accumulated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(134,727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(111,962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rFonts w:ascii="Times New Roman" w:hAnsi="Times New Roman"/>
                <w:b w:val="false"/>
                <w:sz w:val="16"/>
              </w:rPr>
            </w:pPr>
            <w:r>
              <w:rPr>
                <w:rFonts w:ascii="Times New Roman" w:hAnsi="Times New Roman"/>
                <w:b w:val="false"/>
                <w:sz w:val="16"/>
              </w:rPr>
              <w:t>)</w:t>
            </w:r>
          </w:p>
        </w:tc>
      </w:tr>
      <w:tr>
        <w:trPr/>
        <w:tc>
          <w:tcPr>
            <w:tcW w:w="7242" w:type="dxa"/>
            <w:tcBorders/>
            <w:shd w:fill="auto" w:val="clear"/>
            <w:vAlign w:val="center"/>
          </w:tcPr>
          <w:p>
            <w:pPr>
              <w:pStyle w:val="TableContents"/>
              <w:spacing w:lineRule="auto" w:line="312" w:before="0" w:after="0"/>
              <w:ind w:left="400" w:right="0" w:hanging="0"/>
              <w:jc w:val="left"/>
              <w:rPr>
                <w:rFonts w:ascii="Times New Roman" w:hAnsi="Times New Roman"/>
                <w:b/>
                <w:sz w:val="16"/>
              </w:rPr>
            </w:pPr>
            <w:r>
              <w:rPr>
                <w:rFonts w:ascii="Times New Roman" w:hAnsi="Times New Roman"/>
                <w:b/>
                <w:sz w:val="16"/>
              </w:rPr>
              <w:t>Total stockholders’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(130,185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(111,249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rFonts w:ascii="Times New Roman" w:hAnsi="Times New Roman"/>
                <w:b w:val="false"/>
                <w:sz w:val="16"/>
              </w:rPr>
            </w:pPr>
            <w:r>
              <w:rPr>
                <w:rFonts w:ascii="Times New Roman" w:hAnsi="Times New Roman"/>
                <w:b w:val="false"/>
                <w:sz w:val="16"/>
              </w:rPr>
              <w:t>)</w:t>
            </w:r>
          </w:p>
        </w:tc>
      </w:tr>
      <w:tr>
        <w:trPr/>
        <w:tc>
          <w:tcPr>
            <w:tcW w:w="7242" w:type="dxa"/>
            <w:tcBorders/>
            <w:shd w:fill="auto" w:val="clear"/>
            <w:vAlign w:val="center"/>
          </w:tcPr>
          <w:p>
            <w:pPr>
              <w:pStyle w:val="TableContents"/>
              <w:spacing w:lineRule="auto" w:line="312" w:before="0" w:after="0"/>
              <w:ind w:left="400" w:right="0" w:hanging="0"/>
              <w:jc w:val="left"/>
              <w:rPr>
                <w:rFonts w:ascii="Times New Roman" w:hAnsi="Times New Roman"/>
                <w:b/>
                <w:sz w:val="16"/>
              </w:rPr>
            </w:pPr>
            <w:r>
              <w:rPr>
                <w:rFonts w:ascii="Times New Roman" w:hAnsi="Times New Roman"/>
                <w:b/>
                <w:sz w:val="16"/>
              </w:rPr>
              <w:t>Total liabilities, convertible preferred stock and stockholders’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105,483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88,963</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6</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2"/>
        </w:rPr>
        <w:t>Xometry, Inc. and Subsidiaries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Unaudited Condensed Consolidated Statements of Operations and Comprehensive Loss</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 except per share amounts)</w:t>
      </w:r>
    </w:p>
    <w:tbl>
      <w:tblPr>
        <w:tblW w:w="10205" w:type="dxa"/>
        <w:jc w:val="left"/>
        <w:tblInd w:w="0" w:type="dxa"/>
        <w:tblCellMar>
          <w:top w:w="28" w:type="dxa"/>
          <w:left w:w="28" w:type="dxa"/>
          <w:bottom w:w="28" w:type="dxa"/>
          <w:right w:w="28" w:type="dxa"/>
        </w:tblCellMar>
      </w:tblPr>
      <w:tblGrid>
        <w:gridCol w:w="3784"/>
        <w:gridCol w:w="146"/>
        <w:gridCol w:w="211"/>
        <w:gridCol w:w="931"/>
        <w:gridCol w:w="166"/>
        <w:gridCol w:w="146"/>
        <w:gridCol w:w="211"/>
        <w:gridCol w:w="931"/>
        <w:gridCol w:w="166"/>
        <w:gridCol w:w="146"/>
        <w:gridCol w:w="211"/>
        <w:gridCol w:w="931"/>
        <w:gridCol w:w="166"/>
        <w:gridCol w:w="146"/>
        <w:gridCol w:w="211"/>
        <w:gridCol w:w="931"/>
        <w:gridCol w:w="771"/>
      </w:tblGrid>
      <w:tr>
        <w:trPr/>
        <w:tc>
          <w:tcPr>
            <w:tcW w:w="3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r>
      <w:tr>
        <w:trPr/>
        <w:tc>
          <w:tcPr>
            <w:tcW w:w="378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 Ended</w:t>
              <w:br/>
              <w:t>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w:t>
              <w:br/>
              <w:t>June 30,</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78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78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6" w:type="dxa"/>
            <w:gridSpan w:val="6"/>
            <w:tcBorders/>
            <w:shd w:fill="auto" w:val="clear"/>
            <w:vAlign w:val="center"/>
          </w:tcPr>
          <w:p>
            <w:pPr>
              <w:pStyle w:val="TableContents"/>
              <w:spacing w:lineRule="auto" w:line="312" w:before="0" w:after="0"/>
              <w:ind w:left="0" w:right="0" w:hanging="0"/>
              <w:jc w:val="center"/>
              <w:rPr/>
            </w:pPr>
            <w:r>
              <w:rPr/>
              <w:t> </w:t>
            </w:r>
          </w:p>
        </w:tc>
        <w:tc>
          <w:tcPr>
            <w:tcW w:w="771" w:type="dxa"/>
            <w:tcBorders/>
            <w:shd w:fill="auto" w:val="clear"/>
            <w:vAlign w:val="center"/>
          </w:tcPr>
          <w:p>
            <w:pPr>
              <w:pStyle w:val="TableContents"/>
              <w:spacing w:lineRule="auto" w:line="312" w:before="0" w:after="0"/>
              <w:ind w:left="0" w:right="0" w:hanging="0"/>
              <w:jc w:val="center"/>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50,589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34,783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94,510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61,472</w:t>
            </w:r>
          </w:p>
        </w:tc>
        <w:tc>
          <w:tcPr>
            <w:tcW w:w="771" w:type="dxa"/>
            <w:tcBorders/>
            <w:shd w:fill="auto" w:val="clear"/>
            <w:vAlign w:val="center"/>
          </w:tcPr>
          <w:p>
            <w:pPr>
              <w:pStyle w:val="TableContents"/>
              <w:spacing w:lineRule="auto" w:line="312" w:before="0" w:after="0"/>
              <w:ind w:left="0" w:right="0" w:hanging="0"/>
              <w:jc w:val="lef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Cost of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38,714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26,518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72,800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47,841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784" w:type="dxa"/>
            <w:tcBorders/>
            <w:shd w:fill="auto" w:val="clear"/>
            <w:vAlign w:val="center"/>
          </w:tcPr>
          <w:p>
            <w:pPr>
              <w:pStyle w:val="TableContents"/>
              <w:spacing w:lineRule="auto" w:line="312" w:before="0" w:after="0"/>
              <w:ind w:left="280" w:right="0" w:hanging="0"/>
              <w:jc w:val="left"/>
              <w:rPr>
                <w:rFonts w:ascii="Times New Roman" w:hAnsi="Times New Roman"/>
                <w:b/>
                <w:sz w:val="20"/>
              </w:rPr>
            </w:pPr>
            <w:r>
              <w:rPr>
                <w:rFonts w:ascii="Times New Roman" w:hAnsi="Times New Roman"/>
                <w:b/>
                <w:sz w:val="20"/>
              </w:rPr>
              <w:t>Gross profit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11,875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8,265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21,710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13,631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Sales and marketing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8,858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16,422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9,856</w:t>
            </w:r>
          </w:p>
        </w:tc>
        <w:tc>
          <w:tcPr>
            <w:tcW w:w="771" w:type="dxa"/>
            <w:tcBorders/>
            <w:shd w:fill="auto" w:val="clear"/>
            <w:vAlign w:val="center"/>
          </w:tcPr>
          <w:p>
            <w:pPr>
              <w:pStyle w:val="TableContents"/>
              <w:spacing w:lineRule="auto" w:line="312" w:before="0" w:after="0"/>
              <w:ind w:left="0" w:right="0" w:hanging="0"/>
              <w:jc w:val="lef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Operations and support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5,489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3,173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9,820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6,466</w:t>
            </w:r>
          </w:p>
        </w:tc>
        <w:tc>
          <w:tcPr>
            <w:tcW w:w="771" w:type="dxa"/>
            <w:tcBorders/>
            <w:shd w:fill="auto" w:val="clear"/>
            <w:vAlign w:val="center"/>
          </w:tcPr>
          <w:p>
            <w:pPr>
              <w:pStyle w:val="TableContents"/>
              <w:spacing w:lineRule="auto" w:line="312" w:before="0" w:after="0"/>
              <w:ind w:left="0" w:right="0" w:hanging="0"/>
              <w:jc w:val="lef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Product development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4,091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2,919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7,755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5,877</w:t>
            </w:r>
          </w:p>
        </w:tc>
        <w:tc>
          <w:tcPr>
            <w:tcW w:w="771" w:type="dxa"/>
            <w:tcBorders/>
            <w:shd w:fill="auto" w:val="clear"/>
            <w:vAlign w:val="center"/>
          </w:tcPr>
          <w:p>
            <w:pPr>
              <w:pStyle w:val="TableContents"/>
              <w:spacing w:lineRule="auto" w:line="312" w:before="0" w:after="0"/>
              <w:ind w:left="0" w:right="0" w:hanging="0"/>
              <w:jc w:val="lef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5,238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5,510</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23,676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13,991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43,559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27,709</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784" w:type="dxa"/>
            <w:tcBorders/>
            <w:shd w:fill="auto" w:val="clear"/>
            <w:vAlign w:val="center"/>
          </w:tcPr>
          <w:p>
            <w:pPr>
              <w:pStyle w:val="TableContents"/>
              <w:spacing w:lineRule="auto" w:line="312" w:before="0" w:after="0"/>
              <w:ind w:left="280" w:right="0" w:hanging="0"/>
              <w:jc w:val="left"/>
              <w:rPr>
                <w:rFonts w:ascii="Times New Roman" w:hAnsi="Times New Roman"/>
                <w:b/>
                <w:sz w:val="20"/>
              </w:rPr>
            </w:pPr>
            <w:r>
              <w:rPr>
                <w:rFonts w:ascii="Times New Roman" w:hAnsi="Times New Roman"/>
                <w:b/>
                <w:sz w:val="20"/>
              </w:rPr>
              <w:t>Loss from operations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(11,801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(5,726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(21,849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(14,078</w:t>
            </w:r>
          </w:p>
        </w:tc>
        <w:tc>
          <w:tcPr>
            <w:tcW w:w="7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Other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righ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expense,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(264</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(417</w:t>
            </w:r>
          </w:p>
        </w:tc>
        <w:tc>
          <w:tcPr>
            <w:tcW w:w="7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other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(648</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280" w:right="0" w:hanging="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(12,264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(22,765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(14,726</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 per share, basic and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(0.82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(1.99</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 xml:space="preserve">Weighted-average number of shares outstanding used to compute </w:t>
              <w:br/>
              <w:t>   net loss per share, basic and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8,390,088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7,473,918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8,158,753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7,414,295</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784"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right"/>
              <w:rPr/>
            </w:pPr>
            <w:r>
              <w:rPr/>
              <w:t> </w:t>
            </w:r>
          </w:p>
        </w:tc>
      </w:tr>
      <w:tr>
        <w:trPr/>
        <w:tc>
          <w:tcPr>
            <w:tcW w:w="3784"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hanging="0"/>
              <w:jc w:val="right"/>
              <w:rPr/>
            </w:pPr>
            <w:r>
              <w:rPr/>
              <w:t> </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Comprehensive (loss)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firstLine="280"/>
              <w:jc w:val="right"/>
              <w:rPr/>
            </w:pPr>
            <w:r>
              <w:rPr/>
              <w:t> </w:t>
            </w:r>
          </w:p>
        </w:tc>
      </w:tr>
      <w:tr>
        <w:trPr/>
        <w:tc>
          <w:tcPr>
            <w:tcW w:w="3784"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Foreign currency translation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other comprehensive (loss)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(12,264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(22,765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(14,726</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comprehensive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(12,277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(6,097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(22,748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(14,753</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0" w:after="0"/>
        <w:jc w:val="center"/>
        <w:rPr/>
      </w:pPr>
      <w:r>
        <w:rPr/>
        <w:t> </w:t>
      </w:r>
    </w:p>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7</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2"/>
        </w:rPr>
      </w:pPr>
      <w:r>
        <w:rPr>
          <w:rFonts w:ascii="Times New Roman" w:hAnsi="Times New Roman"/>
          <w:b/>
          <w:sz w:val="22"/>
        </w:rPr>
        <w:t>Xometry, Inc. and Subsidiaries</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Unaudited Condensed Consolidated Statements of Cash Flows</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w:t>
      </w:r>
    </w:p>
    <w:tbl>
      <w:tblPr>
        <w:tblW w:w="8604" w:type="dxa"/>
        <w:jc w:val="left"/>
        <w:tblInd w:w="0" w:type="dxa"/>
        <w:tblCellMar>
          <w:top w:w="28" w:type="dxa"/>
          <w:left w:w="28" w:type="dxa"/>
          <w:bottom w:w="28" w:type="dxa"/>
          <w:right w:w="28" w:type="dxa"/>
        </w:tblCellMar>
      </w:tblPr>
      <w:tblGrid>
        <w:gridCol w:w="5221"/>
        <w:gridCol w:w="146"/>
        <w:gridCol w:w="196"/>
        <w:gridCol w:w="661"/>
        <w:gridCol w:w="566"/>
        <w:gridCol w:w="146"/>
        <w:gridCol w:w="196"/>
        <w:gridCol w:w="661"/>
        <w:gridCol w:w="811"/>
      </w:tblGrid>
      <w:tr>
        <w:trPr/>
        <w:tc>
          <w:tcPr>
            <w:tcW w:w="5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522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2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w:t>
              <w:br/>
              <w:t>June 30,</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522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flows from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firstLine="200"/>
              <w:jc w:val="righ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(22,765</w:t>
            </w:r>
          </w:p>
        </w:tc>
        <w:tc>
          <w:tcPr>
            <w:tcW w:w="5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(14,726</w:t>
            </w:r>
          </w:p>
        </w:tc>
        <w:tc>
          <w:tcPr>
            <w:tcW w:w="8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Adjustments to reconcile net loss to net cash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firstLine="400"/>
              <w:jc w:val="right"/>
              <w:rPr/>
            </w:pPr>
            <w:r>
              <w:rPr/>
              <w:t> </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val="false"/>
                <w:sz w:val="18"/>
              </w:rPr>
            </w:pPr>
            <w:r>
              <w:rPr>
                <w:rFonts w:ascii="Times New Roman" w:hAnsi="Times New Roman"/>
                <w:b w:val="false"/>
                <w:sz w:val="18"/>
              </w:rPr>
              <w:t>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1,487</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1,389</w:t>
            </w:r>
          </w:p>
        </w:tc>
        <w:tc>
          <w:tcPr>
            <w:tcW w:w="811" w:type="dxa"/>
            <w:tcBorders/>
            <w:shd w:fill="auto" w:val="clear"/>
            <w:vAlign w:val="center"/>
          </w:tcPr>
          <w:p>
            <w:pPr>
              <w:pStyle w:val="TableContents"/>
              <w:spacing w:lineRule="auto" w:line="312" w:before="0" w:after="0"/>
              <w:ind w:left="0" w:right="0" w:firstLine="400"/>
              <w:jc w:val="left"/>
              <w:rPr/>
            </w:pPr>
            <w:r>
              <w:rPr/>
              <w:t> </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val="false"/>
                <w:sz w:val="18"/>
              </w:rPr>
            </w:pPr>
            <w:r>
              <w:rPr>
                <w:rFonts w:ascii="Times New Roman" w:hAnsi="Times New Roman"/>
                <w:b w:val="false"/>
                <w:sz w:val="18"/>
              </w:rPr>
              <w:t>Reduction in carrying amount of right-of-use asset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543</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509</w:t>
            </w:r>
          </w:p>
        </w:tc>
        <w:tc>
          <w:tcPr>
            <w:tcW w:w="811" w:type="dxa"/>
            <w:tcBorders/>
            <w:shd w:fill="auto" w:val="clear"/>
            <w:vAlign w:val="center"/>
          </w:tcPr>
          <w:p>
            <w:pPr>
              <w:pStyle w:val="TableContents"/>
              <w:spacing w:lineRule="auto" w:line="312" w:before="0" w:after="0"/>
              <w:ind w:left="0" w:right="0" w:firstLine="400"/>
              <w:jc w:val="left"/>
              <w:rPr/>
            </w:pPr>
            <w:r>
              <w:rPr/>
              <w:t> </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val="false"/>
                <w:sz w:val="18"/>
              </w:rPr>
            </w:pPr>
            <w:r>
              <w:rPr>
                <w:rFonts w:ascii="Times New Roman" w:hAnsi="Times New Roman"/>
                <w:b w:val="false"/>
                <w:sz w:val="18"/>
              </w:rPr>
              <w:t>Stock 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2,480</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386</w:t>
            </w:r>
          </w:p>
        </w:tc>
        <w:tc>
          <w:tcPr>
            <w:tcW w:w="811" w:type="dxa"/>
            <w:tcBorders/>
            <w:shd w:fill="auto" w:val="clear"/>
            <w:vAlign w:val="center"/>
          </w:tcPr>
          <w:p>
            <w:pPr>
              <w:pStyle w:val="TableContents"/>
              <w:spacing w:lineRule="auto" w:line="312" w:before="0" w:after="0"/>
              <w:ind w:left="0" w:right="0" w:firstLine="400"/>
              <w:jc w:val="left"/>
              <w:rPr/>
            </w:pPr>
            <w:r>
              <w:rPr/>
              <w:t> </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val="false"/>
                <w:sz w:val="18"/>
              </w:rPr>
            </w:pPr>
            <w:r>
              <w:rPr>
                <w:rFonts w:ascii="Times New Roman" w:hAnsi="Times New Roman"/>
                <w:b w:val="false"/>
                <w:sz w:val="18"/>
              </w:rPr>
              <w:t>Non-cash 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111</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156</w:t>
            </w:r>
          </w:p>
        </w:tc>
        <w:tc>
          <w:tcPr>
            <w:tcW w:w="811" w:type="dxa"/>
            <w:tcBorders/>
            <w:shd w:fill="auto" w:val="clear"/>
            <w:vAlign w:val="center"/>
          </w:tcPr>
          <w:p>
            <w:pPr>
              <w:pStyle w:val="TableContents"/>
              <w:spacing w:lineRule="auto" w:line="312" w:before="0" w:after="0"/>
              <w:ind w:left="0" w:right="0" w:firstLine="400"/>
              <w:jc w:val="left"/>
              <w:rPr/>
            </w:pPr>
            <w:r>
              <w:rPr/>
              <w:t> </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val="false"/>
                <w:sz w:val="18"/>
              </w:rPr>
            </w:pPr>
            <w:r>
              <w:rPr>
                <w:rFonts w:ascii="Times New Roman" w:hAnsi="Times New Roman"/>
                <w:b w:val="false"/>
                <w:sz w:val="18"/>
              </w:rPr>
              <w:t>Changes in other assets and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firstLine="600"/>
              <w:jc w:val="right"/>
              <w:rPr/>
            </w:pPr>
            <w:r>
              <w:rPr/>
              <w:t> </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Accounts receivable,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(6,874</w:t>
            </w:r>
          </w:p>
        </w:tc>
        <w:tc>
          <w:tcPr>
            <w:tcW w:w="5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(768</w:t>
            </w:r>
          </w:p>
        </w:tc>
        <w:tc>
          <w:tcPr>
            <w:tcW w:w="811" w:type="dxa"/>
            <w:tcBorders/>
            <w:shd w:fill="auto" w:val="clear"/>
            <w:vAlign w:val="center"/>
          </w:tcPr>
          <w:p>
            <w:pPr>
              <w:pStyle w:val="TableContents"/>
              <w:spacing w:lineRule="auto" w:line="312" w:before="0" w:after="0"/>
              <w:ind w:left="0" w:right="0" w:firstLine="6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Inventory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778</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(772</w:t>
            </w:r>
          </w:p>
        </w:tc>
        <w:tc>
          <w:tcPr>
            <w:tcW w:w="811" w:type="dxa"/>
            <w:tcBorders/>
            <w:shd w:fill="auto" w:val="clear"/>
            <w:vAlign w:val="center"/>
          </w:tcPr>
          <w:p>
            <w:pPr>
              <w:pStyle w:val="TableContents"/>
              <w:spacing w:lineRule="auto" w:line="312" w:before="0" w:after="0"/>
              <w:ind w:left="0" w:right="0" w:firstLine="6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Prepaid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(5,270</w:t>
            </w:r>
          </w:p>
        </w:tc>
        <w:tc>
          <w:tcPr>
            <w:tcW w:w="5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w:t>
            </w:r>
          </w:p>
        </w:tc>
        <w:tc>
          <w:tcPr>
            <w:tcW w:w="811" w:type="dxa"/>
            <w:tcBorders/>
            <w:shd w:fill="auto" w:val="clear"/>
            <w:vAlign w:val="center"/>
          </w:tcPr>
          <w:p>
            <w:pPr>
              <w:pStyle w:val="TableContents"/>
              <w:spacing w:lineRule="auto" w:line="312" w:before="0" w:after="0"/>
              <w:ind w:left="0" w:right="0" w:firstLine="6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Other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500</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w:t>
            </w:r>
          </w:p>
        </w:tc>
        <w:tc>
          <w:tcPr>
            <w:tcW w:w="811" w:type="dxa"/>
            <w:tcBorders/>
            <w:shd w:fill="auto" w:val="clear"/>
            <w:vAlign w:val="center"/>
          </w:tcPr>
          <w:p>
            <w:pPr>
              <w:pStyle w:val="TableContents"/>
              <w:spacing w:lineRule="auto" w:line="312" w:before="0" w:after="0"/>
              <w:ind w:left="0" w:right="0" w:firstLine="600"/>
              <w:jc w:val="left"/>
              <w:rPr/>
            </w:pPr>
            <w:r>
              <w:rPr/>
              <w:t> </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Accounts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7,522</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(260</w:t>
            </w:r>
          </w:p>
        </w:tc>
        <w:tc>
          <w:tcPr>
            <w:tcW w:w="811" w:type="dxa"/>
            <w:tcBorders/>
            <w:shd w:fill="auto" w:val="clear"/>
            <w:vAlign w:val="center"/>
          </w:tcPr>
          <w:p>
            <w:pPr>
              <w:pStyle w:val="TableContents"/>
              <w:spacing w:lineRule="auto" w:line="312" w:before="0" w:after="0"/>
              <w:ind w:left="0" w:right="0" w:firstLine="6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Accrued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(453</w:t>
            </w:r>
          </w:p>
        </w:tc>
        <w:tc>
          <w:tcPr>
            <w:tcW w:w="5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2,080</w:t>
            </w:r>
          </w:p>
        </w:tc>
        <w:tc>
          <w:tcPr>
            <w:tcW w:w="811" w:type="dxa"/>
            <w:tcBorders/>
            <w:shd w:fill="auto" w:val="clear"/>
            <w:vAlign w:val="center"/>
          </w:tcPr>
          <w:p>
            <w:pPr>
              <w:pStyle w:val="TableContents"/>
              <w:spacing w:lineRule="auto" w:line="312" w:before="0" w:after="0"/>
              <w:ind w:left="0" w:right="0" w:firstLine="600"/>
              <w:jc w:val="left"/>
              <w:rPr/>
            </w:pPr>
            <w:r>
              <w:rPr/>
              <w:t> </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Contract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1,915</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790</w:t>
            </w:r>
          </w:p>
        </w:tc>
        <w:tc>
          <w:tcPr>
            <w:tcW w:w="811" w:type="dxa"/>
            <w:tcBorders/>
            <w:shd w:fill="auto" w:val="clear"/>
            <w:vAlign w:val="center"/>
          </w:tcPr>
          <w:p>
            <w:pPr>
              <w:pStyle w:val="TableContents"/>
              <w:spacing w:lineRule="auto" w:line="312" w:before="0" w:after="0"/>
              <w:ind w:left="0" w:right="0" w:firstLine="600"/>
              <w:jc w:val="left"/>
              <w:rPr/>
            </w:pPr>
            <w:r>
              <w:rPr/>
              <w:t> </w:t>
            </w:r>
          </w:p>
        </w:tc>
      </w:tr>
      <w:tr>
        <w:trPr/>
        <w:tc>
          <w:tcPr>
            <w:tcW w:w="5221" w:type="dxa"/>
            <w:tcBorders/>
            <w:shd w:fill="auto" w:val="clear"/>
            <w:vAlign w:val="center"/>
          </w:tcPr>
          <w:p>
            <w:pPr>
              <w:pStyle w:val="TableContents"/>
              <w:spacing w:lineRule="auto" w:line="312" w:before="0" w:after="0"/>
              <w:ind w:left="600" w:right="0" w:hanging="0"/>
              <w:jc w:val="left"/>
              <w:rPr>
                <w:rFonts w:ascii="Times New Roman" w:hAnsi="Times New Roman"/>
                <w:b w:val="false"/>
                <w:sz w:val="18"/>
              </w:rPr>
            </w:pPr>
            <w:r>
              <w:rPr>
                <w:rFonts w:ascii="Times New Roman" w:hAnsi="Times New Roman"/>
                <w:b w:val="false"/>
                <w:sz w:val="18"/>
              </w:rPr>
              <w:t>Lease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(534</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(444</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sz w:val="18"/>
              </w:rPr>
            </w:pPr>
            <w:r>
              <w:rPr>
                <w:rFonts w:ascii="Times New Roman" w:hAnsi="Times New Roman"/>
                <w:b/>
                <w:sz w:val="18"/>
              </w:rPr>
              <w:t>Net cash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(20,560</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(11,650</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flows from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firstLine="200"/>
              <w:jc w:val="righ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Purchase of short-term investments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(17,711</w:t>
            </w:r>
          </w:p>
        </w:tc>
        <w:tc>
          <w:tcPr>
            <w:tcW w:w="8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Proceeds from short-term investments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28,571</w:t>
            </w:r>
          </w:p>
        </w:tc>
        <w:tc>
          <w:tcPr>
            <w:tcW w:w="811" w:type="dxa"/>
            <w:tcBorders/>
            <w:shd w:fill="auto" w:val="clear"/>
            <w:vAlign w:val="center"/>
          </w:tcPr>
          <w:p>
            <w:pPr>
              <w:pStyle w:val="TableContents"/>
              <w:spacing w:lineRule="auto" w:line="312" w:before="0" w:after="0"/>
              <w:ind w:left="0" w:right="0" w:firstLine="200"/>
              <w:jc w:val="lef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Purchases of property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(2,748</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(1,966</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sz w:val="18"/>
              </w:rPr>
            </w:pPr>
            <w:r>
              <w:rPr>
                <w:rFonts w:ascii="Times New Roman" w:hAnsi="Times New Roman"/>
                <w:b/>
                <w:sz w:val="18"/>
              </w:rPr>
              <w:t>Net cash (used in) provided by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(2,748</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8,894</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flows from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firstLine="200"/>
              <w:jc w:val="righ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Proceeds from stock options exercised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1,332</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163</w:t>
            </w:r>
          </w:p>
        </w:tc>
        <w:tc>
          <w:tcPr>
            <w:tcW w:w="811" w:type="dxa"/>
            <w:tcBorders/>
            <w:shd w:fill="auto" w:val="clear"/>
            <w:vAlign w:val="center"/>
          </w:tcPr>
          <w:p>
            <w:pPr>
              <w:pStyle w:val="TableContents"/>
              <w:spacing w:lineRule="auto" w:line="312" w:before="0" w:after="0"/>
              <w:ind w:left="0" w:right="0" w:firstLine="200"/>
              <w:jc w:val="lef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Proceeds from term loan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4,000</w:t>
            </w:r>
          </w:p>
        </w:tc>
        <w:tc>
          <w:tcPr>
            <w:tcW w:w="811" w:type="dxa"/>
            <w:tcBorders/>
            <w:shd w:fill="auto" w:val="clear"/>
            <w:vAlign w:val="center"/>
          </w:tcPr>
          <w:p>
            <w:pPr>
              <w:pStyle w:val="TableContents"/>
              <w:spacing w:lineRule="auto" w:line="312" w:before="0" w:after="0"/>
              <w:ind w:left="0" w:right="0" w:firstLine="200"/>
              <w:jc w:val="lef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Proceeds from other borrowings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4,783</w:t>
            </w:r>
          </w:p>
        </w:tc>
        <w:tc>
          <w:tcPr>
            <w:tcW w:w="811" w:type="dxa"/>
            <w:tcBorders/>
            <w:shd w:fill="auto" w:val="clear"/>
            <w:vAlign w:val="center"/>
          </w:tcPr>
          <w:p>
            <w:pPr>
              <w:pStyle w:val="TableContents"/>
              <w:spacing w:lineRule="auto" w:line="312" w:before="0" w:after="0"/>
              <w:ind w:left="0" w:right="0" w:firstLine="200"/>
              <w:jc w:val="lef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Payments on finance lease obligations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w:t>
            </w:r>
          </w:p>
        </w:tc>
        <w:tc>
          <w:tcPr>
            <w:tcW w:w="5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w:t>
            </w:r>
          </w:p>
        </w:tc>
        <w:tc>
          <w:tcPr>
            <w:tcW w:w="8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Payments in connection with initial public offering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(524</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5221" w:type="dxa"/>
            <w:tcBorders/>
            <w:shd w:fill="auto" w:val="clear"/>
            <w:vAlign w:val="center"/>
          </w:tcPr>
          <w:p>
            <w:pPr>
              <w:pStyle w:val="TableContents"/>
              <w:spacing w:lineRule="auto" w:line="312" w:before="0" w:after="0"/>
              <w:ind w:left="400" w:right="0" w:hanging="0"/>
              <w:jc w:val="left"/>
              <w:rPr>
                <w:rFonts w:ascii="Times New Roman" w:hAnsi="Times New Roman"/>
                <w:b/>
                <w:sz w:val="18"/>
              </w:rPr>
            </w:pPr>
            <w:r>
              <w:rPr>
                <w:rFonts w:ascii="Times New Roman" w:hAnsi="Times New Roman"/>
                <w:b/>
                <w:sz w:val="18"/>
              </w:rPr>
              <w:t>Net cash provided by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802</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8,940</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00"/>
              <w:jc w:val="left"/>
              <w:rPr/>
            </w:pPr>
            <w:r>
              <w:rPr/>
              <w:t> </w:t>
            </w:r>
          </w:p>
        </w:tc>
      </w:tr>
      <w:tr>
        <w:trPr/>
        <w:tc>
          <w:tcPr>
            <w:tcW w:w="522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Effect of foreign currency translation on cash and cash equivalents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rFonts w:ascii="Times New Roman" w:hAnsi="Times New Roman"/>
                <w:b w:val="false"/>
                <w:sz w:val="18"/>
              </w:rPr>
            </w:pPr>
            <w:r>
              <w:rPr>
                <w:rFonts w:ascii="Times New Roman" w:hAnsi="Times New Roman"/>
                <w:b w:val="false"/>
                <w:sz w:val="18"/>
              </w:rPr>
              <w:t>)</w:t>
            </w:r>
          </w:p>
        </w:tc>
      </w:tr>
      <w:tr>
        <w:trPr/>
        <w:tc>
          <w:tcPr>
            <w:tcW w:w="5221" w:type="dxa"/>
            <w:tcBorders/>
            <w:shd w:fill="auto" w:val="clear"/>
            <w:vAlign w:val="center"/>
          </w:tcPr>
          <w:p>
            <w:pPr>
              <w:pStyle w:val="TableContents"/>
              <w:spacing w:lineRule="auto" w:line="312" w:before="0" w:after="0"/>
              <w:ind w:left="0" w:right="0" w:firstLine="400"/>
              <w:jc w:val="left"/>
              <w:rPr>
                <w:rFonts w:ascii="Times New Roman" w:hAnsi="Times New Roman"/>
                <w:b/>
                <w:sz w:val="18"/>
              </w:rPr>
            </w:pPr>
            <w:r>
              <w:rPr>
                <w:rFonts w:ascii="Times New Roman" w:hAnsi="Times New Roman"/>
                <w:b/>
                <w:sz w:val="18"/>
              </w:rPr>
              <w:t>Net (decrease) increase in cash and cash equivalents</w:t>
            </w:r>
          </w:p>
        </w:tc>
        <w:tc>
          <w:tcPr>
            <w:tcW w:w="146" w:type="dxa"/>
            <w:tcBorders/>
            <w:shd w:fill="auto" w:val="clear"/>
            <w:vAlign w:val="center"/>
          </w:tcPr>
          <w:p>
            <w:pPr>
              <w:pStyle w:val="TableContents"/>
              <w:spacing w:lineRule="auto" w:line="312" w:before="0" w:after="0"/>
              <w:ind w:left="40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(22,523</w:t>
            </w:r>
          </w:p>
        </w:tc>
        <w:tc>
          <w:tcPr>
            <w:tcW w:w="566" w:type="dxa"/>
            <w:tcBorders/>
            <w:shd w:fill="auto" w:val="clear"/>
            <w:vAlign w:val="center"/>
          </w:tcPr>
          <w:p>
            <w:pPr>
              <w:pStyle w:val="TableContents"/>
              <w:spacing w:lineRule="auto" w:line="312" w:before="0" w:after="0"/>
              <w:ind w:left="0" w:right="0" w:firstLine="40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40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6,182</w:t>
            </w:r>
          </w:p>
        </w:tc>
        <w:tc>
          <w:tcPr>
            <w:tcW w:w="811" w:type="dxa"/>
            <w:tcBorders/>
            <w:shd w:fill="auto" w:val="clear"/>
            <w:vAlign w:val="center"/>
          </w:tcPr>
          <w:p>
            <w:pPr>
              <w:pStyle w:val="TableContents"/>
              <w:spacing w:lineRule="auto" w:line="312" w:before="0" w:after="0"/>
              <w:ind w:left="0" w:right="0" w:hanging="0"/>
              <w:jc w:val="lef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and cash equivalents at beginning of period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59,874</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40,122</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Cash and cash equivalents at end of period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37,351</w:t>
            </w:r>
          </w:p>
        </w:tc>
        <w:tc>
          <w:tcPr>
            <w:tcW w:w="5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46,304</w:t>
            </w:r>
          </w:p>
        </w:tc>
        <w:tc>
          <w:tcPr>
            <w:tcW w:w="8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Supplemental cash flow information: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hanging="0"/>
              <w:jc w:val="righ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Cash paid for interest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659</w:t>
            </w:r>
          </w:p>
        </w:tc>
        <w:tc>
          <w:tcPr>
            <w:tcW w:w="5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605</w:t>
            </w:r>
          </w:p>
        </w:tc>
        <w:tc>
          <w:tcPr>
            <w:tcW w:w="811" w:type="dxa"/>
            <w:tcBorders/>
            <w:shd w:fill="auto" w:val="clear"/>
            <w:vAlign w:val="center"/>
          </w:tcPr>
          <w:p>
            <w:pPr>
              <w:pStyle w:val="TableContents"/>
              <w:spacing w:lineRule="auto" w:line="312" w:before="0" w:after="0"/>
              <w:ind w:left="0" w:right="0" w:hanging="0"/>
              <w:jc w:val="lef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Non-cash investing activity: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hanging="0"/>
              <w:jc w:val="righ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Non-cash purchase of property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(150</w:t>
            </w:r>
          </w:p>
        </w:tc>
        <w:tc>
          <w:tcPr>
            <w:tcW w:w="5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811" w:type="dxa"/>
            <w:tcBorders/>
            <w:shd w:fill="auto" w:val="clear"/>
            <w:vAlign w:val="center"/>
          </w:tcPr>
          <w:p>
            <w:pPr>
              <w:pStyle w:val="TableContents"/>
              <w:spacing w:lineRule="auto" w:line="312" w:before="0" w:after="0"/>
              <w:ind w:left="0" w:right="0" w:hanging="0"/>
              <w:jc w:val="lef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Non-cash financing activity: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5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811" w:type="dxa"/>
            <w:tcBorders/>
            <w:shd w:fill="auto" w:val="clear"/>
            <w:vAlign w:val="center"/>
          </w:tcPr>
          <w:p>
            <w:pPr>
              <w:pStyle w:val="TableContents"/>
              <w:spacing w:lineRule="auto" w:line="312" w:before="0" w:after="0"/>
              <w:ind w:left="0" w:right="0" w:hanging="0"/>
              <w:jc w:val="right"/>
              <w:rPr/>
            </w:pPr>
            <w:r>
              <w:rPr/>
              <w:t> </w:t>
            </w:r>
          </w:p>
        </w:tc>
      </w:tr>
      <w:tr>
        <w:trPr/>
        <w:tc>
          <w:tcPr>
            <w:tcW w:w="522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Non-cash amounts incurred in connection with initial public offering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(25,938</w:t>
            </w:r>
          </w:p>
        </w:tc>
        <w:tc>
          <w:tcPr>
            <w:tcW w:w="5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w:t>
            </w:r>
          </w:p>
        </w:tc>
        <w:tc>
          <w:tcPr>
            <w:tcW w:w="81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8</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2"/>
        </w:rPr>
        <w:t>Xometry, Inc. and Subsidiaries</w:t>
      </w:r>
      <w:r>
        <w:rPr>
          <w:rFonts w:ascii="Times New Roman" w:hAnsi="Times New Roman"/>
          <w:sz w:val="20"/>
        </w:rPr>
        <w:t xml:space="preserve"> </w:t>
      </w:r>
    </w:p>
    <w:p>
      <w:pPr>
        <w:pStyle w:val="TextBody"/>
        <w:spacing w:lineRule="auto" w:line="312" w:before="0" w:after="0"/>
        <w:jc w:val="center"/>
        <w:rPr>
          <w:rFonts w:ascii="Times New Roman" w:hAnsi="Times New Roman"/>
          <w:sz w:val="20"/>
        </w:rPr>
      </w:pPr>
      <w:r>
        <w:rPr>
          <w:rFonts w:ascii="Times New Roman" w:hAnsi="Times New Roman"/>
          <w:b w:val="false"/>
          <w:sz w:val="22"/>
        </w:rPr>
        <w:t>Unaudited Reconciliations of Non-GAAP Financial Measures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w:t>
      </w:r>
    </w:p>
    <w:tbl>
      <w:tblPr>
        <w:tblW w:w="8622" w:type="dxa"/>
        <w:jc w:val="left"/>
        <w:tblInd w:w="0" w:type="dxa"/>
        <w:tblCellMar>
          <w:top w:w="28" w:type="dxa"/>
          <w:left w:w="28" w:type="dxa"/>
          <w:bottom w:w="28" w:type="dxa"/>
          <w:right w:w="28" w:type="dxa"/>
        </w:tblCellMar>
      </w:tblPr>
      <w:tblGrid>
        <w:gridCol w:w="3121"/>
        <w:gridCol w:w="146"/>
        <w:gridCol w:w="226"/>
        <w:gridCol w:w="841"/>
        <w:gridCol w:w="181"/>
        <w:gridCol w:w="146"/>
        <w:gridCol w:w="226"/>
        <w:gridCol w:w="721"/>
        <w:gridCol w:w="181"/>
        <w:gridCol w:w="146"/>
        <w:gridCol w:w="226"/>
        <w:gridCol w:w="841"/>
        <w:gridCol w:w="181"/>
        <w:gridCol w:w="146"/>
        <w:gridCol w:w="226"/>
        <w:gridCol w:w="841"/>
        <w:gridCol w:w="226"/>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34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 Ended June 30,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46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 June 30,</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12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121" w:type="dxa"/>
            <w:tcBorders/>
            <w:shd w:fill="auto" w:val="clear"/>
            <w:vAlign w:val="center"/>
          </w:tcPr>
          <w:p>
            <w:pPr>
              <w:pStyle w:val="TableContents"/>
              <w:spacing w:lineRule="auto" w:line="312" w:before="0" w:after="0"/>
              <w:ind w:left="0" w:right="0" w:hanging="0"/>
              <w:jc w:val="left"/>
              <w:rPr>
                <w:rFonts w:ascii="Times New Roman" w:hAnsi="Times New Roman"/>
                <w:b/>
                <w:sz w:val="22"/>
                <w:u w:val="single"/>
              </w:rPr>
            </w:pPr>
            <w:r>
              <w:rPr>
                <w:rFonts w:ascii="Times New Roman" w:hAnsi="Times New Roman"/>
                <w:b/>
                <w:sz w:val="22"/>
                <w:u w:val="single"/>
              </w:rPr>
              <w:t>Adjusted EBITDA: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226" w:type="dxa"/>
            <w:tcBorders/>
            <w:shd w:fill="auto" w:val="clear"/>
            <w:vAlign w:val="center"/>
          </w:tcPr>
          <w:p>
            <w:pPr>
              <w:pStyle w:val="TableContents"/>
              <w:spacing w:lineRule="auto" w:line="312" w:before="0" w:after="0"/>
              <w:ind w:left="0" w:right="0" w:hanging="0"/>
              <w:jc w:val="right"/>
              <w:rPr/>
            </w:pPr>
            <w:r>
              <w:rPr/>
              <w:t> </w:t>
            </w:r>
          </w:p>
        </w:tc>
      </w:tr>
      <w:tr>
        <w:trPr/>
        <w:tc>
          <w:tcPr>
            <w:tcW w:w="312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(12,264</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(6,119</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(22,765</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(14,726</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312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Add (deduct):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226" w:type="dxa"/>
            <w:tcBorders/>
            <w:shd w:fill="auto" w:val="clear"/>
            <w:vAlign w:val="center"/>
          </w:tcPr>
          <w:p>
            <w:pPr>
              <w:pStyle w:val="TableContents"/>
              <w:spacing w:lineRule="auto" w:line="312" w:before="0" w:after="0"/>
              <w:ind w:left="0" w:right="0" w:hanging="0"/>
              <w:jc w:val="right"/>
              <w:rPr/>
            </w:pPr>
            <w:r>
              <w:rPr/>
              <w:t> </w:t>
            </w:r>
          </w:p>
        </w:tc>
      </w:tr>
      <w:tr>
        <w:trPr/>
        <w:tc>
          <w:tcPr>
            <w:tcW w:w="312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226" w:type="dxa"/>
            <w:tcBorders/>
            <w:shd w:fill="auto" w:val="clear"/>
            <w:vAlign w:val="center"/>
          </w:tcPr>
          <w:p>
            <w:pPr>
              <w:pStyle w:val="TableContents"/>
              <w:spacing w:lineRule="auto" w:line="312" w:before="0" w:after="0"/>
              <w:ind w:left="0" w:right="0" w:hanging="0"/>
              <w:jc w:val="right"/>
              <w:rPr/>
            </w:pPr>
            <w:r>
              <w:rPr/>
              <w:t> </w:t>
            </w:r>
          </w:p>
        </w:tc>
      </w:tr>
      <w:tr>
        <w:trPr/>
        <w:tc>
          <w:tcPr>
            <w:tcW w:w="312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Interest and other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463</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393</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916</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648</w:t>
            </w:r>
          </w:p>
        </w:tc>
        <w:tc>
          <w:tcPr>
            <w:tcW w:w="226" w:type="dxa"/>
            <w:tcBorders/>
            <w:shd w:fill="auto" w:val="clear"/>
            <w:vAlign w:val="center"/>
          </w:tcPr>
          <w:p>
            <w:pPr>
              <w:pStyle w:val="TableContents"/>
              <w:spacing w:lineRule="auto" w:line="312" w:before="0" w:after="0"/>
              <w:ind w:left="0" w:right="0" w:hanging="0"/>
              <w:jc w:val="left"/>
              <w:rPr/>
            </w:pPr>
            <w:r>
              <w:rPr/>
              <w:t> </w:t>
            </w:r>
          </w:p>
        </w:tc>
      </w:tr>
      <w:tr>
        <w:trPr/>
        <w:tc>
          <w:tcPr>
            <w:tcW w:w="312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2"/>
              </w:rPr>
              <w:t>Depreciation and amortization</w:t>
            </w:r>
            <w:r>
              <w:rPr>
                <w:rFonts w:ascii="Times New Roman" w:hAnsi="Times New Roman"/>
                <w:b w:val="false"/>
                <w:sz w:val="15"/>
              </w:rPr>
              <w:t>(1)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753</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700</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1,487</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1,389</w:t>
            </w:r>
          </w:p>
        </w:tc>
        <w:tc>
          <w:tcPr>
            <w:tcW w:w="226" w:type="dxa"/>
            <w:tcBorders/>
            <w:shd w:fill="auto" w:val="clear"/>
            <w:vAlign w:val="center"/>
          </w:tcPr>
          <w:p>
            <w:pPr>
              <w:pStyle w:val="TableContents"/>
              <w:spacing w:lineRule="auto" w:line="312" w:before="0" w:after="0"/>
              <w:ind w:left="0" w:right="0" w:hanging="0"/>
              <w:jc w:val="left"/>
              <w:rPr/>
            </w:pPr>
            <w:r>
              <w:rPr/>
              <w:t> </w:t>
            </w:r>
          </w:p>
        </w:tc>
      </w:tr>
      <w:tr>
        <w:trPr/>
        <w:tc>
          <w:tcPr>
            <w:tcW w:w="312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2"/>
              </w:rPr>
              <w:t>Stock-based compensation</w:t>
            </w:r>
            <w:r>
              <w:rPr>
                <w:rFonts w:ascii="Times New Roman" w:hAnsi="Times New Roman"/>
                <w:b w:val="false"/>
                <w:sz w:val="15"/>
              </w:rPr>
              <w:t>(2)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1,975</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238</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2,480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386</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121"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Adjusted EBITDA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(9,073</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(4,788</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(17,882</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(12,303</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bl>
    <w:p>
      <w:pPr>
        <w:pStyle w:val="TextBody"/>
        <w:spacing w:lineRule="auto" w:line="312" w:before="0" w:after="0"/>
        <w:jc w:val="center"/>
        <w:rPr/>
      </w:pPr>
      <w:r>
        <w:rPr/>
        <w:t>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2"/>
        </w:rPr>
      </w:pPr>
      <w:r>
        <w:rPr>
          <w:rFonts w:ascii="Times New Roman" w:hAnsi="Times New Roman"/>
          <w:b w:val="false"/>
          <w:sz w:val="22"/>
        </w:rPr>
        <w:t>(1)</w:t>
      </w:r>
    </w:p>
    <w:p>
      <w:pPr>
        <w:pStyle w:val="TextBody"/>
        <w:spacing w:lineRule="auto" w:line="312" w:before="0" w:after="0"/>
        <w:rPr>
          <w:rFonts w:ascii="Times New Roman" w:hAnsi="Times New Roman"/>
          <w:b w:val="false"/>
          <w:sz w:val="22"/>
        </w:rPr>
      </w:pPr>
      <w:r>
        <w:rPr>
          <w:rFonts w:ascii="Times New Roman" w:hAnsi="Times New Roman"/>
          <w:b w:val="false"/>
          <w:sz w:val="22"/>
        </w:rPr>
        <w:t>Represents depreciation expense of the Company’s long-lived tangible assets and amortization expense of its finite-lived intangible assets, as included in the Company’s GAAP results of operations.</w:t>
      </w:r>
    </w:p>
    <w:p>
      <w:pPr>
        <w:pStyle w:val="TextBody"/>
        <w:spacing w:lineRule="auto" w:line="312" w:before="0" w:after="0"/>
        <w:rPr>
          <w:rFonts w:ascii="Times New Roman" w:hAnsi="Times New Roman"/>
          <w:b w:val="false"/>
          <w:sz w:val="22"/>
        </w:rPr>
      </w:pPr>
      <w:r>
        <w:rPr>
          <w:rFonts w:ascii="Times New Roman" w:hAnsi="Times New Roman"/>
          <w:b w:val="false"/>
          <w:sz w:val="22"/>
        </w:rPr>
        <w:t>(2)</w:t>
      </w:r>
    </w:p>
    <w:p>
      <w:pPr>
        <w:pStyle w:val="TextBody"/>
        <w:spacing w:lineRule="auto" w:line="312"/>
        <w:rPr>
          <w:rFonts w:ascii="Times New Roman" w:hAnsi="Times New Roman"/>
          <w:b w:val="false"/>
          <w:sz w:val="22"/>
        </w:rPr>
      </w:pPr>
      <w:r>
        <w:rPr>
          <w:rFonts w:ascii="Times New Roman" w:hAnsi="Times New Roman"/>
          <w:b w:val="false"/>
          <w:sz w:val="22"/>
        </w:rPr>
        <w:t>Represents the expense related to stock-based awards granted to employees, as included in the Company’s GAAP results of operations.</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9</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2"/>
        </w:rPr>
        <w:t>Xometry, Inc. and Subsidiaries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Unaudited Segment Results</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w:t>
      </w:r>
    </w:p>
    <w:p>
      <w:pPr>
        <w:pStyle w:val="TextBody"/>
        <w:spacing w:lineRule="auto" w:line="312" w:before="0" w:after="0"/>
        <w:jc w:val="center"/>
        <w:rPr/>
      </w:pPr>
      <w:r>
        <w:rPr/>
        <w:t> </w:t>
      </w:r>
    </w:p>
    <w:tbl>
      <w:tblPr>
        <w:tblW w:w="7727" w:type="dxa"/>
        <w:jc w:val="left"/>
        <w:tblInd w:w="0" w:type="dxa"/>
        <w:tblCellMar>
          <w:top w:w="28" w:type="dxa"/>
          <w:left w:w="28" w:type="dxa"/>
          <w:bottom w:w="28" w:type="dxa"/>
          <w:right w:w="28" w:type="dxa"/>
        </w:tblCellMar>
      </w:tblPr>
      <w:tblGrid>
        <w:gridCol w:w="1936"/>
        <w:gridCol w:w="146"/>
        <w:gridCol w:w="226"/>
        <w:gridCol w:w="841"/>
        <w:gridCol w:w="181"/>
        <w:gridCol w:w="146"/>
        <w:gridCol w:w="226"/>
        <w:gridCol w:w="766"/>
        <w:gridCol w:w="181"/>
        <w:gridCol w:w="146"/>
        <w:gridCol w:w="226"/>
        <w:gridCol w:w="841"/>
        <w:gridCol w:w="181"/>
        <w:gridCol w:w="146"/>
        <w:gridCol w:w="226"/>
        <w:gridCol w:w="841"/>
        <w:gridCol w:w="471"/>
      </w:tblGrid>
      <w:tr>
        <w:trPr/>
        <w:tc>
          <w:tcPr>
            <w:tcW w:w="1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8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 Ended June 30,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46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 June 30,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93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936"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Segment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hanging="0"/>
              <w:jc w:val="right"/>
              <w:rPr/>
            </w:pPr>
            <w:r>
              <w:rPr/>
              <w:t> </w:t>
            </w:r>
          </w:p>
        </w:tc>
      </w:tr>
      <w:tr>
        <w:trPr/>
        <w:tc>
          <w:tcPr>
            <w:tcW w:w="19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U.S.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47,228</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76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34,135</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88,526</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60,393</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19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Europe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3,361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648</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5,984</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1,079</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1936" w:type="dxa"/>
            <w:tcBorders/>
            <w:shd w:fill="auto" w:val="clear"/>
            <w:vAlign w:val="center"/>
          </w:tcPr>
          <w:p>
            <w:pPr>
              <w:pStyle w:val="TableContents"/>
              <w:spacing w:lineRule="auto" w:line="312" w:before="0" w:after="0"/>
              <w:ind w:left="280" w:right="0" w:hanging="0"/>
              <w:jc w:val="left"/>
              <w:rPr>
                <w:rFonts w:ascii="Times New Roman" w:hAnsi="Times New Roman"/>
                <w:b w:val="false"/>
                <w:sz w:val="22"/>
              </w:rPr>
            </w:pPr>
            <w:r>
              <w:rPr>
                <w:rFonts w:ascii="Times New Roman" w:hAnsi="Times New Roman"/>
                <w:b w:val="false"/>
                <w:sz w:val="22"/>
              </w:rPr>
              <w:t>Total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50,589</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34,783</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94,510</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61,472</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93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hanging="0"/>
              <w:jc w:val="right"/>
              <w:rPr/>
            </w:pPr>
            <w:r>
              <w:rPr/>
              <w:t> </w:t>
            </w:r>
          </w:p>
        </w:tc>
      </w:tr>
      <w:tr>
        <w:trPr/>
        <w:tc>
          <w:tcPr>
            <w:tcW w:w="1936"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Segment 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67"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hanging="0"/>
              <w:jc w:val="right"/>
              <w:rPr/>
            </w:pPr>
            <w:r>
              <w:rPr/>
              <w:t> </w:t>
            </w:r>
          </w:p>
        </w:tc>
      </w:tr>
      <w:tr>
        <w:trPr/>
        <w:tc>
          <w:tcPr>
            <w:tcW w:w="19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U.S.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(9,440</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766"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(4,548</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(17,602</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(11,991</w:t>
            </w:r>
          </w:p>
        </w:tc>
        <w:tc>
          <w:tcPr>
            <w:tcW w:w="47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19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Europe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(2,824</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(1,571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(5,163</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(2,735</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1936"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Total 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(12,264</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(6,119</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(22,765</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(14,726</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bl>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10</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2"/>
        </w:rPr>
        <w:t>Xometry, Inc. and Subsidiaries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Unaudited Pro Forma Condensed Consolidated Balance Sheet</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w:t>
      </w:r>
    </w:p>
    <w:p>
      <w:pPr>
        <w:pStyle w:val="TextBody"/>
        <w:spacing w:lineRule="auto" w:line="312" w:before="240" w:after="0"/>
        <w:jc w:val="left"/>
        <w:rPr>
          <w:rFonts w:ascii="Times New Roman" w:hAnsi="Times New Roman"/>
          <w:sz w:val="20"/>
        </w:rPr>
      </w:pPr>
      <w:r>
        <w:rPr>
          <w:rFonts w:ascii="Times New Roman" w:hAnsi="Times New Roman"/>
          <w:b w:val="false"/>
          <w:sz w:val="22"/>
        </w:rPr>
        <w:t>The following unaudited pro forma condensed consolidated balance sheet is provided to reflect our cash and capitalization had the IPO occurred on June 30, 2021. The following adjustments have been reflected in the pro forma balance sheet below:</w:t>
      </w:r>
      <w:r>
        <w:rPr>
          <w:rFonts w:ascii="Times New Roman" w:hAnsi="Times New Roman"/>
          <w:sz w:val="20"/>
        </w:rPr>
        <w:t xml:space="preserve"> </w:t>
      </w:r>
    </w:p>
    <w:p>
      <w:pPr>
        <w:pStyle w:val="TextBody"/>
        <w:spacing w:lineRule="auto" w:line="312" w:before="0" w:after="0"/>
        <w:rPr>
          <w:rFonts w:ascii="Times New Roman" w:hAnsi="Times New Roman"/>
          <w:b w:val="false"/>
          <w:sz w:val="22"/>
        </w:rPr>
      </w:pPr>
      <w:r>
        <w:rPr>
          <w:rFonts w:ascii="Times New Roman" w:hAnsi="Times New Roman"/>
          <w:b w:val="false"/>
          <w:sz w:val="22"/>
        </w:rPr>
        <w:t>1.</w:t>
      </w:r>
    </w:p>
    <w:p>
      <w:pPr>
        <w:pStyle w:val="TextBody"/>
        <w:spacing w:lineRule="auto" w:line="312" w:before="0" w:after="0"/>
        <w:rPr>
          <w:rFonts w:ascii="Times New Roman" w:hAnsi="Times New Roman"/>
          <w:b w:val="false"/>
          <w:sz w:val="22"/>
        </w:rPr>
      </w:pPr>
      <w:r>
        <w:rPr>
          <w:rFonts w:ascii="Times New Roman" w:hAnsi="Times New Roman"/>
          <w:b w:val="false"/>
          <w:sz w:val="22"/>
        </w:rPr>
        <w:t>The issuance of 7,906,250 shares of Class A common stock in connection with the IPO and the receipt of $325.3 million of net cash proceeds;</w:t>
      </w:r>
    </w:p>
    <w:p>
      <w:pPr>
        <w:pStyle w:val="TextBody"/>
        <w:spacing w:lineRule="auto" w:line="312" w:before="0" w:after="0"/>
        <w:rPr>
          <w:rFonts w:ascii="Times New Roman" w:hAnsi="Times New Roman"/>
          <w:b w:val="false"/>
          <w:sz w:val="22"/>
        </w:rPr>
      </w:pPr>
      <w:r>
        <w:rPr>
          <w:rFonts w:ascii="Times New Roman" w:hAnsi="Times New Roman"/>
          <w:b w:val="false"/>
          <w:sz w:val="22"/>
        </w:rPr>
        <w:t>2.</w:t>
      </w:r>
    </w:p>
    <w:p>
      <w:pPr>
        <w:pStyle w:val="TextBody"/>
        <w:spacing w:lineRule="auto" w:line="312" w:before="0" w:after="0"/>
        <w:rPr>
          <w:rFonts w:ascii="Times New Roman" w:hAnsi="Times New Roman"/>
          <w:b w:val="false"/>
          <w:sz w:val="22"/>
        </w:rPr>
      </w:pPr>
      <w:r>
        <w:rPr>
          <w:rFonts w:ascii="Times New Roman" w:hAnsi="Times New Roman"/>
          <w:b w:val="false"/>
          <w:sz w:val="22"/>
        </w:rPr>
        <w:t>The repayment of our $15.9 million term loan outstanding;</w:t>
      </w:r>
    </w:p>
    <w:p>
      <w:pPr>
        <w:pStyle w:val="TextBody"/>
        <w:spacing w:lineRule="auto" w:line="312" w:before="0" w:after="0"/>
        <w:rPr>
          <w:rFonts w:ascii="Times New Roman" w:hAnsi="Times New Roman"/>
          <w:b w:val="false"/>
          <w:sz w:val="22"/>
        </w:rPr>
      </w:pPr>
      <w:r>
        <w:rPr>
          <w:rFonts w:ascii="Times New Roman" w:hAnsi="Times New Roman"/>
          <w:b w:val="false"/>
          <w:sz w:val="22"/>
        </w:rPr>
        <w:t>3.</w:t>
      </w:r>
    </w:p>
    <w:p>
      <w:pPr>
        <w:pStyle w:val="TextBody"/>
        <w:spacing w:lineRule="auto" w:line="312" w:before="0" w:after="0"/>
        <w:rPr>
          <w:rFonts w:ascii="Times New Roman" w:hAnsi="Times New Roman"/>
          <w:b w:val="false"/>
          <w:sz w:val="22"/>
        </w:rPr>
      </w:pPr>
      <w:r>
        <w:rPr>
          <w:rFonts w:ascii="Times New Roman" w:hAnsi="Times New Roman"/>
          <w:b w:val="false"/>
          <w:sz w:val="22"/>
        </w:rPr>
        <w:t xml:space="preserve">The reclassification and payment of all deferred IPO related costs recorded in Other current assets ($26.5 million) and Accrued expenses ($25.9 million) to Additional paid-in capital (not included is the payment of our remaining IPO related costs which we estimate to be between $3.4 million and $4.4 million); </w:t>
      </w:r>
    </w:p>
    <w:p>
      <w:pPr>
        <w:pStyle w:val="TextBody"/>
        <w:spacing w:lineRule="auto" w:line="312" w:before="0" w:after="0"/>
        <w:rPr>
          <w:rFonts w:ascii="Times New Roman" w:hAnsi="Times New Roman"/>
          <w:b w:val="false"/>
          <w:sz w:val="22"/>
        </w:rPr>
      </w:pPr>
      <w:r>
        <w:rPr>
          <w:rFonts w:ascii="Times New Roman" w:hAnsi="Times New Roman"/>
          <w:b w:val="false"/>
          <w:sz w:val="22"/>
        </w:rPr>
        <w:t>4.</w:t>
      </w:r>
    </w:p>
    <w:p>
      <w:pPr>
        <w:pStyle w:val="TextBody"/>
        <w:spacing w:lineRule="auto" w:line="312" w:before="0" w:after="0"/>
        <w:rPr>
          <w:rFonts w:ascii="Times New Roman" w:hAnsi="Times New Roman"/>
          <w:b w:val="false"/>
          <w:sz w:val="22"/>
        </w:rPr>
      </w:pPr>
      <w:r>
        <w:rPr>
          <w:rFonts w:ascii="Times New Roman" w:hAnsi="Times New Roman"/>
          <w:b w:val="false"/>
          <w:sz w:val="22"/>
        </w:rPr>
        <w:t>The conversion of 8,665,797 shares of our common stock to Class A common stock;</w:t>
      </w:r>
    </w:p>
    <w:p>
      <w:pPr>
        <w:pStyle w:val="TextBody"/>
        <w:spacing w:lineRule="auto" w:line="312" w:before="0" w:after="0"/>
        <w:rPr>
          <w:rFonts w:ascii="Times New Roman" w:hAnsi="Times New Roman"/>
          <w:b w:val="false"/>
          <w:sz w:val="22"/>
        </w:rPr>
      </w:pPr>
      <w:r>
        <w:rPr>
          <w:rFonts w:ascii="Times New Roman" w:hAnsi="Times New Roman"/>
          <w:b w:val="false"/>
          <w:sz w:val="22"/>
        </w:rPr>
        <w:t>5.</w:t>
      </w:r>
    </w:p>
    <w:p>
      <w:pPr>
        <w:pStyle w:val="TextBody"/>
        <w:spacing w:lineRule="auto" w:line="312" w:before="0" w:after="0"/>
        <w:rPr>
          <w:rFonts w:ascii="Times New Roman" w:hAnsi="Times New Roman"/>
          <w:b w:val="false"/>
          <w:sz w:val="22"/>
        </w:rPr>
      </w:pPr>
      <w:r>
        <w:rPr>
          <w:rFonts w:ascii="Times New Roman" w:hAnsi="Times New Roman"/>
          <w:b w:val="false"/>
          <w:sz w:val="22"/>
        </w:rPr>
        <w:t>The conversion of 27,758,941 shares of our convertible preferred stock to Class A common stock; and</w:t>
      </w:r>
    </w:p>
    <w:p>
      <w:pPr>
        <w:pStyle w:val="TextBody"/>
        <w:spacing w:lineRule="auto" w:line="312" w:before="0" w:after="0"/>
        <w:rPr>
          <w:rFonts w:ascii="Times New Roman" w:hAnsi="Times New Roman"/>
          <w:b w:val="false"/>
          <w:sz w:val="22"/>
        </w:rPr>
      </w:pPr>
      <w:r>
        <w:rPr>
          <w:rFonts w:ascii="Times New Roman" w:hAnsi="Times New Roman"/>
          <w:b w:val="false"/>
          <w:sz w:val="22"/>
        </w:rPr>
        <w:t>6.</w:t>
      </w:r>
    </w:p>
    <w:p>
      <w:pPr>
        <w:pStyle w:val="TextBody"/>
        <w:spacing w:lineRule="auto" w:line="312"/>
        <w:rPr>
          <w:rFonts w:ascii="Times New Roman" w:hAnsi="Times New Roman"/>
          <w:b w:val="false"/>
          <w:sz w:val="22"/>
        </w:rPr>
      </w:pPr>
      <w:r>
        <w:rPr>
          <w:rFonts w:ascii="Times New Roman" w:hAnsi="Times New Roman"/>
          <w:b w:val="false"/>
          <w:sz w:val="22"/>
        </w:rPr>
        <w:t xml:space="preserve">The exchange of 2,676,154 shares of Class A common stock held by our co-founders for an equivalent number of shares of Class B common stock. </w:t>
      </w:r>
    </w:p>
    <w:p>
      <w:pPr>
        <w:pStyle w:val="TextBody"/>
        <w:spacing w:lineRule="auto" w:line="312" w:before="0" w:after="0"/>
        <w:jc w:val="center"/>
        <w:rPr/>
      </w:pPr>
      <w:r>
        <w:rPr/>
        <w:t> </w:t>
      </w:r>
    </w:p>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11</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2"/>
        </w:rPr>
        <w:t>Xometry, Inc. and Subsidiaries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Unaudited Pro Forma Condensed Consolidated Balance Sheet - continued</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w:t>
      </w:r>
    </w:p>
    <w:p>
      <w:pPr>
        <w:pStyle w:val="TextBody"/>
        <w:spacing w:lineRule="auto" w:line="312" w:before="0" w:after="0"/>
        <w:jc w:val="center"/>
        <w:rPr/>
      </w:pPr>
      <w:r>
        <w:rPr/>
        <w:t> </w:t>
      </w:r>
    </w:p>
    <w:tbl>
      <w:tblPr>
        <w:tblW w:w="10205" w:type="dxa"/>
        <w:jc w:val="left"/>
        <w:tblInd w:w="0" w:type="dxa"/>
        <w:tblCellMar>
          <w:top w:w="28" w:type="dxa"/>
          <w:left w:w="28" w:type="dxa"/>
          <w:bottom w:w="28" w:type="dxa"/>
          <w:right w:w="28" w:type="dxa"/>
        </w:tblCellMar>
      </w:tblPr>
      <w:tblGrid>
        <w:gridCol w:w="4268"/>
        <w:gridCol w:w="146"/>
        <w:gridCol w:w="324"/>
        <w:gridCol w:w="1384"/>
        <w:gridCol w:w="181"/>
        <w:gridCol w:w="146"/>
        <w:gridCol w:w="251"/>
        <w:gridCol w:w="1070"/>
        <w:gridCol w:w="181"/>
        <w:gridCol w:w="317"/>
        <w:gridCol w:w="438"/>
        <w:gridCol w:w="1270"/>
        <w:gridCol w:w="229"/>
      </w:tblGrid>
      <w:tr>
        <w:trPr/>
        <w:tc>
          <w:tcPr>
            <w:tcW w:w="42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22"/>
              </w:rPr>
            </w:pPr>
            <w:r>
              <w:rPr>
                <w:rFonts w:ascii="Times New Roman" w:hAnsi="Times New Roman"/>
                <w:b/>
                <w:sz w:val="22"/>
              </w:rPr>
              <w:t>Unaudited</w:t>
            </w:r>
          </w:p>
        </w:tc>
        <w:tc>
          <w:tcPr>
            <w:tcW w:w="1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2"/>
              </w:rPr>
              <w:t>Unaudited Pro Forma</w:t>
            </w:r>
            <w:r>
              <w:rPr>
                <w:rFonts w:ascii="Times New Roman" w:hAnsi="Times New Roman"/>
                <w:sz w:val="20"/>
              </w:rPr>
              <w:t xml:space="preserve"> </w:t>
            </w:r>
          </w:p>
        </w:tc>
        <w:tc>
          <w:tcPr>
            <w:tcW w:w="229" w:type="dxa"/>
            <w:tcBorders/>
            <w:shd w:fill="auto" w:val="clear"/>
            <w:vAlign w:val="center"/>
          </w:tcPr>
          <w:p>
            <w:pPr>
              <w:pStyle w:val="TableContents"/>
              <w:spacing w:lineRule="auto" w:line="312" w:before="0" w:after="0"/>
              <w:ind w:left="0" w:right="0" w:hanging="0"/>
              <w:jc w:val="center"/>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2"/>
              </w:rPr>
              <w:t>Condensed Consolidated</w:t>
            </w:r>
            <w:r>
              <w:rPr>
                <w:rFonts w:ascii="Times New Roman" w:hAnsi="Times New Roman"/>
                <w:sz w:val="20"/>
              </w:rPr>
              <w:t xml:space="preserve"> </w:t>
            </w:r>
          </w:p>
        </w:tc>
        <w:tc>
          <w:tcPr>
            <w:tcW w:w="1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2"/>
              </w:rPr>
              <w:t>Condensed Consolidated</w:t>
            </w:r>
            <w:r>
              <w:rPr>
                <w:rFonts w:ascii="Times New Roman" w:hAnsi="Times New Roman"/>
                <w:sz w:val="20"/>
              </w:rPr>
              <w:t xml:space="preserve"> </w:t>
            </w:r>
          </w:p>
        </w:tc>
        <w:tc>
          <w:tcPr>
            <w:tcW w:w="229" w:type="dxa"/>
            <w:tcBorders/>
            <w:shd w:fill="auto" w:val="clear"/>
            <w:vAlign w:val="center"/>
          </w:tcPr>
          <w:p>
            <w:pPr>
              <w:pStyle w:val="TableContents"/>
              <w:spacing w:lineRule="auto" w:line="312" w:before="0" w:after="0"/>
              <w:ind w:left="0" w:right="0" w:hanging="0"/>
              <w:jc w:val="center"/>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2"/>
              </w:rPr>
            </w:pPr>
            <w:r>
              <w:rPr>
                <w:rFonts w:ascii="Times New Roman" w:hAnsi="Times New Roman"/>
                <w:b/>
                <w:sz w:val="22"/>
              </w:rPr>
              <w:t>Balance Sheet</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2"/>
              </w:rPr>
            </w:pPr>
            <w:r>
              <w:rPr>
                <w:rFonts w:ascii="Times New Roman" w:hAnsi="Times New Roman"/>
                <w:b/>
                <w:sz w:val="22"/>
              </w:rPr>
              <w:t>Balance Sheet</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2"/>
              </w:rPr>
              <w:t>June 30,</w:t>
            </w:r>
            <w:r>
              <w:rPr>
                <w:rFonts w:ascii="Times New Roman" w:hAnsi="Times New Roman"/>
                <w:sz w:val="20"/>
              </w:rPr>
              <w:t xml:space="preserve">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2"/>
              </w:rPr>
            </w:pPr>
            <w:r>
              <w:rPr>
                <w:rFonts w:ascii="Times New Roman" w:hAnsi="Times New Roman"/>
                <w:b/>
                <w:sz w:val="22"/>
              </w:rPr>
              <w:t>June 30,</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2"/>
              </w:rPr>
            </w:pPr>
            <w:r>
              <w:rPr>
                <w:rFonts w:ascii="Times New Roman" w:hAnsi="Times New Roman"/>
                <w:b/>
                <w:sz w:val="22"/>
              </w:rPr>
              <w:t>2021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3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2"/>
              </w:rPr>
            </w:pPr>
            <w:r>
              <w:rPr>
                <w:rFonts w:ascii="Times New Roman" w:hAnsi="Times New Roman"/>
                <w:b/>
                <w:sz w:val="22"/>
              </w:rPr>
              <w:t>Adjustments</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7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2"/>
              </w:rPr>
            </w:pPr>
            <w:r>
              <w:rPr>
                <w:rFonts w:ascii="Times New Roman" w:hAnsi="Times New Roman"/>
                <w:b/>
                <w:sz w:val="22"/>
              </w:rPr>
              <w:t>2021</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center"/>
              <w:rPr/>
            </w:pPr>
            <w:r>
              <w:rPr/>
              <w:t> </w:t>
            </w:r>
          </w:p>
        </w:tc>
        <w:tc>
          <w:tcPr>
            <w:tcW w:w="229" w:type="dxa"/>
            <w:tcBorders/>
            <w:shd w:fill="auto" w:val="clear"/>
            <w:vAlign w:val="center"/>
          </w:tcPr>
          <w:p>
            <w:pPr>
              <w:pStyle w:val="TableContents"/>
              <w:spacing w:lineRule="auto" w:line="312" w:before="0" w:after="0"/>
              <w:ind w:left="0" w:right="0" w:hanging="0"/>
              <w:jc w:val="center"/>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Cash and cash equivalents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37,351</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309,399</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(1)(2)</w:t>
            </w:r>
          </w:p>
        </w:tc>
        <w:tc>
          <w:tcPr>
            <w:tcW w:w="43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346,750</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Accounts receivable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21,432</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21,432</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Other current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34,148</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(26,462</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(3)</w:t>
            </w:r>
          </w:p>
        </w:tc>
        <w:tc>
          <w:tcPr>
            <w:tcW w:w="4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7,686</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Total current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92,931</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282,937</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375,868</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229" w:type="dxa"/>
            <w:tcBorders/>
            <w:shd w:fill="auto" w:val="clear"/>
            <w:vAlign w:val="center"/>
          </w:tcPr>
          <w:p>
            <w:pPr>
              <w:pStyle w:val="TableContents"/>
              <w:spacing w:lineRule="auto" w:line="312" w:before="0" w:after="0"/>
              <w:ind w:left="0" w:right="0" w:hanging="0"/>
              <w:jc w:val="righ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Property and equipment, net and operating lease right-of-use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9,913</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9,913</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Other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2,639</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2,639</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Total assets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38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105,483</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0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282,937</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3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2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388,420</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229" w:type="dxa"/>
            <w:tcBorders/>
            <w:shd w:fill="auto" w:val="clear"/>
            <w:vAlign w:val="center"/>
          </w:tcPr>
          <w:p>
            <w:pPr>
              <w:pStyle w:val="TableContents"/>
              <w:spacing w:lineRule="auto" w:line="312" w:before="0" w:after="0"/>
              <w:ind w:left="0" w:right="0" w:hanging="0"/>
              <w:jc w:val="righ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2"/>
              </w:rPr>
              <w:t>Accounts payable</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13,138</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13,138</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Accrued expenses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39,200</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(25,938</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(3)</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13,262</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2"/>
              </w:rPr>
              <w:t>Other current liabilities</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5,180</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5,180</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Short-term debt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15,864</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(15,864</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(2)</w:t>
            </w:r>
          </w:p>
        </w:tc>
        <w:tc>
          <w:tcPr>
            <w:tcW w:w="4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Total current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73,382</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(41,802</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31,580</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229" w:type="dxa"/>
            <w:tcBorders/>
            <w:shd w:fill="auto" w:val="clear"/>
            <w:vAlign w:val="center"/>
          </w:tcPr>
          <w:p>
            <w:pPr>
              <w:pStyle w:val="TableContents"/>
              <w:spacing w:lineRule="auto" w:line="312" w:before="0" w:after="0"/>
              <w:ind w:left="0" w:right="0" w:hanging="0"/>
              <w:jc w:val="righ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Operating lease liabilities, net of current portion</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1,573</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1,573</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Total liabilities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74,955</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(41,802</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33,153</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21" w:type="dxa"/>
            <w:gridSpan w:val="2"/>
            <w:tcBorders/>
            <w:shd w:fill="auto" w:val="clear"/>
            <w:vAlign w:val="center"/>
          </w:tcPr>
          <w:p>
            <w:pPr>
              <w:pStyle w:val="TableContents"/>
              <w:spacing w:lineRule="auto" w:line="312" w:before="0" w:after="0"/>
              <w:ind w:left="0" w:right="0" w:hanging="0"/>
              <w:jc w:val="right"/>
              <w:rPr/>
            </w:pPr>
            <w:r>
              <w:rPr/>
              <w:t> </w:t>
            </w:r>
          </w:p>
        </w:tc>
        <w:tc>
          <w:tcPr>
            <w:tcW w:w="181" w:type="dxa"/>
            <w:tcBorders/>
            <w:shd w:fill="auto" w:val="clear"/>
            <w:vAlign w:val="center"/>
          </w:tcPr>
          <w:p>
            <w:pPr>
              <w:pStyle w:val="TableContents"/>
              <w:spacing w:lineRule="auto" w:line="312" w:before="0" w:after="0"/>
              <w:ind w:left="0" w:right="0" w:hanging="0"/>
              <w:jc w:val="righ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1708" w:type="dxa"/>
            <w:gridSpan w:val="2"/>
            <w:tcBorders/>
            <w:shd w:fill="auto" w:val="clear"/>
            <w:vAlign w:val="center"/>
          </w:tcPr>
          <w:p>
            <w:pPr>
              <w:pStyle w:val="TableContents"/>
              <w:spacing w:lineRule="auto" w:line="312" w:before="0" w:after="0"/>
              <w:ind w:left="0" w:right="0" w:hanging="0"/>
              <w:jc w:val="right"/>
              <w:rPr/>
            </w:pPr>
            <w:r>
              <w:rPr/>
              <w:t> </w:t>
            </w:r>
          </w:p>
        </w:tc>
        <w:tc>
          <w:tcPr>
            <w:tcW w:w="229" w:type="dxa"/>
            <w:tcBorders/>
            <w:shd w:fill="auto" w:val="clear"/>
            <w:vAlign w:val="center"/>
          </w:tcPr>
          <w:p>
            <w:pPr>
              <w:pStyle w:val="TableContents"/>
              <w:spacing w:lineRule="auto" w:line="312" w:before="0" w:after="0"/>
              <w:ind w:left="0" w:right="0" w:hanging="0"/>
              <w:jc w:val="righ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Convertible preferred stock - $0.000001 par value, 27,970,966 authorized, 27,758,941 issued and outstanding</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160,713</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(160,713</w:t>
            </w:r>
          </w:p>
        </w:tc>
        <w:tc>
          <w:tcPr>
            <w:tcW w:w="181"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(5)</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Common stock - $0.000001 par value, 42,000,000 authorized, 8,665,797 issued and outstanding</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(4)</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2"/>
              </w:rPr>
              <w:t>Preferred stock - $0.000001 par value, 50,000,000 authorized, none issued and outstanding, pro forma</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lef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Class A common stock - $0.000001 par value, 750,000,000 authorized, 41,654,834 issued and outstanding, pro forma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(4)(5)</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Class B common stock - $0.000001 par value, 5,000,000 authorized, 2,676,154 issued and outstanding, pro forma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left"/>
              <w:rPr>
                <w:rFonts w:ascii="Times New Roman" w:hAnsi="Times New Roman"/>
                <w:b w:val="false"/>
                <w:sz w:val="15"/>
              </w:rPr>
            </w:pPr>
            <w:r>
              <w:rPr>
                <w:rFonts w:ascii="Times New Roman" w:hAnsi="Times New Roman"/>
                <w:b w:val="false"/>
                <w:sz w:val="15"/>
              </w:rPr>
              <w:t>(6)</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Additional paid-in capital</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4,315</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485,452</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489,767</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Accumulated other comprehensive income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shd w:fill="auto" w:val="clear"/>
            <w:vAlign w:val="center"/>
          </w:tcPr>
          <w:p>
            <w:pPr>
              <w:pStyle w:val="TableContents"/>
              <w:spacing w:lineRule="auto" w:line="312" w:before="0" w:after="0"/>
              <w:ind w:left="0" w:right="0" w:hanging="0"/>
              <w:jc w:val="left"/>
              <w:rPr/>
            </w:pPr>
            <w:r>
              <w:rPr/>
              <w:t> </w:t>
            </w:r>
          </w:p>
        </w:tc>
        <w:tc>
          <w:tcPr>
            <w:tcW w:w="1384"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227</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1" w:type="dxa"/>
            <w:tcBorders/>
            <w:shd w:fill="auto" w:val="clear"/>
            <w:vAlign w:val="center"/>
          </w:tcPr>
          <w:p>
            <w:pPr>
              <w:pStyle w:val="TableContents"/>
              <w:spacing w:lineRule="auto" w:line="312" w:before="0" w:after="0"/>
              <w:ind w:left="0" w:right="0" w:hanging="0"/>
              <w:jc w:val="left"/>
              <w:rPr/>
            </w:pPr>
            <w:r>
              <w:rPr/>
              <w:t> </w:t>
            </w:r>
          </w:p>
        </w:tc>
        <w:tc>
          <w:tcPr>
            <w:tcW w:w="10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shd w:fill="auto" w:val="clear"/>
            <w:vAlign w:val="center"/>
          </w:tcPr>
          <w:p>
            <w:pPr>
              <w:pStyle w:val="TableContents"/>
              <w:spacing w:lineRule="auto" w:line="312" w:before="0" w:after="0"/>
              <w:ind w:left="0" w:right="0" w:hanging="0"/>
              <w:jc w:val="left"/>
              <w:rPr/>
            </w:pPr>
            <w:r>
              <w:rPr/>
              <w:t> </w:t>
            </w:r>
          </w:p>
        </w:tc>
        <w:tc>
          <w:tcPr>
            <w:tcW w:w="317" w:type="dxa"/>
            <w:tcBorders/>
            <w:shd w:fill="auto" w:val="clear"/>
            <w:vAlign w:val="center"/>
          </w:tcPr>
          <w:p>
            <w:pPr>
              <w:pStyle w:val="TableContents"/>
              <w:spacing w:lineRule="auto" w:line="312" w:before="0" w:after="0"/>
              <w:ind w:left="0" w:right="0" w:hanging="0"/>
              <w:jc w:val="right"/>
              <w:rPr/>
            </w:pPr>
            <w:r>
              <w:rPr/>
              <w:t> </w:t>
            </w:r>
          </w:p>
        </w:tc>
        <w:tc>
          <w:tcPr>
            <w:tcW w:w="438" w:type="dxa"/>
            <w:tcBorders/>
            <w:shd w:fill="auto" w:val="clear"/>
            <w:vAlign w:val="center"/>
          </w:tcPr>
          <w:p>
            <w:pPr>
              <w:pStyle w:val="TableContents"/>
              <w:spacing w:lineRule="auto" w:line="312" w:before="0" w:after="0"/>
              <w:ind w:left="0" w:right="0" w:hanging="0"/>
              <w:jc w:val="left"/>
              <w:rPr/>
            </w:pPr>
            <w:r>
              <w:rPr/>
              <w:t> </w:t>
            </w:r>
          </w:p>
        </w:tc>
        <w:tc>
          <w:tcPr>
            <w:tcW w:w="1270" w:type="dxa"/>
            <w:tcBorders/>
            <w:shd w:fill="auto" w:val="cle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227</w:t>
            </w:r>
          </w:p>
        </w:tc>
        <w:tc>
          <w:tcPr>
            <w:tcW w:w="229" w:type="dxa"/>
            <w:tcBorders/>
            <w:shd w:fill="auto" w:val="cle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Accumulated deficit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(134,727</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(134,727</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Total stockholders' (deficit) equity</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(130,185</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485,452</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355,267</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68" w:type="dxa"/>
            <w:tcBorders/>
            <w:shd w:fill="auto" w:val="clear"/>
            <w:vAlign w:val="center"/>
          </w:tcPr>
          <w:p>
            <w:pPr>
              <w:pStyle w:val="TableContents"/>
              <w:spacing w:lineRule="auto" w:line="312" w:before="0" w:after="0"/>
              <w:ind w:left="0" w:right="0" w:hanging="0"/>
              <w:jc w:val="left"/>
              <w:rPr>
                <w:rFonts w:ascii="Times New Roman" w:hAnsi="Times New Roman"/>
                <w:b/>
                <w:sz w:val="22"/>
              </w:rPr>
            </w:pPr>
            <w:r>
              <w:rPr>
                <w:rFonts w:ascii="Times New Roman" w:hAnsi="Times New Roman"/>
                <w:b/>
                <w:sz w:val="22"/>
              </w:rPr>
              <w:t>Total liabilities and stockholders' equity</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38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105,483</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0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282,937</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43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2"/>
              </w:rPr>
            </w:pPr>
            <w:r>
              <w:rPr>
                <w:rFonts w:ascii="Times New Roman" w:hAnsi="Times New Roman"/>
                <w:b w:val="false"/>
                <w:sz w:val="22"/>
              </w:rPr>
              <w:t>$</w:t>
            </w:r>
          </w:p>
        </w:tc>
        <w:tc>
          <w:tcPr>
            <w:tcW w:w="12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2"/>
              </w:rPr>
            </w:pPr>
            <w:r>
              <w:rPr>
                <w:rFonts w:ascii="Times New Roman" w:hAnsi="Times New Roman"/>
                <w:b w:val="false"/>
                <w:sz w:val="22"/>
              </w:rPr>
              <w:t>388,420</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12</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sz w:val="20"/>
        </w:rPr>
      </w:pPr>
      <w:r>
        <w:rPr>
          <w:rFonts w:ascii="Times New Roman" w:hAnsi="Times New Roman"/>
          <w:b/>
          <w:sz w:val="22"/>
        </w:rPr>
        <w:t>Xometry, Inc. and Subsidiaries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Unaudited Supplemental Information</w:t>
      </w:r>
    </w:p>
    <w:p>
      <w:pPr>
        <w:pStyle w:val="TextBody"/>
        <w:spacing w:lineRule="auto" w:line="312" w:before="0" w:after="0"/>
        <w:jc w:val="center"/>
        <w:rPr>
          <w:rFonts w:ascii="Times New Roman" w:hAnsi="Times New Roman"/>
          <w:b w:val="false"/>
          <w:sz w:val="22"/>
        </w:rPr>
      </w:pPr>
      <w:r>
        <w:rPr>
          <w:rFonts w:ascii="Times New Roman" w:hAnsi="Times New Roman"/>
          <w:b w:val="false"/>
          <w:sz w:val="22"/>
        </w:rPr>
        <w:t>(In thousands)</w:t>
      </w:r>
    </w:p>
    <w:p>
      <w:pPr>
        <w:pStyle w:val="TextBody"/>
        <w:spacing w:lineRule="auto" w:line="312" w:before="0" w:after="0"/>
        <w:jc w:val="center"/>
        <w:rPr/>
      </w:pPr>
      <w:r>
        <w:rPr/>
        <w:t> </w:t>
      </w:r>
    </w:p>
    <w:tbl>
      <w:tblPr>
        <w:tblW w:w="10205" w:type="dxa"/>
        <w:jc w:val="left"/>
        <w:tblInd w:w="0" w:type="dxa"/>
        <w:tblCellMar>
          <w:top w:w="28" w:type="dxa"/>
          <w:left w:w="28" w:type="dxa"/>
          <w:bottom w:w="28" w:type="dxa"/>
          <w:right w:w="28" w:type="dxa"/>
        </w:tblCellMar>
      </w:tblPr>
      <w:tblGrid>
        <w:gridCol w:w="4581"/>
        <w:gridCol w:w="146"/>
        <w:gridCol w:w="323"/>
        <w:gridCol w:w="875"/>
        <w:gridCol w:w="223"/>
        <w:gridCol w:w="223"/>
        <w:gridCol w:w="323"/>
        <w:gridCol w:w="646"/>
        <w:gridCol w:w="146"/>
        <w:gridCol w:w="146"/>
        <w:gridCol w:w="270"/>
        <w:gridCol w:w="732"/>
        <w:gridCol w:w="186"/>
        <w:gridCol w:w="186"/>
        <w:gridCol w:w="270"/>
        <w:gridCol w:w="732"/>
        <w:gridCol w:w="197"/>
      </w:tblGrid>
      <w:tr>
        <w:trPr/>
        <w:tc>
          <w:tcPr>
            <w:tcW w:w="4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45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613"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Three Months Ended 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7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Six Months Ended June 30,</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9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96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2021</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2020</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Summary of Stock-based Compensation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98" w:type="dxa"/>
            <w:gridSpan w:val="2"/>
            <w:tcBorders/>
            <w:shd w:fill="auto" w:val="clear"/>
            <w:vAlign w:val="center"/>
          </w:tcPr>
          <w:p>
            <w:pPr>
              <w:pStyle w:val="TableContents"/>
              <w:spacing w:lineRule="auto" w:line="312" w:before="0" w:after="0"/>
              <w:ind w:left="0" w:right="0" w:hanging="0"/>
              <w:jc w:val="righ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969"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02" w:type="dxa"/>
            <w:gridSpan w:val="2"/>
            <w:tcBorders/>
            <w:shd w:fill="auto" w:val="clear"/>
            <w:vAlign w:val="center"/>
          </w:tcPr>
          <w:p>
            <w:pPr>
              <w:pStyle w:val="TableContents"/>
              <w:spacing w:lineRule="auto" w:line="312" w:before="0" w:after="0"/>
              <w:ind w:left="0" w:right="0" w:hanging="0"/>
              <w:jc w:val="righ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1002" w:type="dxa"/>
            <w:gridSpan w:val="2"/>
            <w:tcBorders/>
            <w:shd w:fill="auto" w:val="clear"/>
            <w:vAlign w:val="center"/>
          </w:tcPr>
          <w:p>
            <w:pPr>
              <w:pStyle w:val="TableContents"/>
              <w:spacing w:lineRule="auto" w:line="312" w:before="0" w:after="0"/>
              <w:ind w:left="0" w:right="0" w:hanging="0"/>
              <w:jc w:val="right"/>
              <w:rPr/>
            </w:pPr>
            <w:r>
              <w:rPr/>
              <w:t> </w:t>
            </w:r>
          </w:p>
        </w:tc>
        <w:tc>
          <w:tcPr>
            <w:tcW w:w="197" w:type="dxa"/>
            <w:tcBorders/>
            <w:shd w:fill="auto" w:val="clear"/>
            <w:vAlign w:val="center"/>
          </w:tcPr>
          <w:p>
            <w:pPr>
              <w:pStyle w:val="TableContents"/>
              <w:spacing w:lineRule="auto" w:line="312" w:before="0" w:after="0"/>
              <w:ind w:left="0" w:right="0" w:hanging="0"/>
              <w:jc w:val="righ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Sales and marketing</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302</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355</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Operations and support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87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590</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694</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99</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Product development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87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417</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491</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143</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666</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940</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84</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stock-based compensation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1,975</w:t>
            </w:r>
          </w:p>
        </w:tc>
        <w:tc>
          <w:tcPr>
            <w:tcW w:w="2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2,480</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386</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98" w:type="dxa"/>
            <w:gridSpan w:val="2"/>
            <w:tcBorders/>
            <w:shd w:fill="auto" w:val="clear"/>
            <w:vAlign w:val="center"/>
          </w:tcPr>
          <w:p>
            <w:pPr>
              <w:pStyle w:val="TableContents"/>
              <w:spacing w:lineRule="auto" w:line="312" w:before="0" w:after="0"/>
              <w:ind w:left="0" w:right="0" w:hanging="0"/>
              <w:jc w:val="righ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969"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02" w:type="dxa"/>
            <w:gridSpan w:val="2"/>
            <w:tcBorders/>
            <w:shd w:fill="auto" w:val="clear"/>
            <w:vAlign w:val="center"/>
          </w:tcPr>
          <w:p>
            <w:pPr>
              <w:pStyle w:val="TableContents"/>
              <w:spacing w:lineRule="auto" w:line="312" w:before="0" w:after="0"/>
              <w:ind w:left="0" w:right="0" w:hanging="0"/>
              <w:jc w:val="righ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1002" w:type="dxa"/>
            <w:gridSpan w:val="2"/>
            <w:tcBorders/>
            <w:shd w:fill="auto" w:val="clear"/>
            <w:vAlign w:val="center"/>
          </w:tcPr>
          <w:p>
            <w:pPr>
              <w:pStyle w:val="TableContents"/>
              <w:spacing w:lineRule="auto" w:line="312" w:before="0" w:after="0"/>
              <w:ind w:left="0" w:right="0" w:hanging="0"/>
              <w:jc w:val="right"/>
              <w:rPr/>
            </w:pPr>
            <w:r>
              <w:rPr/>
              <w:t> </w:t>
            </w:r>
          </w:p>
        </w:tc>
        <w:tc>
          <w:tcPr>
            <w:tcW w:w="197" w:type="dxa"/>
            <w:tcBorders/>
            <w:shd w:fill="auto" w:val="clear"/>
            <w:vAlign w:val="center"/>
          </w:tcPr>
          <w:p>
            <w:pPr>
              <w:pStyle w:val="TableContents"/>
              <w:spacing w:lineRule="auto" w:line="312" w:before="0" w:after="0"/>
              <w:ind w:left="0" w:right="0" w:hanging="0"/>
              <w:jc w:val="righ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Summary of Depreciation and Amortization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98" w:type="dxa"/>
            <w:gridSpan w:val="2"/>
            <w:tcBorders/>
            <w:shd w:fill="auto" w:val="clear"/>
            <w:vAlign w:val="center"/>
          </w:tcPr>
          <w:p>
            <w:pPr>
              <w:pStyle w:val="TableContents"/>
              <w:spacing w:lineRule="auto" w:line="312" w:before="0" w:after="0"/>
              <w:ind w:left="0" w:right="0" w:hanging="0"/>
              <w:jc w:val="righ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969"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02" w:type="dxa"/>
            <w:gridSpan w:val="2"/>
            <w:tcBorders/>
            <w:shd w:fill="auto" w:val="clear"/>
            <w:vAlign w:val="center"/>
          </w:tcPr>
          <w:p>
            <w:pPr>
              <w:pStyle w:val="TableContents"/>
              <w:spacing w:lineRule="auto" w:line="312" w:before="0" w:after="0"/>
              <w:ind w:left="0" w:right="0" w:hanging="0"/>
              <w:jc w:val="righ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1002" w:type="dxa"/>
            <w:gridSpan w:val="2"/>
            <w:tcBorders/>
            <w:shd w:fill="auto" w:val="clear"/>
            <w:vAlign w:val="center"/>
          </w:tcPr>
          <w:p>
            <w:pPr>
              <w:pStyle w:val="TableContents"/>
              <w:spacing w:lineRule="auto" w:line="312" w:before="0" w:after="0"/>
              <w:ind w:left="0" w:right="0" w:hanging="0"/>
              <w:jc w:val="right"/>
              <w:rPr/>
            </w:pPr>
            <w:r>
              <w:rPr/>
              <w:t> </w:t>
            </w:r>
          </w:p>
        </w:tc>
        <w:tc>
          <w:tcPr>
            <w:tcW w:w="197" w:type="dxa"/>
            <w:tcBorders/>
            <w:shd w:fill="auto" w:val="clear"/>
            <w:vAlign w:val="center"/>
          </w:tcPr>
          <w:p>
            <w:pPr>
              <w:pStyle w:val="TableContents"/>
              <w:spacing w:lineRule="auto" w:line="312" w:before="0" w:after="0"/>
              <w:ind w:left="0" w:right="0" w:hanging="0"/>
              <w:jc w:val="righ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Cost of revenue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118</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Sales and marketing</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87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347</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Operations and support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87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98</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Product development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87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631</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right"/>
              <w:rPr/>
            </w:pPr>
            <w:r>
              <w:rPr/>
              <w:t> </w:t>
            </w:r>
          </w:p>
        </w:tc>
        <w:tc>
          <w:tcPr>
            <w:tcW w:w="323" w:type="dxa"/>
            <w:tcBorders/>
            <w:shd w:fill="auto" w:val="clear"/>
            <w:vAlign w:val="center"/>
          </w:tcPr>
          <w:p>
            <w:pPr>
              <w:pStyle w:val="TableContents"/>
              <w:spacing w:lineRule="auto" w:line="312" w:before="0" w:after="0"/>
              <w:ind w:left="0" w:right="0" w:hanging="0"/>
              <w:jc w:val="left"/>
              <w:rPr/>
            </w:pPr>
            <w:r>
              <w:rPr/>
              <w:t> </w:t>
            </w:r>
          </w:p>
        </w:tc>
        <w:tc>
          <w:tcPr>
            <w:tcW w:w="6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1,240</w:t>
            </w:r>
          </w:p>
        </w:tc>
        <w:tc>
          <w:tcPr>
            <w:tcW w:w="186" w:type="dxa"/>
            <w:tcBorders/>
            <w:shd w:fill="auto" w:val="clear"/>
            <w:vAlign w:val="center"/>
          </w:tcPr>
          <w:p>
            <w:pPr>
              <w:pStyle w:val="TableContents"/>
              <w:spacing w:lineRule="auto" w:line="312" w:before="0" w:after="0"/>
              <w:ind w:left="0" w:right="0" w:hanging="0"/>
              <w:jc w:val="left"/>
              <w:rPr/>
            </w:pPr>
            <w:r>
              <w:rPr/>
              <w:t> </w:t>
            </w:r>
          </w:p>
        </w:tc>
        <w:tc>
          <w:tcPr>
            <w:tcW w:w="186" w:type="dxa"/>
            <w:tcBorders/>
            <w:shd w:fill="auto" w:val="clear"/>
            <w:vAlign w:val="center"/>
          </w:tcPr>
          <w:p>
            <w:pPr>
              <w:pStyle w:val="TableContents"/>
              <w:spacing w:lineRule="auto" w:line="312" w:before="0" w:after="0"/>
              <w:ind w:left="0" w:right="0" w:hanging="0"/>
              <w:jc w:val="right"/>
              <w:rPr/>
            </w:pPr>
            <w:r>
              <w:rPr/>
              <w:t> </w:t>
            </w:r>
          </w:p>
        </w:tc>
        <w:tc>
          <w:tcPr>
            <w:tcW w:w="270" w:type="dxa"/>
            <w:tcBorders/>
            <w:shd w:fill="auto" w:val="clear"/>
            <w:vAlign w:val="center"/>
          </w:tcPr>
          <w:p>
            <w:pPr>
              <w:pStyle w:val="TableContents"/>
              <w:spacing w:lineRule="auto" w:line="312" w:before="0" w:after="0"/>
              <w:ind w:left="0" w:right="0" w:hanging="0"/>
              <w:jc w:val="left"/>
              <w:rPr/>
            </w:pPr>
            <w:r>
              <w:rPr/>
              <w:t> </w:t>
            </w:r>
          </w:p>
        </w:tc>
        <w:tc>
          <w:tcPr>
            <w:tcW w:w="73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depreciation and amortization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753</w:t>
            </w:r>
          </w:p>
        </w:tc>
        <w:tc>
          <w:tcPr>
            <w:tcW w:w="2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1,487</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1,389</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240" w:after="0"/>
        <w:jc w:val="center"/>
        <w:rPr>
          <w:rFonts w:ascii="Arial" w:hAnsi="Arial"/>
          <w:b w:val="false"/>
          <w:sz w:val="20"/>
        </w:rPr>
      </w:pPr>
      <w:r>
        <w:rPr>
          <w:rFonts w:ascii="Arial" w:hAnsi="Arial"/>
          <w:b w:val="false"/>
          <w:sz w:val="20"/>
        </w:rPr>
        <w:t>13</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4286</Words>
  <CharactersWithSpaces>28172</CharactersWithSpaces>
  <Paragraphs>2653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