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199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199120"/>
                    </a:xfrm>
                    <a:prstGeom prst="rect">
                      <a:avLst/>
                    </a:prstGeom>
                    <a:noFill/>
                  </pic:spPr>
                </pic:pic>
              </a:graphicData>
            </a:graphic>
          </wp:anchor>
        </w:drawing>
      </w:r>
    </w:p>
    <w:p>
      <w:pPr>
        <w:spacing w:after="0" w:line="1285" w:lineRule="exact"/>
        <w:rPr>
          <w:sz w:val="24"/>
          <w:szCs w:val="24"/>
          <w:color w:val="auto"/>
        </w:rPr>
      </w:pPr>
    </w:p>
    <w:p>
      <w:pPr>
        <w:sectPr>
          <w:pgSz w:w="11900" w:h="1693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937" w:orient="portrait"/>
          <w:cols w:equalWidth="0" w:num="3">
            <w:col w:w="3200" w:space="720"/>
            <w:col w:w="3095" w:space="720"/>
            <w:col w:w="3265"/>
          </w:cols>
          <w:pgMar w:left="460" w:top="219" w:right="43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Pr>
          <w:p>
            <w:pPr>
              <w:jc w:val="center"/>
              <w:ind w:left="34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10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3"/>
              <w:spacing w:after="0"/>
              <w:rPr>
                <w:sz w:val="20"/>
                <w:szCs w:val="20"/>
                <w:color w:val="auto"/>
              </w:rPr>
            </w:pPr>
            <w:r>
              <w:rPr>
                <w:rFonts w:ascii="Times New Roman" w:cs="Times New Roman" w:eastAsia="Times New Roman" w:hAnsi="Times New Roman"/>
                <w:sz w:val="17"/>
                <w:szCs w:val="17"/>
                <w:color w:val="0000FF"/>
              </w:rPr>
              <w:t>02/24/2026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108,860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404,305</w:t>
            </w:r>
          </w:p>
        </w:tc>
        <w:tc>
          <w:tcPr>
            <w:tcW w:w="96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9"/>
              </w:rPr>
              <w:t>1,475,311</w:t>
            </w:r>
          </w:p>
        </w:tc>
        <w:tc>
          <w:tcPr>
            <w:tcW w:w="96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591,270</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85,582</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324,533</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324,533</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324,533</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475,248</w:t>
            </w:r>
          </w:p>
        </w:tc>
        <w:tc>
          <w:tcPr>
            <w:tcW w:w="96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3"/>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(7)(8)</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2,189</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41.367</w:t>
            </w:r>
            <w:r>
              <w:rPr>
                <w:rFonts w:ascii="Times New Roman" w:cs="Times New Roman" w:eastAsia="Times New Roman" w:hAnsi="Times New Roman"/>
                <w:sz w:val="22"/>
                <w:szCs w:val="22"/>
                <w:color w:val="008000"/>
                <w:w w:val="95"/>
                <w:vertAlign w:val="superscript"/>
              </w:rPr>
              <w:t>(9)</w:t>
            </w:r>
          </w:p>
        </w:tc>
        <w:tc>
          <w:tcPr>
            <w:tcW w:w="10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402,116</w:t>
            </w:r>
          </w:p>
        </w:tc>
        <w:tc>
          <w:tcPr>
            <w:tcW w:w="96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3"/>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(7)(8)</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2,603</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42.5914</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399,513</w:t>
            </w:r>
          </w:p>
        </w:tc>
        <w:tc>
          <w:tcPr>
            <w:tcW w:w="96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3"/>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(7)(8)</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18,764</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43.4316</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380,749</w:t>
            </w:r>
          </w:p>
        </w:tc>
        <w:tc>
          <w:tcPr>
            <w:tcW w:w="96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3"/>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(7)(8)</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8,372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44.2825</w:t>
            </w:r>
            <w:r>
              <w:rPr>
                <w:rFonts w:ascii="Times New Roman" w:cs="Times New Roman" w:eastAsia="Times New Roman" w:hAnsi="Times New Roman"/>
                <w:sz w:val="22"/>
                <w:szCs w:val="22"/>
                <w:color w:val="008000"/>
                <w:w w:val="94"/>
                <w:vertAlign w:val="superscript"/>
              </w:rPr>
              <w:t>(12)</w:t>
            </w:r>
          </w:p>
        </w:tc>
        <w:tc>
          <w:tcPr>
            <w:tcW w:w="10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372,377</w:t>
            </w:r>
          </w:p>
        </w:tc>
        <w:tc>
          <w:tcPr>
            <w:tcW w:w="96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2025 subject to performance-based vesting conditions pertaining to 2025 performance, the achievement of which was certified by the Board on February 24, 2026. Of these RSUs, 1/3rd of the shares vested on February 24, 2026, and the remainder of the shares underlying the RSUs will vest in equal installments on each of February 24, 2027 and February 24, 2028, subject to the reporting person's continuous service.</w:t>
      </w:r>
    </w:p>
    <w:p>
      <w:pPr>
        <w:sectPr>
          <w:pgSz w:w="11900" w:h="16937"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2021 Tigers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Matthew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Sasha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Noah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Altschuler Family Trust (2020),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$40.905 to $41.88,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(9), (10), (11) and (12) to this Form 4.</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$41.93 to $42.93,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$42.94 to $43.93,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$43.96 to $44.81,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8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2026-02-26T18:24:38Z</dcterms:created>
  <dcterms:modified xsi:type="dcterms:W3CDTF">2026-02-26T18:24:38Z</dcterms:modified>
</cp:coreProperties>
</file>