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Xometry,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60" w:type="dxa"/>
        <w:tblCellMar>
          <w:top w:w="0" w:type="dxa"/>
          <w:left w:w="0" w:type="dxa"/>
          <w:bottom w:w="0" w:type="dxa"/>
          <w:right w:w="0" w:type="dxa"/>
        </w:tblCellMar>
      </w:tblPr>
      <w:tr>
        <w:trPr>
          <w:trHeight w:val="176"/>
        </w:trPr>
        <w:tc>
          <w:tcPr>
            <w:tcW w:w="3340" w:type="dxa"/>
            <w:vAlign w:val="bottom"/>
          </w:tcPr>
          <w:p>
            <w:pPr>
              <w:jc w:val="center"/>
              <w:ind w:right="94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001-40546</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32-0415449</w:t>
            </w:r>
          </w:p>
        </w:tc>
      </w:tr>
      <w:tr>
        <w:trPr>
          <w:trHeight w:val="135"/>
        </w:trPr>
        <w:tc>
          <w:tcPr>
            <w:tcW w:w="3340" w:type="dxa"/>
            <w:vAlign w:val="bottom"/>
          </w:tcPr>
          <w:p>
            <w:pPr>
              <w:jc w:val="center"/>
              <w:ind w:right="94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88"/>
              </w:rPr>
              <w:t>7529 Standish Place, Suite 200</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40" w:type="dxa"/>
            <w:vAlign w:val="bottom"/>
          </w:tcPr>
          <w:p>
            <w:pPr>
              <w:jc w:val="center"/>
              <w:ind w:right="941"/>
              <w:spacing w:after="0" w:line="195" w:lineRule="exact"/>
              <w:rPr>
                <w:sz w:val="20"/>
                <w:szCs w:val="20"/>
                <w:color w:val="auto"/>
              </w:rPr>
            </w:pPr>
            <w:r>
              <w:rPr>
                <w:rFonts w:ascii="Arial" w:cs="Arial" w:eastAsia="Arial" w:hAnsi="Arial"/>
                <w:sz w:val="18"/>
                <w:szCs w:val="18"/>
                <w:b w:val="1"/>
                <w:bCs w:val="1"/>
                <w:color w:val="auto"/>
                <w:w w:val="93"/>
              </w:rPr>
              <w:t>Derwood, Maryland</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20855</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4"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8"/>
                <w:szCs w:val="18"/>
                <w:color w:val="auto"/>
              </w:rPr>
            </w:pPr>
          </w:p>
        </w:tc>
        <w:tc>
          <w:tcPr>
            <w:tcW w:w="5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1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On March 17, 2022, Xometry, Inc. issued a press release announcing its fourth quarter and full year ended December 31, 2021 financial results. A copy of the press release is furnished as Exhibit 99.1 to this report.</w:t>
      </w:r>
    </w:p>
    <w:p>
      <w:pPr>
        <w:spacing w:after="0" w:line="15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4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0" w:type="dxa"/>
            <w:vAlign w:val="bottom"/>
          </w:tcPr>
          <w:p>
            <w:pPr>
              <w:spacing w:after="0"/>
              <w:rPr>
                <w:sz w:val="22"/>
                <w:szCs w:val="22"/>
                <w:color w:val="auto"/>
              </w:rPr>
            </w:pPr>
          </w:p>
        </w:tc>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0"/>
        </w:trPr>
        <w:tc>
          <w:tcPr>
            <w:tcW w:w="3900" w:type="dxa"/>
            <w:vAlign w:val="bottom"/>
            <w:gridSpan w:val="3"/>
          </w:tcPr>
          <w:p>
            <w:pPr>
              <w:ind w:left="200"/>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7340" w:type="dxa"/>
            <w:vAlign w:val="bottom"/>
            <w:gridSpan w:val="2"/>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of Xometry, Inc. issued on March 17, 2022.</w:t>
              </w:r>
            </w:hyperlink>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300" w:type="dxa"/>
            <w:vAlign w:val="bottom"/>
            <w:tcBorders>
              <w:left w:val="single" w:sz="8" w:color="0000EE"/>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3"/>
              </w:rPr>
              <w:t>104</w:t>
            </w:r>
          </w:p>
        </w:tc>
        <w:tc>
          <w:tcPr>
            <w:tcW w:w="340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492"/>
        </w:trPr>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XOMETRY, INC.</w:t>
      </w:r>
    </w:p>
    <w:p>
      <w:pPr>
        <w:spacing w:after="0" w:line="32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6350</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line="232" w:lineRule="auto"/>
        <w:rPr>
          <w:sz w:val="20"/>
          <w:szCs w:val="20"/>
          <w:color w:val="auto"/>
        </w:rPr>
      </w:pPr>
      <w:r>
        <w:rPr>
          <w:rFonts w:ascii="Arial" w:cs="Arial" w:eastAsia="Arial" w:hAnsi="Arial"/>
          <w:sz w:val="18"/>
          <w:szCs w:val="18"/>
          <w:color w:val="auto"/>
        </w:rPr>
        <w:t>Randolph Altschuler</w:t>
      </w:r>
    </w:p>
    <w:p>
      <w:pPr>
        <w:ind w:left="61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Fourth Quarter and Full Year 2021 Results</w:t>
      </w:r>
    </w:p>
    <w:p>
      <w:pPr>
        <w:spacing w:after="0" w:line="310"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Strong finish to 2021: Strong quarter of accelerating revenue growth increasing 77% year-over-year.</w:t>
      </w:r>
    </w:p>
    <w:p>
      <w:pPr>
        <w:spacing w:after="0" w:line="94" w:lineRule="exact"/>
        <w:rPr>
          <w:rFonts w:ascii="Arial" w:cs="Arial" w:eastAsia="Arial" w:hAnsi="Arial"/>
          <w:sz w:val="20"/>
          <w:szCs w:val="20"/>
          <w:color w:val="auto"/>
        </w:rPr>
      </w:pPr>
    </w:p>
    <w:p>
      <w:pPr>
        <w:ind w:left="1020" w:right="280" w:hanging="503"/>
        <w:spacing w:after="0" w:line="236"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Strong gross margin trends driven by AI pricing/supplier selection and additional supplier services: Gross profit up 121% year-over-year.</w:t>
      </w:r>
    </w:p>
    <w:p>
      <w:pPr>
        <w:spacing w:after="0" w:line="87" w:lineRule="exact"/>
        <w:rPr>
          <w:rFonts w:ascii="Arial" w:cs="Arial" w:eastAsia="Arial" w:hAnsi="Arial"/>
          <w:sz w:val="20"/>
          <w:szCs w:val="20"/>
          <w:color w:val="auto"/>
        </w:rPr>
      </w:pPr>
    </w:p>
    <w:p>
      <w:pPr>
        <w:ind w:left="1020" w:right="160" w:hanging="503"/>
        <w:spacing w:after="0" w:line="205"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Strategic acquisition of Thomas: Completed the strategic acquisition of Thomas on December 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adding 1.4 million registered buyers and ~500,000 sellers to Xometry’s rapidly growing marketplace.</w:t>
      </w:r>
    </w:p>
    <w:p>
      <w:pPr>
        <w:spacing w:after="0" w:line="88" w:lineRule="exact"/>
        <w:rPr>
          <w:rFonts w:ascii="Arial" w:cs="Arial" w:eastAsia="Arial" w:hAnsi="Arial"/>
          <w:sz w:val="20"/>
          <w:szCs w:val="20"/>
          <w:color w:val="auto"/>
        </w:rPr>
      </w:pPr>
    </w:p>
    <w:p>
      <w:pPr>
        <w:ind w:left="1020" w:right="40" w:hanging="503"/>
        <w:spacing w:after="0" w:line="257" w:lineRule="auto"/>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Expect strong growth in 2022: We expect revenue growth of 79-83% from $218.3 million to $390-400 million. Growth will be driven by increasing our active buyers and sellers, revenue synergies and expanded supplier services.</w:t>
      </w:r>
    </w:p>
    <w:p>
      <w:pPr>
        <w:spacing w:after="0" w:line="167" w:lineRule="exact"/>
        <w:rPr>
          <w:sz w:val="20"/>
          <w:szCs w:val="20"/>
          <w:color w:val="auto"/>
        </w:rPr>
      </w:pPr>
    </w:p>
    <w:p>
      <w:pPr>
        <w:ind w:right="460"/>
        <w:spacing w:after="0" w:line="236" w:lineRule="auto"/>
        <w:rPr>
          <w:sz w:val="20"/>
          <w:szCs w:val="20"/>
          <w:color w:val="auto"/>
        </w:rPr>
      </w:pPr>
      <w:r>
        <w:rPr>
          <w:rFonts w:ascii="Arial" w:cs="Arial" w:eastAsia="Arial" w:hAnsi="Arial"/>
          <w:sz w:val="20"/>
          <w:szCs w:val="20"/>
          <w:color w:val="auto"/>
        </w:rPr>
        <w:t>ROCKVILLE, MD., March 17, 2022 /Globe Newswire/ -- Xometry, Inc. (NASDAQ:XMTR), a leading global AI enabled digital manufacturing marketplace, today reported financial results for the fourth quarter ended December 31, 2021.</w:t>
      </w:r>
    </w:p>
    <w:p>
      <w:pPr>
        <w:spacing w:after="0" w:line="88"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“In Q4 2021, Xometry continued to demonstrate strong growth across the board with accelerated demand from our larger customers. Our AI-driven platform gets smarter with each new data point leading to record gross margin,” said Randy Altschuler, Xometry’s CEO. “Although we are still in the early innings of the secular digitization of the manufacturing industry, Xometry has become the digital marketplace connecting buyers with sellers to unleash limitless product innovation.”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Financial Highlights</w:t>
      </w:r>
    </w:p>
    <w:p>
      <w:pPr>
        <w:spacing w:after="0" w:line="118"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revenue for the fourth quarter 2021 was $67.1 million an increase of 77% year-over-year.</w:t>
      </w:r>
    </w:p>
    <w:p>
      <w:pPr>
        <w:spacing w:after="0" w:line="80" w:lineRule="exact"/>
        <w:rPr>
          <w:rFonts w:ascii="Arial" w:cs="Arial" w:eastAsia="Arial" w:hAnsi="Arial"/>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Excluding Thomas, Xometry Q4 2021 revenue grew 66% year-over-year from $38.0 million as of December 31,</w:t>
      </w:r>
    </w:p>
    <w:p>
      <w:pPr>
        <w:ind w:left="1020" w:right="120"/>
        <w:spacing w:after="0" w:line="236" w:lineRule="auto"/>
        <w:rPr>
          <w:rFonts w:ascii="Arial" w:cs="Arial" w:eastAsia="Arial" w:hAnsi="Arial"/>
          <w:sz w:val="20"/>
          <w:szCs w:val="20"/>
          <w:color w:val="auto"/>
        </w:rPr>
      </w:pPr>
      <w:r>
        <w:rPr>
          <w:rFonts w:ascii="Arial" w:cs="Arial" w:eastAsia="Arial" w:hAnsi="Arial"/>
          <w:sz w:val="20"/>
          <w:szCs w:val="20"/>
          <w:color w:val="auto"/>
        </w:rPr>
        <w:t>2020 to $63.0 million as of December 31, 2021. Thomas revenue from the date of acquisition on December 9, 2021 was $4.1 million.</w:t>
      </w:r>
    </w:p>
    <w:p>
      <w:pPr>
        <w:spacing w:after="0" w:line="87" w:lineRule="exact"/>
        <w:rPr>
          <w:rFonts w:ascii="Arial" w:cs="Arial" w:eastAsia="Arial" w:hAnsi="Arial"/>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gross profit for the fourth quarter 2021 was $20.9 million an increase of 121% year-over-year.</w:t>
      </w:r>
    </w:p>
    <w:p>
      <w:pPr>
        <w:spacing w:after="0" w:line="94" w:lineRule="exact"/>
        <w:rPr>
          <w:rFonts w:ascii="Arial" w:cs="Arial" w:eastAsia="Arial" w:hAnsi="Arial"/>
          <w:sz w:val="20"/>
          <w:szCs w:val="20"/>
          <w:color w:val="auto"/>
        </w:rPr>
      </w:pPr>
    </w:p>
    <w:p>
      <w:pPr>
        <w:ind w:left="1020" w:right="20" w:hanging="503"/>
        <w:spacing w:after="0" w:line="236"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Excluding Thomas, Xometry gross profit increased 83% year-over-year to $17.3 million as of December 31, 2021, as compared to $9.5 million as of December 31, 2020.</w:t>
      </w:r>
    </w:p>
    <w:p>
      <w:pPr>
        <w:spacing w:after="0" w:line="87" w:lineRule="exact"/>
        <w:rPr>
          <w:rFonts w:ascii="Arial" w:cs="Arial" w:eastAsia="Arial" w:hAnsi="Arial"/>
          <w:sz w:val="20"/>
          <w:szCs w:val="20"/>
          <w:color w:val="auto"/>
        </w:rPr>
      </w:pPr>
    </w:p>
    <w:p>
      <w:pPr>
        <w:ind w:left="1020" w:right="520" w:hanging="503"/>
        <w:spacing w:after="0" w:line="236"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Excluding Thomas, Xometry gross profit margin improved to 27.5% as of December 31, 2021 from 25.0% as of December 31, 2020.</w:t>
      </w:r>
    </w:p>
    <w:p>
      <w:pPr>
        <w:spacing w:after="0" w:line="87" w:lineRule="exact"/>
        <w:rPr>
          <w:rFonts w:ascii="Arial" w:cs="Arial" w:eastAsia="Arial" w:hAnsi="Arial"/>
          <w:sz w:val="20"/>
          <w:szCs w:val="20"/>
          <w:color w:val="auto"/>
        </w:rPr>
      </w:pPr>
    </w:p>
    <w:p>
      <w:pPr>
        <w:ind w:left="1020" w:right="140" w:hanging="503"/>
        <w:spacing w:after="0" w:line="236"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Active Buyers increased 49% from 18,846 as of December 31, 2020 to 28,130 as of December 31, 2021 (excluding Thomas).</w:t>
      </w:r>
    </w:p>
    <w:p>
      <w:pPr>
        <w:spacing w:after="0" w:line="87" w:lineRule="exact"/>
        <w:rPr>
          <w:rFonts w:ascii="Arial" w:cs="Arial" w:eastAsia="Arial" w:hAnsi="Arial"/>
          <w:sz w:val="20"/>
          <w:szCs w:val="20"/>
          <w:color w:val="auto"/>
        </w:rPr>
      </w:pPr>
    </w:p>
    <w:p>
      <w:pPr>
        <w:ind w:left="1020" w:right="180" w:hanging="503"/>
        <w:spacing w:after="0" w:line="236"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Accounts with Last Twelve-Months Spend of at least $50,000 increased 80% from 389 as of December 31, 2020 to 701 as of December 31, 2021 (excluding Thomas).</w:t>
      </w:r>
    </w:p>
    <w:p>
      <w:pPr>
        <w:spacing w:after="0" w:line="87" w:lineRule="exact"/>
        <w:rPr>
          <w:rFonts w:ascii="Arial" w:cs="Arial" w:eastAsia="Arial" w:hAnsi="Arial"/>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Percentage of Revenue from Existing Accounts was 95%, consistent with the prior quarter (excluding Thomas).</w:t>
      </w:r>
    </w:p>
    <w:p>
      <w:pPr>
        <w:spacing w:after="0" w:line="94" w:lineRule="exact"/>
        <w:rPr>
          <w:rFonts w:ascii="Arial" w:cs="Arial" w:eastAsia="Arial" w:hAnsi="Arial"/>
          <w:sz w:val="20"/>
          <w:szCs w:val="20"/>
          <w:color w:val="auto"/>
        </w:rPr>
      </w:pPr>
    </w:p>
    <w:p>
      <w:pPr>
        <w:ind w:left="1020" w:right="340" w:hanging="503"/>
        <w:spacing w:after="0" w:line="230"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loss was $23.9 million for the quarter, an increase of $13.7 million year-over-year, and Adjusted EBITDA was negative $11.9 million for the quarter, reflecting an increase of $5.3 million year-over-year. Net loss for Q4 2021 includes $5.7 million of transaction costs, $2.6 million of stock-based compensation expense and $1.1 million of expense for charitable contributions.</w:t>
      </w:r>
    </w:p>
    <w:p>
      <w:pPr>
        <w:spacing w:after="0" w:line="90" w:lineRule="exact"/>
        <w:rPr>
          <w:rFonts w:ascii="Arial" w:cs="Arial" w:eastAsia="Arial" w:hAnsi="Arial"/>
          <w:sz w:val="20"/>
          <w:szCs w:val="20"/>
          <w:color w:val="auto"/>
        </w:rPr>
      </w:pPr>
    </w:p>
    <w:p>
      <w:pPr>
        <w:ind w:left="1020" w:right="220" w:hanging="503"/>
        <w:spacing w:after="0" w:line="257" w:lineRule="auto"/>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Cash and cash equivalents and marketable securities were $116.7 million as of December 31, 2021. On February 10, 2022, Xometry completed a Convertible Senior Note offering, raising $278.9 million in net proceeds.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Fourth Quarter Business Highlights</w:t>
      </w:r>
    </w:p>
    <w:p>
      <w:pPr>
        <w:spacing w:after="0" w:line="118"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number of Active Sellers grew significantly, increasing 43% year-over-year from 1,410 to 2,010.</w:t>
      </w:r>
    </w:p>
    <w:p>
      <w:pPr>
        <w:spacing w:after="0" w:line="94" w:lineRule="exact"/>
        <w:rPr>
          <w:rFonts w:ascii="Arial" w:cs="Arial" w:eastAsia="Arial" w:hAnsi="Arial"/>
          <w:sz w:val="20"/>
          <w:szCs w:val="20"/>
          <w:color w:val="auto"/>
        </w:rPr>
      </w:pPr>
    </w:p>
    <w:p>
      <w:pPr>
        <w:ind w:left="1020" w:right="100" w:hanging="503"/>
        <w:spacing w:after="0" w:line="232"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Released version 2.0 of the Xometry app for Autodesk Fusion 360, a leading CAD design platform. Version 2.0 displays design for manufacturing feedback directly into the CAD environment and is available in Europe in multiple languages.</w:t>
      </w:r>
    </w:p>
    <w:p>
      <w:pPr>
        <w:spacing w:after="0" w:line="89" w:lineRule="exact"/>
        <w:rPr>
          <w:rFonts w:ascii="Arial" w:cs="Arial" w:eastAsia="Arial" w:hAnsi="Arial"/>
          <w:sz w:val="20"/>
          <w:szCs w:val="20"/>
          <w:color w:val="auto"/>
        </w:rPr>
      </w:pPr>
    </w:p>
    <w:p>
      <w:pPr>
        <w:ind w:left="1020" w:right="300" w:hanging="503"/>
        <w:spacing w:after="0" w:line="236"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November 1, acquired Big Blue Saw. Utilizing the data and know-how from Big Blue Saw, we launched a new sheet cutting process with instant pricing for over 50 materials later in the quarter.</w:t>
      </w:r>
    </w:p>
    <w:p>
      <w:pPr>
        <w:spacing w:after="0" w:line="87" w:lineRule="exact"/>
        <w:rPr>
          <w:rFonts w:ascii="Arial" w:cs="Arial" w:eastAsia="Arial" w:hAnsi="Arial"/>
          <w:sz w:val="20"/>
          <w:szCs w:val="20"/>
          <w:color w:val="auto"/>
        </w:rPr>
      </w:pPr>
    </w:p>
    <w:p>
      <w:pPr>
        <w:ind w:left="1020" w:right="700" w:hanging="503"/>
        <w:spacing w:after="0" w:line="257" w:lineRule="auto"/>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On November 5, acquired FactoryFour. The cloud-based software will integrate seamlessly with the Xometry marketplace and Thomasnet.com platform, providing suppliers a one-stop view into all their orders.</w:t>
      </w:r>
    </w:p>
    <w:p>
      <w:pPr>
        <w:spacing w:after="0" w:line="72" w:lineRule="exact"/>
        <w:rPr>
          <w:rFonts w:ascii="Arial" w:cs="Arial" w:eastAsia="Arial" w:hAnsi="Arial"/>
          <w:sz w:val="19"/>
          <w:szCs w:val="19"/>
          <w:color w:val="auto"/>
        </w:rPr>
      </w:pPr>
    </w:p>
    <w:p>
      <w:pPr>
        <w:ind w:left="1020" w:right="160" w:hanging="503"/>
        <w:spacing w:after="0" w:line="229"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December 9, acquired Thomas, a leader in product sourcing, supplier selection and digital marketing solutions. The acquisition of Thomas is expected to rapidly expand Xometry’s buyer and seller bases, significantly enhancing Xometry’s global digital marketplace for manufacturers. Xometry also expects to leverage Thomas’ marketing and data services to deliver an unmatched suite of end-to-end services for sellers with additional fintech and digital marketing products.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Financial Highlights</w:t>
      </w:r>
    </w:p>
    <w:p>
      <w:pPr>
        <w:spacing w:after="0" w:line="118"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revenue for the full year 2021 was $218.3 million an increase of 54% year-over-year.</w:t>
      </w:r>
    </w:p>
    <w:p>
      <w:pPr>
        <w:spacing w:after="0" w:line="94" w:lineRule="exact"/>
        <w:rPr>
          <w:rFonts w:ascii="Arial" w:cs="Arial" w:eastAsia="Arial" w:hAnsi="Arial"/>
          <w:sz w:val="20"/>
          <w:szCs w:val="20"/>
          <w:color w:val="auto"/>
        </w:rPr>
      </w:pPr>
    </w:p>
    <w:p>
      <w:pPr>
        <w:ind w:left="1020" w:right="580" w:hanging="503"/>
        <w:spacing w:after="0" w:line="236"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Excluding Thomas, Xometry revenue for the full year 2021 grew 52% year-over-year from $141.4 million as of December 31, 2020 to $214.2 million as of December 31, 2021.</w:t>
      </w:r>
    </w:p>
    <w:p>
      <w:pPr>
        <w:spacing w:after="0" w:line="87" w:lineRule="exact"/>
        <w:rPr>
          <w:rFonts w:ascii="Arial" w:cs="Arial" w:eastAsia="Arial" w:hAnsi="Arial"/>
          <w:sz w:val="20"/>
          <w:szCs w:val="20"/>
          <w:color w:val="auto"/>
        </w:rPr>
      </w:pPr>
    </w:p>
    <w:p>
      <w:pPr>
        <w:ind w:left="1020" w:right="360" w:hanging="503"/>
        <w:spacing w:after="0" w:line="257"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Total gross profit for the full year 2021 was $57.1 million, an increase of 72% year-over-year. Gross profit margin improved to 26.2% for year ended December 31, 2021 from 23.5% for the year ended December 31, 2020.</w:t>
      </w:r>
    </w:p>
    <w:p>
      <w:pPr>
        <w:spacing w:after="0" w:line="72" w:lineRule="exact"/>
        <w:rPr>
          <w:rFonts w:ascii="Arial" w:cs="Arial" w:eastAsia="Arial" w:hAnsi="Arial"/>
          <w:sz w:val="19"/>
          <w:szCs w:val="19"/>
          <w:color w:val="auto"/>
        </w:rPr>
      </w:pPr>
    </w:p>
    <w:p>
      <w:pPr>
        <w:ind w:left="1020" w:right="260" w:hanging="503"/>
        <w:spacing w:after="0" w:line="236"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Excluding Thomas, Xometry’s gross profit margin improved to 25.0% for the year ended December 31, 2021 from 23.5% for the year ended December 31, 2020.</w:t>
      </w:r>
    </w:p>
    <w:p>
      <w:pPr>
        <w:spacing w:after="0" w:line="87" w:lineRule="exact"/>
        <w:rPr>
          <w:rFonts w:ascii="Arial" w:cs="Arial" w:eastAsia="Arial" w:hAnsi="Arial"/>
          <w:sz w:val="20"/>
          <w:szCs w:val="20"/>
          <w:color w:val="auto"/>
        </w:rPr>
      </w:pPr>
    </w:p>
    <w:p>
      <w:pPr>
        <w:jc w:val="both"/>
        <w:ind w:left="1020" w:right="140" w:hanging="503"/>
        <w:spacing w:after="0" w:line="230"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loss was $61.4 million for the full year 2021, an increase of $30.3 million year-over-year, and Adjusted EBITDA was negative $39.8 million for the full year 2021, reflecting an increase of $16.3 million year-over-year. Net loss for the full year 2021 includes $7.4 million of stock-based compensation expense, $5.7 million of transaction costs and $2.2 million of expense for charitable contributions.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Business Highlights</w:t>
      </w:r>
    </w:p>
    <w:p>
      <w:pPr>
        <w:spacing w:after="0" w:line="118" w:lineRule="exact"/>
        <w:rPr>
          <w:sz w:val="20"/>
          <w:szCs w:val="20"/>
          <w:color w:val="auto"/>
        </w:rPr>
      </w:pPr>
    </w:p>
    <w:p>
      <w:pPr>
        <w:ind w:left="1020" w:right="440" w:hanging="503"/>
        <w:spacing w:after="0" w:line="236" w:lineRule="auto"/>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Xometry expanded our portfolio of fintech products for sellers including Instant Pay. These products help sellers improve their cash flow and more deeply engage with the marketplace.</w:t>
      </w:r>
    </w:p>
    <w:p>
      <w:pPr>
        <w:spacing w:after="0" w:line="87" w:lineRule="exact"/>
        <w:rPr>
          <w:rFonts w:ascii="Arial" w:cs="Arial" w:eastAsia="Arial" w:hAnsi="Arial"/>
          <w:sz w:val="20"/>
          <w:szCs w:val="20"/>
          <w:color w:val="auto"/>
        </w:rPr>
      </w:pPr>
    </w:p>
    <w:p>
      <w:pPr>
        <w:ind w:left="1020" w:hanging="503"/>
        <w:spacing w:after="0" w:line="236" w:lineRule="auto"/>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Completed punchout integrations with SAP Ariba and Coupa enabling customers to order from Xometry directly from their ERP systems.</w:t>
      </w:r>
    </w:p>
    <w:p>
      <w:pPr>
        <w:spacing w:after="0" w:line="87" w:lineRule="exact"/>
        <w:rPr>
          <w:rFonts w:ascii="Arial" w:cs="Arial" w:eastAsia="Arial" w:hAnsi="Arial"/>
          <w:sz w:val="20"/>
          <w:szCs w:val="20"/>
          <w:color w:val="auto"/>
        </w:rPr>
      </w:pPr>
    </w:p>
    <w:p>
      <w:pPr>
        <w:ind w:left="1020" w:hanging="503"/>
        <w:spacing w:after="0"/>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Successfully completed our Initial Public Offering (IPO) on June 30, 2021 raising $325 million.</w:t>
      </w:r>
    </w:p>
    <w:p>
      <w:pPr>
        <w:spacing w:after="0" w:line="94" w:lineRule="exact"/>
        <w:rPr>
          <w:rFonts w:ascii="Arial" w:cs="Arial" w:eastAsia="Arial" w:hAnsi="Arial"/>
          <w:sz w:val="20"/>
          <w:szCs w:val="20"/>
          <w:color w:val="auto"/>
        </w:rPr>
      </w:pPr>
    </w:p>
    <w:p>
      <w:pPr>
        <w:ind w:left="1020" w:hanging="503"/>
        <w:spacing w:after="0"/>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Rapidly expanded in Europe including localized offerings in new countries.</w:t>
      </w:r>
    </w:p>
    <w:p>
      <w:pPr>
        <w:spacing w:after="0" w:line="94" w:lineRule="exact"/>
        <w:rPr>
          <w:rFonts w:ascii="Arial" w:cs="Arial" w:eastAsia="Arial" w:hAnsi="Arial"/>
          <w:sz w:val="20"/>
          <w:szCs w:val="20"/>
          <w:color w:val="auto"/>
        </w:rPr>
      </w:pPr>
    </w:p>
    <w:p>
      <w:pPr>
        <w:ind w:left="1020" w:hanging="503"/>
        <w:spacing w:after="0"/>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Revamped our supplies offering with a new ecommerce storefront.</w:t>
      </w:r>
    </w:p>
    <w:p>
      <w:pPr>
        <w:spacing w:after="0" w:line="94" w:lineRule="exact"/>
        <w:rPr>
          <w:rFonts w:ascii="Arial" w:cs="Arial" w:eastAsia="Arial" w:hAnsi="Arial"/>
          <w:sz w:val="20"/>
          <w:szCs w:val="20"/>
          <w:color w:val="auto"/>
        </w:rPr>
      </w:pPr>
    </w:p>
    <w:p>
      <w:pPr>
        <w:ind w:left="1020" w:right="560" w:hanging="503"/>
        <w:spacing w:after="0" w:line="236" w:lineRule="auto"/>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Xometry’s Donor Advised Fund (DAF) embraced the Pledge 1% movement, committing to donate the pledged amount of our equity over time to support charitable organizations.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20"/>
          <w:szCs w:val="20"/>
          <w:b w:val="1"/>
          <w:bCs w:val="1"/>
          <w:color w:val="auto"/>
        </w:rPr>
        <w:t>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60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rPr>
              <w:t>For the Three Months Ended</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For the Year Ended</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December 31,</w:t>
            </w:r>
          </w:p>
        </w:tc>
        <w:tc>
          <w:tcPr>
            <w:tcW w:w="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December 31,</w:t>
            </w:r>
          </w:p>
        </w:tc>
        <w:tc>
          <w:tcPr>
            <w:tcW w:w="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67,098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37,980</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77 %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218,336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141,406</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20,937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9,479</w:t>
            </w:r>
          </w:p>
        </w:tc>
        <w:tc>
          <w:tcPr>
            <w:tcW w:w="22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121 %</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57,141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33,286</w:t>
            </w: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(23,907 )</w:t>
            </w:r>
          </w:p>
        </w:tc>
        <w:tc>
          <w:tcPr>
            <w:tcW w:w="3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(10,178 )</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135 %</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(61,381 )</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(31,085 )</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Arial" w:cs="Arial" w:eastAsia="Arial" w:hAnsi="Arial"/>
                <w:sz w:val="16"/>
                <w:szCs w:val="16"/>
                <w:color w:val="auto"/>
              </w:rPr>
              <w:t>EPS—basic and diluted</w:t>
            </w:r>
          </w:p>
        </w:tc>
        <w:tc>
          <w:tcPr>
            <w:tcW w:w="2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(0.53 )</w:t>
            </w: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(1.34 )</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(2.33 )</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(5.32 )</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Adjusted EBITDA (Non-GAAP)</w:t>
            </w:r>
            <w:r>
              <w:rPr>
                <w:rFonts w:ascii="Arial" w:cs="Arial" w:eastAsia="Arial" w:hAnsi="Arial"/>
                <w:sz w:val="21"/>
                <w:szCs w:val="21"/>
                <w:color w:val="auto"/>
                <w:vertAlign w:val="superscript"/>
              </w:rPr>
              <w:t>(1)</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(11,854 )</w:t>
            </w:r>
          </w:p>
        </w:tc>
        <w:tc>
          <w:tcPr>
            <w:tcW w:w="3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(6,590 )</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(39,757 )</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(23,498 )</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80" w:right="440" w:hanging="372"/>
        <w:spacing w:after="0" w:line="236"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These non-GAAP financial measures, and reasons why we believe these non-GAAP financial measures are useful, are described below and reconciled to their most directly comparable GAAP measures in the accompanying tables.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260"/>
              <w:spacing w:after="0" w:line="203" w:lineRule="exact"/>
              <w:rPr>
                <w:sz w:val="20"/>
                <w:szCs w:val="20"/>
                <w:color w:val="auto"/>
              </w:rPr>
            </w:pPr>
            <w:r>
              <w:rPr>
                <w:rFonts w:ascii="Arial" w:cs="Arial" w:eastAsia="Arial" w:hAnsi="Arial"/>
                <w:sz w:val="18"/>
                <w:szCs w:val="18"/>
                <w:b w:val="1"/>
                <w:bCs w:val="1"/>
                <w:color w:val="auto"/>
              </w:rPr>
              <w:t>As of December 31,</w:t>
            </w: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3"/>
                <w:szCs w:val="13"/>
                <w:color w:val="auto"/>
              </w:rPr>
            </w:pPr>
          </w:p>
        </w:tc>
        <w:tc>
          <w:tcPr>
            <w:tcW w:w="200" w:type="dxa"/>
            <w:vAlign w:val="bottom"/>
            <w:vMerge w:val="restart"/>
          </w:tcPr>
          <w:p>
            <w:pPr>
              <w:spacing w:after="0"/>
              <w:rPr>
                <w:sz w:val="13"/>
                <w:szCs w:val="13"/>
                <w:color w:val="auto"/>
              </w:rPr>
            </w:pPr>
          </w:p>
        </w:tc>
        <w:tc>
          <w:tcPr>
            <w:tcW w:w="13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3"/>
                <w:szCs w:val="13"/>
                <w:color w:val="auto"/>
              </w:rPr>
            </w:pPr>
          </w:p>
        </w:tc>
        <w:tc>
          <w:tcPr>
            <w:tcW w:w="1200" w:type="dxa"/>
            <w:vAlign w:val="bottom"/>
          </w:tcPr>
          <w:p>
            <w:pPr>
              <w:jc w:val="right"/>
              <w:ind w:right="450"/>
              <w:spacing w:after="0" w:line="15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Active Buyers</w:t>
            </w:r>
            <w:r>
              <w:rPr>
                <w:rFonts w:ascii="Arial" w:cs="Arial" w:eastAsia="Arial" w:hAnsi="Arial"/>
                <w:sz w:val="23"/>
                <w:szCs w:val="23"/>
                <w:color w:val="auto"/>
                <w:vertAlign w:val="superscript"/>
              </w:rPr>
              <w:t>(3)</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28,130</w:t>
            </w: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18,846</w:t>
            </w: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7"/>
                <w:szCs w:val="17"/>
                <w:color w:val="auto"/>
              </w:rPr>
              <w:t>Percentage of Revenue from Existing Accounts</w:t>
            </w:r>
            <w:r>
              <w:rPr>
                <w:rFonts w:ascii="Arial" w:cs="Arial" w:eastAsia="Arial" w:hAnsi="Arial"/>
                <w:sz w:val="23"/>
                <w:szCs w:val="23"/>
                <w:color w:val="auto"/>
                <w:vertAlign w:val="superscript"/>
              </w:rPr>
              <w:t>(3)</w:t>
            </w: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95 %</w:t>
            </w:r>
          </w:p>
        </w:tc>
        <w:tc>
          <w:tcPr>
            <w:tcW w:w="19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95 %</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Accounts with Last Twelve-Months Spend of at Least $50,000</w:t>
            </w:r>
            <w:r>
              <w:rPr>
                <w:rFonts w:ascii="Arial" w:cs="Arial" w:eastAsia="Arial" w:hAnsi="Arial"/>
                <w:sz w:val="23"/>
                <w:szCs w:val="23"/>
                <w:color w:val="auto"/>
                <w:vertAlign w:val="superscript"/>
              </w:rPr>
              <w:t>(3)</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701</w:t>
            </w: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389</w:t>
            </w: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These key operating metrics are for Xometry (excluding any impacts from Thomas).</w:t>
      </w:r>
    </w:p>
    <w:p>
      <w:pPr>
        <w:ind w:left="380" w:right="140" w:hanging="372"/>
        <w:spacing w:after="0" w:line="232"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Amounts shown for Active Buyers and Accounts with Last Twelve-Months Spend of at Least $50,000 are as of December 31, 2021 and 2020, and Percentage of Revenue from Existing Accounts is presented for the quarters ended December 31, 2021 and 2020.</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Subsequent to Fourth Quarter 2021</w:t>
      </w:r>
    </w:p>
    <w:p>
      <w:pPr>
        <w:spacing w:after="0" w:line="199"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On February 4, 2022, the Company completed a private offering of $250 million aggregate principal amount of 1.00% Convertible Senior Notes due 2027 (the “Initial Notes”). The Initial Notes were issued pursuant to an indenture, dated February 4, 2022 (the “Indenture”), between the Company and U.S. Bank Trust Company, National Association, as trustee.</w:t>
      </w:r>
    </w:p>
    <w:p>
      <w:pPr>
        <w:spacing w:after="0" w:line="197"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On February 10, 2022, the Company issued an additional $ 37.5 million aggregate principal amount of its 1.00% Convertible Senior Notes due 2027 (the “Additional Notes”) to the initial purchasers named in the purchase agreement. The issuance of the Additional Notes was pursuant to the initial purchasers’ exercise in full of their 13-day option to purchase Additional Notes granted in the original offering of $250 million aggregate principal amount of 1.00% Convertible Senior Notes due 2027. The proceeds from the Initial Notes and the Additional Notes (collectively referred to as the “Notes”) are expected to be used for working capital and other general corporate purposes. The Company may also use a portion of the net proceeds for acquisitions of, or strategic investments in, complementary businesses, products, services, or technologies. However, the Company does not have agreements or commitments with respect to any such acquisition or strategic investment at this time. The Notes are general unsecured obligations of the Company and will mature on February 1, 2027, unless earlier converted, redeemed or repurchased. Interest on the Notes will accrue at a rate of 1.00% per year from February 4, 2022 and will be payable semiannually in arrears on February 1 and August 1 of each year, beginning on August 1, 2022. In connection with the Notes offering, the Company received net cash proceeds of approximately $278.9 million, after deducting the initial purchasers discounts and commissions.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Q1 2022</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FY 2022</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(in</w:t>
            </w:r>
          </w:p>
        </w:tc>
        <w:tc>
          <w:tcPr>
            <w:tcW w:w="62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78"/>
              </w:rPr>
              <w:t>millions)</w:t>
            </w: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510"/>
              <w:spacing w:after="0" w:line="196" w:lineRule="exact"/>
              <w:rPr>
                <w:sz w:val="20"/>
                <w:szCs w:val="20"/>
                <w:color w:val="auto"/>
              </w:rPr>
            </w:pPr>
            <w:r>
              <w:rPr>
                <w:rFonts w:ascii="Arial" w:cs="Arial" w:eastAsia="Arial" w:hAnsi="Arial"/>
                <w:sz w:val="18"/>
                <w:szCs w:val="18"/>
                <w:b w:val="1"/>
                <w:bCs w:val="1"/>
                <w:color w:val="auto"/>
              </w:rPr>
              <w:t>Low</w:t>
            </w:r>
          </w:p>
        </w:tc>
        <w:tc>
          <w:tcPr>
            <w:tcW w:w="400" w:type="dxa"/>
            <w:vAlign w:val="bottom"/>
          </w:tcPr>
          <w:p>
            <w:pPr>
              <w:spacing w:after="0"/>
              <w:rPr>
                <w:sz w:val="17"/>
                <w:szCs w:val="17"/>
                <w:color w:val="auto"/>
              </w:rPr>
            </w:pPr>
          </w:p>
        </w:tc>
        <w:tc>
          <w:tcPr>
            <w:tcW w:w="1140" w:type="dxa"/>
            <w:vAlign w:val="bottom"/>
            <w:gridSpan w:val="2"/>
          </w:tcPr>
          <w:p>
            <w:pPr>
              <w:jc w:val="right"/>
              <w:ind w:right="550"/>
              <w:spacing w:after="0" w:line="196" w:lineRule="exact"/>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17"/>
                <w:szCs w:val="17"/>
                <w:color w:val="auto"/>
              </w:rPr>
            </w:pPr>
          </w:p>
        </w:tc>
        <w:tc>
          <w:tcPr>
            <w:tcW w:w="96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Low</w:t>
            </w:r>
          </w:p>
        </w:tc>
        <w:tc>
          <w:tcPr>
            <w:tcW w:w="40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17"/>
                <w:szCs w:val="17"/>
                <w:color w:val="auto"/>
              </w:rPr>
            </w:pPr>
          </w:p>
        </w:tc>
      </w:tr>
      <w:tr>
        <w:trPr>
          <w:trHeight w:val="203"/>
        </w:trPr>
        <w:tc>
          <w:tcPr>
            <w:tcW w:w="5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81.0</w:t>
            </w:r>
          </w:p>
        </w:tc>
        <w:tc>
          <w:tcPr>
            <w:tcW w:w="40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jc w:val="center"/>
              <w:ind w:right="1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390.0</w:t>
            </w:r>
          </w:p>
        </w:tc>
        <w:tc>
          <w:tcPr>
            <w:tcW w:w="40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w:t>
            </w:r>
          </w:p>
        </w:tc>
        <w:tc>
          <w:tcPr>
            <w:tcW w:w="80" w:type="dxa"/>
            <w:vAlign w:val="bottom"/>
            <w:shd w:val="clear" w:color="auto" w:fill="CFF0FC"/>
          </w:tcPr>
          <w:p>
            <w:pPr>
              <w:spacing w:after="0"/>
              <w:rPr>
                <w:sz w:val="17"/>
                <w:szCs w:val="17"/>
                <w:color w:val="auto"/>
              </w:rPr>
            </w:pPr>
          </w:p>
        </w:tc>
      </w:tr>
      <w:tr>
        <w:trPr>
          <w:trHeight w:val="217"/>
        </w:trPr>
        <w:tc>
          <w:tcPr>
            <w:tcW w:w="55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(13.5 )</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(12.5 )</w:t>
            </w:r>
          </w:p>
        </w:tc>
        <w:tc>
          <w:tcPr>
            <w:tcW w:w="40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(36.0 )</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18" w:lineRule="exact"/>
        <w:rPr>
          <w:sz w:val="20"/>
          <w:szCs w:val="20"/>
          <w:color w:val="auto"/>
        </w:rPr>
      </w:pPr>
    </w:p>
    <w:p>
      <w:pPr>
        <w:ind w:right="140"/>
        <w:spacing w:after="0" w:line="226"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a non-GAAP financial measure, as described below. This non-GAAP financial measure is presented to enhance the user’s overall understanding of Xometry’s financial performance and should not be considered a substitute for, or superior to, the financial information prepared and presented in accordance with GAAP. The non-GAAP financial measure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this measure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this non-GAAP financial measure provides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207"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An additional limitation of non-GAAP financial measures is that they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Key Terms for our Key Metrics and Non-GAAP Financial Measures</w:t>
      </w:r>
    </w:p>
    <w:p>
      <w:pPr>
        <w:spacing w:after="0" w:line="202"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 xml:space="preserve">The Company defines </w:t>
      </w: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xml:space="preserve"> as net income (loss) excluding interest income (expense), income tax (expense) benefit, and certain other non-cash or non-recurring items impacting net loss from time to time, principally comprised of depreciation and amortization, stock-based compensation, transaction costs, charitable contributions, income from unconsolidated joint venture and impairment charges. Management believes that the exclusion of certain expenses and gains in calculating Adjusted EBITDA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amounts of such expenses is the result of long-term investment decisions made in previous periods rather than day-to-day operating decisions.</w:t>
      </w:r>
    </w:p>
    <w:p>
      <w:pPr>
        <w:spacing w:after="0" w:line="172" w:lineRule="exact"/>
        <w:rPr>
          <w:sz w:val="20"/>
          <w:szCs w:val="20"/>
          <w:color w:val="auto"/>
        </w:rPr>
      </w:pPr>
    </w:p>
    <w:p>
      <w:pPr>
        <w:ind w:right="620"/>
        <w:spacing w:after="0" w:line="241"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platform. The Company defines Active Buyers as the number of buyers who have made at least one purchase on our marketplace during the last twelve months.</w:t>
      </w:r>
    </w:p>
    <w:p>
      <w:pPr>
        <w:spacing w:after="0" w:line="171"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“accounts”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54"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Xometry</w:t>
      </w:r>
    </w:p>
    <w:p>
      <w:pPr>
        <w:spacing w:after="0" w:line="22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 Learn more at www.xometry.com or follow @xometry.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2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Company will discuss its fourth quarter and full year 2021 financial results during a teleconference on 3/17/2022, at 5:00 PM ET/2:00 PM PT. The conference call can be accessed in the U.S. at 877-313-2061 or outside the U.S. at 470-495-9537 with the conference ID# 7397803. A live audio webcast of the call will also be available simultaneously at investors.xometry.com.</w:t>
      </w:r>
    </w:p>
    <w:p>
      <w:pPr>
        <w:spacing w:after="0" w:line="1" w:lineRule="exact"/>
        <w:rPr>
          <w:sz w:val="20"/>
          <w:szCs w:val="20"/>
          <w:color w:val="auto"/>
        </w:rPr>
      </w:pPr>
    </w:p>
    <w:p>
      <w:pPr>
        <w:ind w:right="500"/>
        <w:spacing w:after="0" w:line="232" w:lineRule="auto"/>
        <w:rPr>
          <w:sz w:val="20"/>
          <w:szCs w:val="20"/>
          <w:color w:val="auto"/>
        </w:rPr>
      </w:pPr>
      <w:r>
        <w:rPr>
          <w:rFonts w:ascii="Arial" w:cs="Arial" w:eastAsia="Arial" w:hAnsi="Arial"/>
          <w:sz w:val="20"/>
          <w:szCs w:val="20"/>
          <w:color w:val="auto"/>
        </w:rPr>
        <w:t>Following completion of the call, a recorded replay of the teleconference will be available in the investor relations section of Xometry's website. The earnings webcast presentation will be archived within the Investor Relations section of Xometry's website.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first quarter and full year 2022, certain expected synergies from recent acquisitions and demand for our marketplace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including the impact of the COVID-19 pandemic on our business and operations and our ability to forecast our performance due to our limited operating history and the COVID-19 pandemic, investments in new products or offerings, our ability to attract buyers and sellers to our marketplace, legal proceedings and regulatory matters and developments, any future changes to our business or our financial or operating model, and our brand and reputation.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period ended December 31, 2021. All forward-looking statements in this press release are based on information available to Xometry and assumptions and beliefs as of the date hereof, and we disclaim any obligation to update any forward-looking statements, except as required by law.</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 #</w:t>
      </w:r>
    </w:p>
    <w:p>
      <w:pPr>
        <w:jc w:val="center"/>
        <w:ind w:right="-39"/>
        <w:spacing w:after="0"/>
        <w:rPr>
          <w:sz w:val="20"/>
          <w:szCs w:val="20"/>
          <w:color w:val="auto"/>
        </w:rPr>
      </w:pPr>
      <w:r>
        <w:rPr>
          <w:rFonts w:ascii="Arial" w:cs="Arial" w:eastAsia="Arial" w:hAnsi="Arial"/>
          <w:sz w:val="20"/>
          <w:szCs w:val="20"/>
          <w:color w:val="auto"/>
        </w:rPr>
        <w:t>(Tables Follow)</w:t>
      </w:r>
    </w:p>
    <w:p>
      <w:pPr>
        <w:spacing w:after="0" w:line="17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0"/>
          <w:szCs w:val="20"/>
          <w:b w:val="1"/>
          <w:bCs w:val="1"/>
          <w:color w:val="auto"/>
        </w:rPr>
        <w:t>Investor Contact:</w:t>
      </w:r>
      <w:r>
        <w:rPr>
          <w:sz w:val="20"/>
          <w:szCs w:val="20"/>
          <w:color w:val="auto"/>
        </w:rPr>
        <w:tab/>
      </w:r>
      <w:r>
        <w:rPr>
          <w:rFonts w:ascii="Arial" w:cs="Arial" w:eastAsia="Arial" w:hAnsi="Arial"/>
          <w:sz w:val="19"/>
          <w:szCs w:val="19"/>
          <w:b w:val="1"/>
          <w:bCs w:val="1"/>
          <w:color w:val="auto"/>
        </w:rPr>
        <w:t>Media Contact:</w:t>
      </w:r>
    </w:p>
    <w:p>
      <w:pPr>
        <w:sectPr>
          <w:pgSz w:w="11900" w:h="16838" w:orient="portrait"/>
          <w:cols w:equalWidth="0" w:num="1">
            <w:col w:w="11220"/>
          </w:cols>
          <w:pgMar w:left="320" w:top="530" w:right="359" w:bottom="1440" w:gutter="0" w:footer="0" w:header="0"/>
        </w:sectPr>
      </w:pP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Shawn Milne</w:t>
      </w:r>
    </w:p>
    <w:p>
      <w:pPr>
        <w:ind w:left="20"/>
        <w:spacing w:after="0" w:line="211" w:lineRule="auto"/>
        <w:rPr>
          <w:sz w:val="20"/>
          <w:szCs w:val="20"/>
          <w:color w:val="auto"/>
        </w:rPr>
      </w:pPr>
      <w:r>
        <w:rPr>
          <w:rFonts w:ascii="Arial" w:cs="Arial" w:eastAsia="Arial" w:hAnsi="Arial"/>
          <w:sz w:val="20"/>
          <w:szCs w:val="20"/>
          <w:color w:val="auto"/>
        </w:rPr>
        <w:t>VP Investor Relations</w:t>
      </w:r>
    </w:p>
    <w:p>
      <w:pPr>
        <w:ind w:left="20"/>
        <w:spacing w:after="0" w:line="211" w:lineRule="auto"/>
        <w:rPr>
          <w:sz w:val="20"/>
          <w:szCs w:val="20"/>
          <w:color w:val="auto"/>
        </w:rPr>
      </w:pPr>
      <w:r>
        <w:rPr>
          <w:rFonts w:ascii="Arial" w:cs="Arial" w:eastAsia="Arial" w:hAnsi="Arial"/>
          <w:sz w:val="20"/>
          <w:szCs w:val="20"/>
          <w:color w:val="auto"/>
        </w:rPr>
        <w:t>240-335-8132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shawn.milne@xometry.com</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Matthew Hutchison</w:t>
      </w:r>
    </w:p>
    <w:p>
      <w:pPr>
        <w:spacing w:after="0" w:line="222" w:lineRule="auto"/>
        <w:rPr>
          <w:sz w:val="20"/>
          <w:szCs w:val="20"/>
          <w:color w:val="auto"/>
        </w:rPr>
      </w:pPr>
      <w:r>
        <w:rPr>
          <w:rFonts w:ascii="Arial" w:cs="Arial" w:eastAsia="Arial" w:hAnsi="Arial"/>
          <w:sz w:val="19"/>
          <w:szCs w:val="19"/>
          <w:color w:val="auto"/>
        </w:rPr>
        <w:t>Corporate Communications for Xometry</w:t>
      </w:r>
    </w:p>
    <w:p>
      <w:pPr>
        <w:spacing w:after="0" w:line="211" w:lineRule="auto"/>
        <w:rPr>
          <w:sz w:val="20"/>
          <w:szCs w:val="20"/>
          <w:color w:val="auto"/>
        </w:rPr>
      </w:pPr>
      <w:r>
        <w:rPr>
          <w:rFonts w:ascii="Arial" w:cs="Arial" w:eastAsia="Arial" w:hAnsi="Arial"/>
          <w:sz w:val="20"/>
          <w:szCs w:val="20"/>
          <w:color w:val="auto"/>
        </w:rPr>
        <w:t>415-583-2119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matthew.hutchinson@xometry.com</w:t>
      </w:r>
    </w:p>
    <w:p>
      <w:pPr>
        <w:spacing w:after="0" w:line="200" w:lineRule="exact"/>
        <w:rPr>
          <w:sz w:val="20"/>
          <w:szCs w:val="20"/>
          <w:color w:val="auto"/>
        </w:rPr>
      </w:pPr>
    </w:p>
    <w:p>
      <w:pPr>
        <w:sectPr>
          <w:pgSz w:w="11900" w:h="16838" w:orient="portrait"/>
          <w:cols w:equalWidth="0" w:num="2">
            <w:col w:w="4920" w:space="720"/>
            <w:col w:w="5580"/>
          </w:cols>
          <w:pgMar w:left="320" w:top="530" w:right="35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5" w:lineRule="auto"/>
        <w:rPr>
          <w:sz w:val="20"/>
          <w:szCs w:val="20"/>
          <w:color w:val="auto"/>
        </w:rPr>
      </w:pPr>
      <w:r>
        <w:rPr>
          <w:rFonts w:ascii="Arial" w:cs="Arial" w:eastAsia="Arial" w:hAnsi="Arial"/>
          <w:sz w:val="20"/>
          <w:szCs w:val="20"/>
          <w:color w:val="auto"/>
        </w:rPr>
        <w:t>Consolidated Balance Sheets</w:t>
      </w:r>
    </w:p>
    <w:p>
      <w:pPr>
        <w:jc w:val="center"/>
        <w:spacing w:after="0" w:line="235" w:lineRule="auto"/>
        <w:rPr>
          <w:sz w:val="20"/>
          <w:szCs w:val="20"/>
          <w:color w:val="auto"/>
        </w:rPr>
      </w:pPr>
      <w:r>
        <w:rPr>
          <w:rFonts w:ascii="Arial" w:cs="Arial" w:eastAsia="Arial" w:hAnsi="Arial"/>
          <w:sz w:val="20"/>
          <w:szCs w:val="20"/>
          <w:color w:val="auto"/>
        </w:rPr>
        <w:t>(In thousands, except share and per share data)</w:t>
      </w: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right"/>
              <w:ind w:right="388"/>
              <w:spacing w:after="0" w:line="142" w:lineRule="exact"/>
              <w:rPr>
                <w:sz w:val="20"/>
                <w:szCs w:val="20"/>
                <w:color w:val="auto"/>
              </w:rPr>
            </w:pPr>
            <w:r>
              <w:rPr>
                <w:rFonts w:ascii="Arial" w:cs="Arial" w:eastAsia="Arial" w:hAnsi="Arial"/>
                <w:sz w:val="13"/>
                <w:szCs w:val="13"/>
                <w:b w:val="1"/>
                <w:bCs w:val="1"/>
                <w:color w:val="auto"/>
              </w:rPr>
              <w:t>(unaudited)</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59,874</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30,465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768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Accounts receivable, less allowance for doubtful accounts of $0.8 million and $0.6 million as of December 31,</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2021 and 2020, respectively</w:t>
            </w:r>
          </w:p>
        </w:tc>
        <w:tc>
          <w:tcPr>
            <w:tcW w:w="2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32,427</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14,574</w:t>
            </w: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2,033</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6,664</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Deferred sales commissions</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5,283</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Total current assets</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163,431</w:t>
            </w:r>
          </w:p>
        </w:tc>
        <w:tc>
          <w:tcPr>
            <w:tcW w:w="26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77,655</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10,287</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6,113</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27,489</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in unconsolidated joint venture</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4,198</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41,736</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254,672</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502,586</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88,963</w:t>
            </w:r>
          </w:p>
        </w:tc>
        <w:tc>
          <w:tcPr>
            <w:tcW w:w="0" w:type="dxa"/>
            <w:vAlign w:val="bottom"/>
          </w:tcPr>
          <w:p>
            <w:pPr>
              <w:spacing w:after="0"/>
              <w:rPr>
                <w:sz w:val="1"/>
                <w:szCs w:val="1"/>
                <w:color w:val="auto"/>
              </w:rPr>
            </w:pPr>
          </w:p>
        </w:tc>
      </w:tr>
      <w:tr>
        <w:trPr>
          <w:trHeight w:val="156"/>
        </w:trPr>
        <w:tc>
          <w:tcPr>
            <w:tcW w:w="76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12,718</w:t>
            </w:r>
          </w:p>
        </w:tc>
        <w:tc>
          <w:tcPr>
            <w:tcW w:w="26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30,905</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13,606</w:t>
            </w: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Contract liabilities</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7,863</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current portion</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5,549</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Finance lease liabilities, current portion</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Short-term debt</w:t>
            </w:r>
          </w:p>
        </w:tc>
        <w:tc>
          <w:tcPr>
            <w:tcW w:w="2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15,753</w:t>
            </w:r>
          </w:p>
        </w:tc>
        <w:tc>
          <w:tcPr>
            <w:tcW w:w="0" w:type="dxa"/>
            <w:vAlign w:val="bottom"/>
          </w:tcPr>
          <w:p>
            <w:pPr>
              <w:spacing w:after="0"/>
              <w:rPr>
                <w:sz w:val="1"/>
                <w:szCs w:val="1"/>
                <w:color w:val="auto"/>
              </w:rPr>
            </w:pPr>
          </w:p>
        </w:tc>
      </w:tr>
      <w:tr>
        <w:trPr>
          <w:trHeight w:val="169"/>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Total current liabilities</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57,037</w:t>
            </w:r>
          </w:p>
        </w:tc>
        <w:tc>
          <w:tcPr>
            <w:tcW w:w="26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38,381</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net of current portion</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16,920</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1,468</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liabilities</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1,678</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77,103</w:t>
            </w:r>
          </w:p>
        </w:tc>
        <w:tc>
          <w:tcPr>
            <w:tcW w:w="260" w:type="dxa"/>
            <w:vAlign w:val="bottom"/>
            <w:tcBorders>
              <w:top w:val="single" w:sz="8" w:color="CFF0FC"/>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39,499</w:t>
            </w: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Commitments and contingencies (Note 12)</w:t>
            </w:r>
          </w:p>
        </w:tc>
        <w:tc>
          <w:tcPr>
            <w:tcW w:w="2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68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Convertible preferred stock, $0.000001 par value, Seed-1, Seed-2, Series A-1, Series A-2, Series B, Series C,</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Series D and Series E. Authorized; zero shares and 27,970,966 shares, zero shares and 27,758,941 shares</w:t>
            </w:r>
          </w:p>
        </w:tc>
        <w:tc>
          <w:tcPr>
            <w:tcW w:w="28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2"/>
                <w:szCs w:val="12"/>
                <w:color w:val="auto"/>
              </w:rPr>
            </w:pPr>
          </w:p>
        </w:tc>
        <w:tc>
          <w:tcPr>
            <w:tcW w:w="120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160,713</w:t>
            </w:r>
          </w:p>
        </w:tc>
        <w:tc>
          <w:tcPr>
            <w:tcW w:w="0" w:type="dxa"/>
            <w:vAlign w:val="bottom"/>
          </w:tcPr>
          <w:p>
            <w:pPr>
              <w:spacing w:after="0"/>
              <w:rPr>
                <w:sz w:val="1"/>
                <w:szCs w:val="1"/>
                <w:color w:val="auto"/>
              </w:rPr>
            </w:pPr>
          </w:p>
        </w:tc>
      </w:tr>
      <w:tr>
        <w:trPr>
          <w:trHeight w:val="157"/>
        </w:trPr>
        <w:tc>
          <w:tcPr>
            <w:tcW w:w="7680" w:type="dxa"/>
            <w:vAlign w:val="bottom"/>
            <w:shd w:val="clear" w:color="auto" w:fill="CFF0FC"/>
          </w:tcPr>
          <w:p>
            <w:pPr>
              <w:ind w:left="200"/>
              <w:spacing w:after="0" w:line="157" w:lineRule="exact"/>
              <w:rPr>
                <w:sz w:val="20"/>
                <w:szCs w:val="20"/>
                <w:color w:val="auto"/>
              </w:rPr>
            </w:pPr>
            <w:r>
              <w:rPr>
                <w:rFonts w:ascii="Arial" w:cs="Arial" w:eastAsia="Arial" w:hAnsi="Arial"/>
                <w:sz w:val="14"/>
                <w:szCs w:val="14"/>
                <w:color w:val="auto"/>
              </w:rPr>
              <w:t>issued and outstanding as of December 31, 2021 and 2020, respectively</w:t>
            </w:r>
          </w:p>
        </w:tc>
        <w:tc>
          <w:tcPr>
            <w:tcW w:w="280" w:type="dxa"/>
            <w:vAlign w:val="bottom"/>
            <w:shd w:val="clear" w:color="auto" w:fill="CFF0FC"/>
          </w:tcPr>
          <w:p>
            <w:pPr>
              <w:spacing w:after="0"/>
              <w:rPr>
                <w:sz w:val="13"/>
                <w:szCs w:val="13"/>
                <w:color w:val="auto"/>
              </w:rPr>
            </w:pPr>
          </w:p>
        </w:tc>
        <w:tc>
          <w:tcPr>
            <w:tcW w:w="1600" w:type="dxa"/>
            <w:vAlign w:val="bottom"/>
            <w:gridSpan w:val="2"/>
            <w:vMerge w:val="continue"/>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8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Preferred stock, $0.000001 par value. Authorized; 50,000,000 shares and zero shares; zero shares issued and</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outstanding as of December 31, 2021 and 2020, respectively</w:t>
            </w:r>
          </w:p>
        </w:tc>
        <w:tc>
          <w:tcPr>
            <w:tcW w:w="28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7680" w:type="dxa"/>
            <w:vAlign w:val="bottom"/>
          </w:tcPr>
          <w:p>
            <w:pPr>
              <w:ind w:left="200"/>
              <w:spacing w:after="0" w:line="153" w:lineRule="exact"/>
              <w:rPr>
                <w:sz w:val="20"/>
                <w:szCs w:val="20"/>
                <w:color w:val="auto"/>
              </w:rPr>
            </w:pPr>
            <w:r>
              <w:rPr>
                <w:rFonts w:ascii="Arial" w:cs="Arial" w:eastAsia="Arial" w:hAnsi="Arial"/>
                <w:sz w:val="14"/>
                <w:szCs w:val="14"/>
                <w:color w:val="auto"/>
              </w:rPr>
              <w:t>Common stock, $0.000001 par value. Authorized; zero shares and 42,000,000 shares; zero shares and 7,755,782</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80" w:type="dxa"/>
            <w:vAlign w:val="bottom"/>
          </w:tcPr>
          <w:p>
            <w:pPr>
              <w:ind w:left="200"/>
              <w:spacing w:after="0"/>
              <w:rPr>
                <w:sz w:val="20"/>
                <w:szCs w:val="20"/>
                <w:color w:val="auto"/>
              </w:rPr>
            </w:pPr>
            <w:r>
              <w:rPr>
                <w:rFonts w:ascii="Arial" w:cs="Arial" w:eastAsia="Arial" w:hAnsi="Arial"/>
                <w:sz w:val="14"/>
                <w:szCs w:val="14"/>
                <w:color w:val="auto"/>
              </w:rPr>
              <w:t>shares issued and outstanding as of December 31, 2021 and 2020, respectively</w:t>
            </w:r>
          </w:p>
        </w:tc>
        <w:tc>
          <w:tcPr>
            <w:tcW w:w="28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768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Class A Common stock, $0.000001 par value. Authorized; 750,000,000 shares and zero shares</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43,998,404 shares and zero shares issued and outstanding as of December 31, 2021 and 2020, respectively</w:t>
            </w:r>
          </w:p>
        </w:tc>
        <w:tc>
          <w:tcPr>
            <w:tcW w:w="28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7680" w:type="dxa"/>
            <w:vAlign w:val="bottom"/>
          </w:tcPr>
          <w:p>
            <w:pPr>
              <w:ind w:left="200"/>
              <w:spacing w:after="0" w:line="153" w:lineRule="exact"/>
              <w:rPr>
                <w:sz w:val="20"/>
                <w:szCs w:val="20"/>
                <w:color w:val="auto"/>
              </w:rPr>
            </w:pPr>
            <w:r>
              <w:rPr>
                <w:rFonts w:ascii="Arial" w:cs="Arial" w:eastAsia="Arial" w:hAnsi="Arial"/>
                <w:sz w:val="14"/>
                <w:szCs w:val="14"/>
                <w:color w:val="auto"/>
              </w:rPr>
              <w:t>Class B Common stock, $0.000001 par value. Authorized; 5,000,000 shares and zero shares, 2,676,154 shares</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80" w:type="dxa"/>
            <w:vAlign w:val="bottom"/>
          </w:tcPr>
          <w:p>
            <w:pPr>
              <w:ind w:left="200"/>
              <w:spacing w:after="0"/>
              <w:rPr>
                <w:sz w:val="20"/>
                <w:szCs w:val="20"/>
                <w:color w:val="auto"/>
              </w:rPr>
            </w:pPr>
            <w:r>
              <w:rPr>
                <w:rFonts w:ascii="Arial" w:cs="Arial" w:eastAsia="Arial" w:hAnsi="Arial"/>
                <w:sz w:val="14"/>
                <w:szCs w:val="14"/>
                <w:color w:val="auto"/>
              </w:rPr>
              <w:t>and zero shares issued and outstanding as of December 31, 2021 and 2020, respectively</w:t>
            </w:r>
          </w:p>
        </w:tc>
        <w:tc>
          <w:tcPr>
            <w:tcW w:w="28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597,641</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149</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2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(173,341 )</w:t>
            </w: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(111,962 )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Total stockholders’ equity (deficit)</w:t>
            </w:r>
          </w:p>
        </w:tc>
        <w:tc>
          <w:tcPr>
            <w:tcW w:w="2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424,449</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(111,249 )</w:t>
            </w:r>
          </w:p>
        </w:tc>
        <w:tc>
          <w:tcPr>
            <w:tcW w:w="0" w:type="dxa"/>
            <w:vAlign w:val="bottom"/>
          </w:tcPr>
          <w:p>
            <w:pPr>
              <w:spacing w:after="0"/>
              <w:rPr>
                <w:sz w:val="1"/>
                <w:szCs w:val="1"/>
                <w:color w:val="auto"/>
              </w:rPr>
            </w:pPr>
          </w:p>
        </w:tc>
      </w:tr>
      <w:tr>
        <w:trPr>
          <w:trHeight w:val="175"/>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Noncontrolling interest</w:t>
            </w:r>
          </w:p>
        </w:tc>
        <w:tc>
          <w:tcPr>
            <w:tcW w:w="28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1,034</w:t>
            </w:r>
          </w:p>
        </w:tc>
        <w:tc>
          <w:tcPr>
            <w:tcW w:w="2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680" w:type="dxa"/>
            <w:vAlign w:val="bottom"/>
          </w:tcPr>
          <w:p>
            <w:pPr>
              <w:ind w:left="380"/>
              <w:spacing w:after="0"/>
              <w:rPr>
                <w:sz w:val="20"/>
                <w:szCs w:val="20"/>
                <w:color w:val="auto"/>
              </w:rPr>
            </w:pPr>
            <w:r>
              <w:rPr>
                <w:rFonts w:ascii="Arial" w:cs="Arial" w:eastAsia="Arial" w:hAnsi="Arial"/>
                <w:sz w:val="14"/>
                <w:szCs w:val="14"/>
                <w:b w:val="1"/>
                <w:bCs w:val="1"/>
                <w:color w:val="auto"/>
              </w:rPr>
              <w:t>Total equity (deficit)</w:t>
            </w:r>
          </w:p>
        </w:tc>
        <w:tc>
          <w:tcPr>
            <w:tcW w:w="2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425,483</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(111,249 )</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convertible preferred stock and stockholders’ equity</w:t>
            </w: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502,586</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88,963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-4693920</wp:posOffset>
            </wp:positionV>
            <wp:extent cx="431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-4693920</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-3788410</wp:posOffset>
            </wp:positionV>
            <wp:extent cx="43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-3771265</wp:posOffset>
            </wp:positionV>
            <wp:extent cx="43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-3788410</wp:posOffset>
            </wp:positionV>
            <wp:extent cx="43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-3771265</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-2868295</wp:posOffset>
            </wp:positionV>
            <wp:extent cx="431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-2868295</wp:posOffset>
            </wp:positionV>
            <wp:extent cx="431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-2413635</wp:posOffset>
            </wp:positionV>
            <wp:extent cx="431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-2413635</wp:posOffset>
            </wp:positionV>
            <wp:extent cx="431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-1771015</wp:posOffset>
            </wp:positionV>
            <wp:extent cx="431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-1771015</wp:posOffset>
            </wp:positionV>
            <wp:extent cx="431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-493395</wp:posOffset>
            </wp:positionV>
            <wp:extent cx="431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-493395</wp:posOffset>
            </wp:positionV>
            <wp:extent cx="431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-262255</wp:posOffset>
            </wp:positionV>
            <wp:extent cx="431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5" w:lineRule="auto"/>
        <w:rPr>
          <w:sz w:val="20"/>
          <w:szCs w:val="20"/>
          <w:color w:val="auto"/>
        </w:rPr>
      </w:pPr>
      <w:r>
        <w:rPr>
          <w:rFonts w:ascii="Arial" w:cs="Arial" w:eastAsia="Arial" w:hAnsi="Arial"/>
          <w:sz w:val="20"/>
          <w:szCs w:val="20"/>
          <w:color w:val="auto"/>
        </w:rPr>
        <w:t>Consolidated Statements of Operations and Comprehensive Loss</w:t>
      </w:r>
    </w:p>
    <w:p>
      <w:pPr>
        <w:jc w:val="center"/>
        <w:spacing w:after="0" w:line="235" w:lineRule="auto"/>
        <w:rPr>
          <w:sz w:val="20"/>
          <w:szCs w:val="20"/>
          <w:color w:val="auto"/>
        </w:rPr>
      </w:pPr>
      <w:r>
        <w:rPr>
          <w:rFonts w:ascii="Arial" w:cs="Arial" w:eastAsia="Arial" w:hAnsi="Arial"/>
          <w:sz w:val="20"/>
          <w:szCs w:val="20"/>
          <w:color w:val="auto"/>
        </w:rPr>
        <w:t>(In thousands, except share and per share amounts)</w:t>
      </w:r>
    </w:p>
    <w:tbl>
      <w:tblPr>
        <w:tblLayout w:type="fixed"/>
        <w:tblInd w:w="0" w:type="dxa"/>
        <w:tblCellMar>
          <w:top w:w="0" w:type="dxa"/>
          <w:left w:w="0" w:type="dxa"/>
          <w:bottom w:w="0" w:type="dxa"/>
          <w:right w:w="0" w:type="dxa"/>
        </w:tblCellMar>
      </w:tblPr>
      <w:tr>
        <w:trPr>
          <w:trHeight w:val="131"/>
        </w:trPr>
        <w:tc>
          <w:tcPr>
            <w:tcW w:w="5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20" w:type="dxa"/>
            <w:vAlign w:val="bottom"/>
            <w:gridSpan w:val="5"/>
          </w:tcPr>
          <w:p>
            <w:pPr>
              <w:jc w:val="center"/>
              <w:ind w:right="480"/>
              <w:spacing w:after="0" w:line="131"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1"/>
                <w:szCs w:val="11"/>
                <w:color w:val="auto"/>
              </w:rPr>
            </w:pPr>
          </w:p>
        </w:tc>
        <w:tc>
          <w:tcPr>
            <w:tcW w:w="1780" w:type="dxa"/>
            <w:vAlign w:val="bottom"/>
            <w:gridSpan w:val="3"/>
          </w:tcPr>
          <w:p>
            <w:pPr>
              <w:jc w:val="right"/>
              <w:ind w:right="68"/>
              <w:spacing w:after="0" w:line="131" w:lineRule="exact"/>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67,098</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37,980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218,336</w:t>
            </w:r>
          </w:p>
        </w:tc>
        <w:tc>
          <w:tcPr>
            <w:tcW w:w="1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141,406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46,161</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28,501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161,195</w:t>
            </w: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20,937</w:t>
            </w:r>
          </w:p>
        </w:tc>
        <w:tc>
          <w:tcPr>
            <w:tcW w:w="1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9,479</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57,141</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33,286</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13,173</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39,422</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22,567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8,089</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23,683</w:t>
            </w:r>
          </w:p>
        </w:tc>
        <w:tc>
          <w:tcPr>
            <w:tcW w:w="1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5,648</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3,307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17,780</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16,601</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34,942</w:t>
            </w:r>
          </w:p>
        </w:tc>
        <w:tc>
          <w:tcPr>
            <w:tcW w:w="1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12,046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rPr>
                <w:sz w:val="20"/>
                <w:szCs w:val="20"/>
                <w:color w:val="auto"/>
              </w:rPr>
            </w:pPr>
            <w:r>
              <w:rPr>
                <w:rFonts w:ascii="Arial" w:cs="Arial" w:eastAsia="Arial" w:hAnsi="Arial"/>
                <w:sz w:val="14"/>
                <w:szCs w:val="14"/>
                <w:color w:val="auto"/>
              </w:rPr>
              <w:t>Impairment of goodwill and intangible assets</w:t>
            </w:r>
          </w:p>
        </w:tc>
        <w:tc>
          <w:tcPr>
            <w:tcW w:w="3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43,511</w:t>
            </w:r>
          </w:p>
        </w:tc>
        <w:tc>
          <w:tcPr>
            <w:tcW w:w="1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18,852</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115,827</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62,502</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(22,574 )</w:t>
            </w: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(9,373 )</w:t>
            </w:r>
          </w:p>
        </w:tc>
        <w:tc>
          <w:tcPr>
            <w:tcW w:w="20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(58,686 )</w:t>
            </w:r>
          </w:p>
        </w:tc>
        <w:tc>
          <w:tcPr>
            <w:tcW w:w="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(29,216 )</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(expenses) income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(53 )</w:t>
            </w: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(365 )</w:t>
            </w:r>
          </w:p>
        </w:tc>
        <w:tc>
          <w:tcPr>
            <w:tcW w:w="20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(852 )</w:t>
            </w:r>
          </w:p>
        </w:tc>
        <w:tc>
          <w:tcPr>
            <w:tcW w:w="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(1,089 )</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w:t>
            </w:r>
          </w:p>
        </w:tc>
        <w:tc>
          <w:tcPr>
            <w:tcW w:w="1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(1,846 )</w:t>
            </w: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(440 )</w:t>
            </w:r>
          </w:p>
        </w:tc>
        <w:tc>
          <w:tcPr>
            <w:tcW w:w="20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(2,866 )</w:t>
            </w:r>
          </w:p>
        </w:tc>
        <w:tc>
          <w:tcPr>
            <w:tcW w:w="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(780 )</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Pr>
          <w:p>
            <w:pPr>
              <w:ind w:left="20"/>
              <w:spacing w:after="0"/>
              <w:rPr>
                <w:sz w:val="20"/>
                <w:szCs w:val="20"/>
                <w:color w:val="auto"/>
              </w:rPr>
            </w:pPr>
            <w:r>
              <w:rPr>
                <w:rFonts w:ascii="Arial" w:cs="Arial" w:eastAsia="Arial" w:hAnsi="Arial"/>
                <w:sz w:val="14"/>
                <w:szCs w:val="14"/>
                <w:color w:val="auto"/>
              </w:rPr>
              <w:t>Total other expenses</w:t>
            </w: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(1,333 )</w:t>
            </w:r>
          </w:p>
        </w:tc>
        <w:tc>
          <w:tcPr>
            <w:tcW w:w="4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(805 )</w:t>
            </w:r>
          </w:p>
        </w:tc>
        <w:tc>
          <w:tcPr>
            <w:tcW w:w="20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(2,695 )</w:t>
            </w:r>
          </w:p>
        </w:tc>
        <w:tc>
          <w:tcPr>
            <w:tcW w:w="4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(1,869 )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(23,907 )</w:t>
            </w:r>
          </w:p>
        </w:tc>
        <w:tc>
          <w:tcPr>
            <w:tcW w:w="4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(10,178 )</w:t>
            </w:r>
          </w:p>
        </w:tc>
        <w:tc>
          <w:tcPr>
            <w:tcW w:w="20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(61,381 )</w:t>
            </w:r>
          </w:p>
        </w:tc>
        <w:tc>
          <w:tcPr>
            <w:tcW w:w="4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(31,085 )</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4"/>
                <w:szCs w:val="14"/>
                <w:color w:val="auto"/>
              </w:rPr>
              <w:t>Deemed dividend to preferred stockholders</w:t>
            </w:r>
          </w:p>
        </w:tc>
        <w:tc>
          <w:tcPr>
            <w:tcW w:w="3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(8,801 )</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(23,905 )</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(10,178 )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(61,379 )</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(39,886 )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Net loss per share, basic and diluted</w:t>
            </w:r>
          </w:p>
        </w:tc>
        <w:tc>
          <w:tcPr>
            <w:tcW w:w="320" w:type="dxa"/>
            <w:vAlign w:val="bottom"/>
            <w:shd w:val="clear" w:color="auto" w:fill="CFF0FC"/>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00"/>
              <w:spacing w:after="0" w:line="156" w:lineRule="exact"/>
              <w:rPr>
                <w:sz w:val="20"/>
                <w:szCs w:val="20"/>
                <w:color w:val="auto"/>
              </w:rPr>
            </w:pPr>
            <w:r>
              <w:rPr>
                <w:rFonts w:ascii="Arial" w:cs="Arial" w:eastAsia="Arial" w:hAnsi="Arial"/>
                <w:sz w:val="14"/>
                <w:szCs w:val="14"/>
                <w:color w:val="auto"/>
              </w:rPr>
              <w:t>(0.53 )</w:t>
            </w:r>
          </w:p>
        </w:tc>
        <w:tc>
          <w:tcPr>
            <w:tcW w:w="460" w:type="dxa"/>
            <w:vAlign w:val="bottom"/>
            <w:shd w:val="clear" w:color="auto" w:fill="CFF0FC"/>
          </w:tcPr>
          <w:p>
            <w:pPr>
              <w:jc w:val="right"/>
              <w:ind w:right="308"/>
              <w:spacing w:after="0" w:line="156"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00"/>
              <w:spacing w:after="0" w:line="156" w:lineRule="exact"/>
              <w:rPr>
                <w:sz w:val="20"/>
                <w:szCs w:val="20"/>
                <w:color w:val="auto"/>
              </w:rPr>
            </w:pPr>
            <w:r>
              <w:rPr>
                <w:rFonts w:ascii="Arial" w:cs="Arial" w:eastAsia="Arial" w:hAnsi="Arial"/>
                <w:sz w:val="14"/>
                <w:szCs w:val="14"/>
                <w:color w:val="auto"/>
              </w:rPr>
              <w:t>(1.34 )</w:t>
            </w:r>
          </w:p>
        </w:tc>
        <w:tc>
          <w:tcPr>
            <w:tcW w:w="200" w:type="dxa"/>
            <w:vAlign w:val="bottom"/>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320" w:type="dxa"/>
            <w:vAlign w:val="bottom"/>
            <w:tcBorders>
              <w:right w:val="single" w:sz="8" w:color="CFF0FC"/>
            </w:tcBorders>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(2.33 )</w:t>
            </w:r>
          </w:p>
        </w:tc>
        <w:tc>
          <w:tcPr>
            <w:tcW w:w="460" w:type="dxa"/>
            <w:vAlign w:val="bottom"/>
            <w:shd w:val="clear" w:color="auto" w:fill="CFF0FC"/>
          </w:tcPr>
          <w:p>
            <w:pPr>
              <w:jc w:val="right"/>
              <w:ind w:right="288"/>
              <w:spacing w:after="0" w:line="156"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(5.32 )</w:t>
            </w:r>
          </w:p>
        </w:tc>
        <w:tc>
          <w:tcPr>
            <w:tcW w:w="0" w:type="dxa"/>
            <w:vAlign w:val="bottom"/>
          </w:tcPr>
          <w:p>
            <w:pPr>
              <w:spacing w:after="0"/>
              <w:rPr>
                <w:sz w:val="1"/>
                <w:szCs w:val="1"/>
                <w:color w:val="auto"/>
              </w:rPr>
            </w:pPr>
          </w:p>
        </w:tc>
      </w:tr>
      <w:tr>
        <w:trPr>
          <w:trHeight w:val="134"/>
        </w:trPr>
        <w:tc>
          <w:tcPr>
            <w:tcW w:w="5120" w:type="dxa"/>
            <w:vAlign w:val="bottom"/>
            <w:tcBorders>
              <w:top w:val="single" w:sz="8" w:color="CFF0FC"/>
            </w:tcBorders>
          </w:tcPr>
          <w:p>
            <w:pPr>
              <w:ind w:left="20"/>
              <w:spacing w:after="0" w:line="134" w:lineRule="exact"/>
              <w:rPr>
                <w:sz w:val="20"/>
                <w:szCs w:val="20"/>
                <w:color w:val="auto"/>
              </w:rPr>
            </w:pPr>
            <w:r>
              <w:rPr>
                <w:rFonts w:ascii="Arial" w:cs="Arial" w:eastAsia="Arial" w:hAnsi="Arial"/>
                <w:sz w:val="14"/>
                <w:szCs w:val="14"/>
                <w:color w:val="auto"/>
              </w:rPr>
              <w:t>Weighted-average number of shares outstanding used to compute</w:t>
            </w: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44,995,598</w:t>
            </w:r>
          </w:p>
        </w:tc>
        <w:tc>
          <w:tcPr>
            <w:tcW w:w="18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7,572,935</w:t>
            </w:r>
          </w:p>
        </w:tc>
        <w:tc>
          <w:tcPr>
            <w:tcW w:w="16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26,318,349</w:t>
            </w:r>
          </w:p>
        </w:tc>
        <w:tc>
          <w:tcPr>
            <w:tcW w:w="14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7,492,876</w:t>
            </w: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120" w:type="dxa"/>
            <w:vAlign w:val="bottom"/>
          </w:tcPr>
          <w:p>
            <w:pPr>
              <w:ind w:left="140"/>
              <w:spacing w:after="0" w:line="110" w:lineRule="exact"/>
              <w:rPr>
                <w:sz w:val="20"/>
                <w:szCs w:val="20"/>
                <w:color w:val="auto"/>
              </w:rPr>
            </w:pPr>
            <w:r>
              <w:rPr>
                <w:rFonts w:ascii="Arial" w:cs="Arial" w:eastAsia="Arial" w:hAnsi="Arial"/>
                <w:sz w:val="12"/>
                <w:szCs w:val="12"/>
                <w:color w:val="auto"/>
              </w:rPr>
              <w:t>net loss per share, basic and diluted</w:t>
            </w: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Comprehensive loss:</w:t>
            </w:r>
          </w:p>
        </w:tc>
        <w:tc>
          <w:tcPr>
            <w:tcW w:w="3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(38 )</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(61 )</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other comprehensive (loss) income</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(38 )</w:t>
            </w:r>
          </w:p>
        </w:tc>
        <w:tc>
          <w:tcPr>
            <w:tcW w:w="4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(61 )</w:t>
            </w:r>
          </w:p>
        </w:tc>
        <w:tc>
          <w:tcPr>
            <w:tcW w:w="4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(23,907 )</w:t>
            </w: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(10,178 )</w:t>
            </w:r>
          </w:p>
        </w:tc>
        <w:tc>
          <w:tcPr>
            <w:tcW w:w="20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(61,381 )</w:t>
            </w:r>
          </w:p>
        </w:tc>
        <w:tc>
          <w:tcPr>
            <w:tcW w:w="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(31,085 )</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(23,945 )</w:t>
            </w:r>
          </w:p>
        </w:tc>
        <w:tc>
          <w:tcPr>
            <w:tcW w:w="4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(10,178 )</w:t>
            </w:r>
          </w:p>
        </w:tc>
        <w:tc>
          <w:tcPr>
            <w:tcW w:w="20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(61,442 )</w:t>
            </w:r>
          </w:p>
        </w:tc>
        <w:tc>
          <w:tcPr>
            <w:tcW w:w="4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(30,875 )</w:t>
            </w: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rPr>
                <w:sz w:val="20"/>
                <w:szCs w:val="20"/>
                <w:color w:val="auto"/>
              </w:rPr>
            </w:pPr>
            <w:r>
              <w:rPr>
                <w:rFonts w:ascii="Arial" w:cs="Arial" w:eastAsia="Arial" w:hAnsi="Arial"/>
                <w:sz w:val="14"/>
                <w:szCs w:val="14"/>
                <w:color w:val="auto"/>
              </w:rPr>
              <w:t>Comprehensive loss attributable to noncontrolling interest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(23,945 )</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(10,178 )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(61,442 )</w:t>
            </w:r>
          </w:p>
        </w:tc>
        <w:tc>
          <w:tcPr>
            <w:tcW w:w="46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(30,875 )</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-3708400</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-3708400</wp:posOffset>
            </wp:positionV>
            <wp:extent cx="514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-3708400</wp:posOffset>
            </wp:positionV>
            <wp:extent cx="431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-3708400</wp:posOffset>
            </wp:positionV>
            <wp:extent cx="431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-2936875</wp:posOffset>
            </wp:positionV>
            <wp:extent cx="514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-2936875</wp:posOffset>
            </wp:positionV>
            <wp:extent cx="514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-2936875</wp:posOffset>
            </wp:positionV>
            <wp:extent cx="431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-2936875</wp:posOffset>
            </wp:positionV>
            <wp:extent cx="431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-2165350</wp:posOffset>
            </wp:positionV>
            <wp:extent cx="5143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-2165350</wp:posOffset>
            </wp:positionV>
            <wp:extent cx="514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-2165350</wp:posOffset>
            </wp:positionV>
            <wp:extent cx="431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-2165350</wp:posOffset>
            </wp:positionV>
            <wp:extent cx="431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-1651000</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-1651000</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-1651000</wp:posOffset>
            </wp:positionV>
            <wp:extent cx="431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-1651000</wp:posOffset>
            </wp:positionV>
            <wp:extent cx="431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-1396365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-1379220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-1396365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-1379220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-1396365</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-1379220</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-1396365</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-1379220</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-527685</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-527685</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-527685</wp:posOffset>
            </wp:positionV>
            <wp:extent cx="431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-527685</wp:posOffset>
            </wp:positionV>
            <wp:extent cx="431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1" w:name="page12"/>
    <w:bookmarkEnd w:id="11"/>
    <w:p>
      <w:pPr>
        <w:ind w:left="4200"/>
        <w:spacing w:after="0"/>
        <w:rPr>
          <w:sz w:val="20"/>
          <w:szCs w:val="20"/>
          <w:color w:val="auto"/>
        </w:rPr>
      </w:pPr>
      <w:r>
        <w:rPr>
          <w:rFonts w:ascii="Arial" w:cs="Arial" w:eastAsia="Arial" w:hAnsi="Arial"/>
          <w:sz w:val="20"/>
          <w:szCs w:val="20"/>
          <w:b w:val="1"/>
          <w:bCs w:val="1"/>
          <w:color w:val="auto"/>
        </w:rPr>
        <w:t>Xometry, Inc. and Subsidiaries</w:t>
      </w:r>
    </w:p>
    <w:p>
      <w:pPr>
        <w:ind w:left="3900"/>
        <w:spacing w:after="0" w:line="235" w:lineRule="auto"/>
        <w:rPr>
          <w:sz w:val="20"/>
          <w:szCs w:val="20"/>
          <w:color w:val="auto"/>
        </w:rPr>
      </w:pPr>
      <w:r>
        <w:rPr>
          <w:rFonts w:ascii="Arial" w:cs="Arial" w:eastAsia="Arial" w:hAnsi="Arial"/>
          <w:sz w:val="20"/>
          <w:szCs w:val="20"/>
          <w:color w:val="auto"/>
        </w:rPr>
        <w:t>Consolidated Statements of Cash Flows</w:t>
      </w:r>
    </w:p>
    <w:p>
      <w:pPr>
        <w:ind w:left="5000"/>
        <w:spacing w:after="0" w:line="235" w:lineRule="auto"/>
        <w:rPr>
          <w:sz w:val="20"/>
          <w:szCs w:val="20"/>
          <w:color w:val="auto"/>
        </w:rPr>
      </w:pPr>
      <w:r>
        <w:rPr>
          <w:rFonts w:ascii="Arial" w:cs="Arial" w:eastAsia="Arial" w:hAnsi="Arial"/>
          <w:sz w:val="20"/>
          <w:szCs w:val="20"/>
          <w:color w:val="auto"/>
        </w:rPr>
        <w:t>(In thousands)</w:t>
      </w: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(unaudited)</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68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(61,381 )</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(31,085 )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(30,994 )</w:t>
            </w: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68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3,596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1,847</w:t>
            </w:r>
          </w:p>
        </w:tc>
        <w:tc>
          <w:tcPr>
            <w:tcW w:w="60" w:type="dxa"/>
            <w:vAlign w:val="bottom"/>
          </w:tcPr>
          <w:p>
            <w:pPr>
              <w:spacing w:after="0"/>
              <w:rPr>
                <w:sz w:val="15"/>
                <w:szCs w:val="15"/>
                <w:color w:val="auto"/>
              </w:rPr>
            </w:pPr>
          </w:p>
        </w:tc>
      </w:tr>
      <w:tr>
        <w:trPr>
          <w:trHeight w:val="175"/>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goodwill and intangible assets</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1,719</w:t>
            </w:r>
          </w:p>
        </w:tc>
        <w:tc>
          <w:tcPr>
            <w:tcW w:w="60" w:type="dxa"/>
            <w:vAlign w:val="bottom"/>
            <w:shd w:val="clear" w:color="auto" w:fill="CFF0FC"/>
          </w:tcPr>
          <w:p>
            <w:pPr>
              <w:spacing w:after="0"/>
              <w:rPr>
                <w:sz w:val="15"/>
                <w:szCs w:val="15"/>
                <w:color w:val="auto"/>
              </w:rPr>
            </w:pPr>
          </w:p>
        </w:tc>
      </w:tr>
      <w:tr>
        <w:trPr>
          <w:trHeight w:val="176"/>
        </w:trPr>
        <w:tc>
          <w:tcPr>
            <w:tcW w:w="686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647</w:t>
            </w:r>
          </w:p>
        </w:tc>
        <w:tc>
          <w:tcPr>
            <w:tcW w:w="60" w:type="dxa"/>
            <w:vAlign w:val="bottom"/>
          </w:tcPr>
          <w:p>
            <w:pPr>
              <w:spacing w:after="0"/>
              <w:rPr>
                <w:sz w:val="15"/>
                <w:szCs w:val="15"/>
                <w:color w:val="auto"/>
              </w:rPr>
            </w:pPr>
          </w:p>
        </w:tc>
      </w:tr>
      <w:tr>
        <w:trPr>
          <w:trHeight w:val="176"/>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60" w:type="dxa"/>
            <w:vAlign w:val="bottom"/>
            <w:shd w:val="clear" w:color="auto" w:fill="CFF0FC"/>
          </w:tcPr>
          <w:p>
            <w:pPr>
              <w:spacing w:after="0"/>
              <w:rPr>
                <w:sz w:val="15"/>
                <w:szCs w:val="15"/>
                <w:color w:val="auto"/>
              </w:rPr>
            </w:pPr>
          </w:p>
        </w:tc>
      </w:tr>
      <w:tr>
        <w:trPr>
          <w:trHeight w:val="175"/>
        </w:trPr>
        <w:tc>
          <w:tcPr>
            <w:tcW w:w="6860" w:type="dxa"/>
            <w:vAlign w:val="bottom"/>
          </w:tcPr>
          <w:p>
            <w:pPr>
              <w:ind w:left="380"/>
              <w:spacing w:after="0"/>
              <w:rPr>
                <w:sz w:val="20"/>
                <w:szCs w:val="20"/>
                <w:color w:val="auto"/>
              </w:rPr>
            </w:pPr>
            <w:r>
              <w:rPr>
                <w:rFonts w:ascii="Arial" w:cs="Arial" w:eastAsia="Arial" w:hAnsi="Arial"/>
                <w:sz w:val="14"/>
                <w:szCs w:val="14"/>
                <w:color w:val="auto"/>
              </w:rPr>
              <w:t>Non-cash interest expense</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w:t>
            </w:r>
          </w:p>
        </w:tc>
        <w:tc>
          <w:tcPr>
            <w:tcW w:w="60" w:type="dxa"/>
            <w:vAlign w:val="bottom"/>
          </w:tcPr>
          <w:p>
            <w:pPr>
              <w:spacing w:after="0"/>
              <w:rPr>
                <w:sz w:val="15"/>
                <w:szCs w:val="15"/>
                <w:color w:val="auto"/>
              </w:rPr>
            </w:pPr>
          </w:p>
        </w:tc>
      </w:tr>
      <w:tr>
        <w:trPr>
          <w:trHeight w:val="176"/>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debt extinguishment</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(41 )</w:t>
            </w: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Donation of common stock</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Inventory write off</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(141 )</w:t>
            </w:r>
          </w:p>
        </w:tc>
      </w:tr>
      <w:tr>
        <w:trPr>
          <w:trHeight w:val="176"/>
        </w:trPr>
        <w:tc>
          <w:tcPr>
            <w:tcW w:w="6860" w:type="dxa"/>
            <w:vAlign w:val="bottom"/>
          </w:tcPr>
          <w:p>
            <w:pPr>
              <w:ind w:left="380"/>
              <w:spacing w:after="0"/>
              <w:rPr>
                <w:sz w:val="20"/>
                <w:szCs w:val="20"/>
                <w:color w:val="auto"/>
              </w:rPr>
            </w:pPr>
            <w:r>
              <w:rPr>
                <w:rFonts w:ascii="Arial" w:cs="Arial" w:eastAsia="Arial" w:hAnsi="Arial"/>
                <w:sz w:val="14"/>
                <w:szCs w:val="14"/>
                <w:color w:val="auto"/>
              </w:rPr>
              <w:t>Loss (gain) on sale of property and equipment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(128 )</w:t>
            </w:r>
          </w:p>
        </w:tc>
      </w:tr>
      <w:tr>
        <w:trPr>
          <w:trHeight w:val="175"/>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Accretion of discount on short-term investments</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(37 )</w:t>
            </w:r>
          </w:p>
        </w:tc>
      </w:tr>
      <w:tr>
        <w:trPr>
          <w:trHeight w:val="176"/>
        </w:trPr>
        <w:tc>
          <w:tcPr>
            <w:tcW w:w="6860" w:type="dxa"/>
            <w:vAlign w:val="bottom"/>
          </w:tcPr>
          <w:p>
            <w:pPr>
              <w:ind w:left="380"/>
              <w:spacing w:after="0"/>
              <w:rPr>
                <w:sz w:val="20"/>
                <w:szCs w:val="20"/>
                <w:color w:val="auto"/>
              </w:rPr>
            </w:pPr>
            <w:r>
              <w:rPr>
                <w:rFonts w:ascii="Arial" w:cs="Arial" w:eastAsia="Arial" w:hAnsi="Arial"/>
                <w:sz w:val="14"/>
                <w:szCs w:val="14"/>
                <w:color w:val="auto"/>
              </w:rPr>
              <w:t>Deferred taxes benefit</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(179 )</w:t>
            </w: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686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(11,117 )</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(2,130 )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(5,505 )</w:t>
            </w:r>
          </w:p>
        </w:tc>
      </w:tr>
      <w:tr>
        <w:trPr>
          <w:trHeight w:val="176"/>
        </w:trPr>
        <w:tc>
          <w:tcPr>
            <w:tcW w:w="6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(956 )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(555 )</w:t>
            </w:r>
          </w:p>
        </w:tc>
      </w:tr>
      <w:tr>
        <w:trPr>
          <w:trHeight w:val="175"/>
        </w:trPr>
        <w:tc>
          <w:tcPr>
            <w:tcW w:w="686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(4,025 )</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(210 )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(2 )</w:t>
            </w:r>
          </w:p>
        </w:tc>
      </w:tr>
      <w:tr>
        <w:trPr>
          <w:trHeight w:val="176"/>
        </w:trPr>
        <w:tc>
          <w:tcPr>
            <w:tcW w:w="6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Deferred commissions</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(469 )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(137 )</w:t>
            </w:r>
          </w:p>
        </w:tc>
      </w:tr>
      <w:tr>
        <w:trPr>
          <w:trHeight w:val="176"/>
        </w:trPr>
        <w:tc>
          <w:tcPr>
            <w:tcW w:w="6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(2,350 )</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2,813</w:t>
            </w:r>
          </w:p>
        </w:tc>
        <w:tc>
          <w:tcPr>
            <w:tcW w:w="60" w:type="dxa"/>
            <w:vAlign w:val="bottom"/>
            <w:shd w:val="clear" w:color="auto" w:fill="CFF0FC"/>
          </w:tcPr>
          <w:p>
            <w:pPr>
              <w:spacing w:after="0"/>
              <w:rPr>
                <w:sz w:val="15"/>
                <w:szCs w:val="15"/>
                <w:color w:val="auto"/>
              </w:rPr>
            </w:pPr>
          </w:p>
        </w:tc>
      </w:tr>
      <w:tr>
        <w:trPr>
          <w:trHeight w:val="175"/>
        </w:trPr>
        <w:tc>
          <w:tcPr>
            <w:tcW w:w="6860" w:type="dxa"/>
            <w:vAlign w:val="bottom"/>
          </w:tcPr>
          <w:p>
            <w:pPr>
              <w:ind w:left="56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(12,008 )</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8,569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2,562</w:t>
            </w:r>
          </w:p>
        </w:tc>
        <w:tc>
          <w:tcPr>
            <w:tcW w:w="60" w:type="dxa"/>
            <w:vAlign w:val="bottom"/>
          </w:tcPr>
          <w:p>
            <w:pPr>
              <w:spacing w:after="0"/>
              <w:rPr>
                <w:sz w:val="15"/>
                <w:szCs w:val="15"/>
                <w:color w:val="auto"/>
              </w:rPr>
            </w:pPr>
          </w:p>
        </w:tc>
      </w:tr>
      <w:tr>
        <w:trPr>
          <w:trHeight w:val="176"/>
        </w:trPr>
        <w:tc>
          <w:tcPr>
            <w:tcW w:w="6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(1,625 )</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w:t>
            </w:r>
          </w:p>
        </w:tc>
        <w:tc>
          <w:tcPr>
            <w:tcW w:w="60" w:type="dxa"/>
            <w:vAlign w:val="bottom"/>
            <w:shd w:val="clear" w:color="auto" w:fill="CFF0FC"/>
          </w:tcPr>
          <w:p>
            <w:pPr>
              <w:spacing w:after="0"/>
              <w:rPr>
                <w:sz w:val="15"/>
                <w:szCs w:val="15"/>
                <w:color w:val="auto"/>
              </w:rPr>
            </w:pPr>
          </w:p>
        </w:tc>
      </w:tr>
      <w:tr>
        <w:trPr>
          <w:trHeight w:val="176"/>
        </w:trPr>
        <w:tc>
          <w:tcPr>
            <w:tcW w:w="6860" w:type="dxa"/>
            <w:vAlign w:val="bottom"/>
          </w:tcPr>
          <w:p>
            <w:pPr>
              <w:ind w:left="560"/>
              <w:spacing w:after="0"/>
              <w:rPr>
                <w:sz w:val="20"/>
                <w:szCs w:val="20"/>
                <w:color w:val="auto"/>
              </w:rPr>
            </w:pPr>
            <w:r>
              <w:rPr>
                <w:rFonts w:ascii="Arial" w:cs="Arial" w:eastAsia="Arial" w:hAnsi="Arial"/>
                <w:sz w:val="14"/>
                <w:szCs w:val="14"/>
                <w:color w:val="auto"/>
              </w:rPr>
              <w:t>Lease liabilities</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(845 )</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(1,004 )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(653 )</w:t>
            </w:r>
          </w:p>
        </w:tc>
      </w:tr>
      <w:tr>
        <w:trPr>
          <w:trHeight w:val="20"/>
        </w:trPr>
        <w:tc>
          <w:tcPr>
            <w:tcW w:w="6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(68,571 )</w:t>
            </w: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(22,049 )</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(27,125 )</w:t>
            </w:r>
          </w:p>
        </w:tc>
      </w:tr>
      <w:tr>
        <w:trPr>
          <w:trHeight w:val="169"/>
        </w:trPr>
        <w:tc>
          <w:tcPr>
            <w:tcW w:w="68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r>
      <w:tr>
        <w:trPr>
          <w:trHeight w:val="176"/>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marketable securities</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(267,467 )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235,000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short-term investments</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(17,711 )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(28,850 )</w:t>
            </w:r>
          </w:p>
        </w:tc>
      </w:tr>
      <w:tr>
        <w:trPr>
          <w:trHeight w:val="175"/>
        </w:trPr>
        <w:tc>
          <w:tcPr>
            <w:tcW w:w="6860" w:type="dxa"/>
            <w:vAlign w:val="bottom"/>
          </w:tcPr>
          <w:p>
            <w:pPr>
              <w:ind w:left="200"/>
              <w:spacing w:after="0"/>
              <w:rPr>
                <w:sz w:val="20"/>
                <w:szCs w:val="20"/>
                <w:color w:val="auto"/>
              </w:rPr>
            </w:pPr>
            <w:r>
              <w:rPr>
                <w:rFonts w:ascii="Arial" w:cs="Arial" w:eastAsia="Arial" w:hAnsi="Arial"/>
                <w:sz w:val="14"/>
                <w:szCs w:val="14"/>
                <w:color w:val="auto"/>
              </w:rPr>
              <w:t>Proceeds from short-term investments</w:t>
            </w:r>
          </w:p>
        </w:tc>
        <w:tc>
          <w:tcPr>
            <w:tcW w:w="2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28,571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30,470</w:t>
            </w:r>
          </w:p>
        </w:tc>
        <w:tc>
          <w:tcPr>
            <w:tcW w:w="60" w:type="dxa"/>
            <w:vAlign w:val="bottom"/>
          </w:tcPr>
          <w:p>
            <w:pPr>
              <w:spacing w:after="0"/>
              <w:rPr>
                <w:sz w:val="15"/>
                <w:szCs w:val="15"/>
                <w:color w:val="auto"/>
              </w:rPr>
            </w:pP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(6,262 )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(4,190 )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(2,693 )</w:t>
            </w:r>
          </w:p>
        </w:tc>
      </w:tr>
      <w:tr>
        <w:trPr>
          <w:trHeight w:val="175"/>
        </w:trPr>
        <w:tc>
          <w:tcPr>
            <w:tcW w:w="6860" w:type="dxa"/>
            <w:vAlign w:val="bottom"/>
          </w:tcPr>
          <w:p>
            <w:pPr>
              <w:ind w:left="200"/>
              <w:spacing w:after="0"/>
              <w:rPr>
                <w:sz w:val="20"/>
                <w:szCs w:val="20"/>
                <w:color w:val="auto"/>
              </w:rPr>
            </w:pPr>
            <w:r>
              <w:rPr>
                <w:rFonts w:ascii="Arial" w:cs="Arial" w:eastAsia="Arial" w:hAnsi="Arial"/>
                <w:sz w:val="14"/>
                <w:szCs w:val="14"/>
                <w:color w:val="auto"/>
              </w:rPr>
              <w:t>Proceeds from life insurance</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60" w:type="dxa"/>
            <w:vAlign w:val="bottom"/>
            <w:shd w:val="clear" w:color="auto" w:fill="CFF0FC"/>
          </w:tcPr>
          <w:p>
            <w:pPr>
              <w:spacing w:after="0"/>
              <w:rPr>
                <w:sz w:val="15"/>
                <w:szCs w:val="15"/>
                <w:color w:val="auto"/>
              </w:rPr>
            </w:pPr>
          </w:p>
        </w:tc>
      </w:tr>
      <w:tr>
        <w:trPr>
          <w:trHeight w:val="175"/>
        </w:trPr>
        <w:tc>
          <w:tcPr>
            <w:tcW w:w="6860" w:type="dxa"/>
            <w:vAlign w:val="bottom"/>
          </w:tcPr>
          <w:p>
            <w:pPr>
              <w:ind w:left="200"/>
              <w:spacing w:after="0"/>
              <w:rPr>
                <w:sz w:val="20"/>
                <w:szCs w:val="20"/>
                <w:color w:val="auto"/>
              </w:rPr>
            </w:pPr>
            <w:r>
              <w:rPr>
                <w:rFonts w:ascii="Arial" w:cs="Arial" w:eastAsia="Arial" w:hAnsi="Arial"/>
                <w:sz w:val="14"/>
                <w:szCs w:val="14"/>
                <w:color w:val="auto"/>
              </w:rPr>
              <w:t>Cash paid for business combinations, net of cash acquired</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(174,646 )</w:t>
            </w: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(1,432 )</w:t>
            </w:r>
          </w:p>
        </w:tc>
      </w:tr>
      <w:tr>
        <w:trPr>
          <w:trHeight w:val="20"/>
        </w:trPr>
        <w:tc>
          <w:tcPr>
            <w:tcW w:w="6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686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(212,748 )</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6,670</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(2,350 )</w:t>
            </w:r>
          </w:p>
        </w:tc>
      </w:tr>
      <w:tr>
        <w:trPr>
          <w:trHeight w:val="169"/>
        </w:trPr>
        <w:tc>
          <w:tcPr>
            <w:tcW w:w="68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r>
      <w:tr>
        <w:trPr>
          <w:trHeight w:val="153"/>
        </w:trPr>
        <w:tc>
          <w:tcPr>
            <w:tcW w:w="686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Proceeds from issuance of Series A-2, Series B, Series C, Series D and Series E convertible</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1"/>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net of issuance costs</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52,409</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54,929</w:t>
            </w:r>
          </w:p>
        </w:tc>
        <w:tc>
          <w:tcPr>
            <w:tcW w:w="60" w:type="dxa"/>
            <w:vAlign w:val="bottom"/>
            <w:shd w:val="clear" w:color="auto" w:fill="CFF0FC"/>
          </w:tcPr>
          <w:p>
            <w:pPr>
              <w:spacing w:after="0"/>
              <w:rPr>
                <w:sz w:val="14"/>
                <w:szCs w:val="14"/>
                <w:color w:val="auto"/>
              </w:rPr>
            </w:pPr>
          </w:p>
        </w:tc>
      </w:tr>
      <w:tr>
        <w:trPr>
          <w:trHeight w:val="176"/>
        </w:trPr>
        <w:tc>
          <w:tcPr>
            <w:tcW w:w="6860" w:type="dxa"/>
            <w:vAlign w:val="bottom"/>
          </w:tcPr>
          <w:p>
            <w:pPr>
              <w:ind w:left="200"/>
              <w:spacing w:after="0"/>
              <w:rPr>
                <w:sz w:val="20"/>
                <w:szCs w:val="20"/>
                <w:color w:val="auto"/>
              </w:rPr>
            </w:pPr>
            <w:r>
              <w:rPr>
                <w:rFonts w:ascii="Arial" w:cs="Arial" w:eastAsia="Arial" w:hAnsi="Arial"/>
                <w:sz w:val="14"/>
                <w:szCs w:val="14"/>
                <w:color w:val="auto"/>
              </w:rPr>
              <w:t>Repurchase of Series A-2, Series B, Series C and Series D convertible preferred stock</w:t>
            </w:r>
          </w:p>
        </w:tc>
        <w:tc>
          <w:tcPr>
            <w:tcW w:w="2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(12,852 )</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Deemed dividend to preferred stockholders</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(8,801 )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tcPr>
          <w:p>
            <w:pPr>
              <w:ind w:left="200"/>
              <w:spacing w:after="0"/>
              <w:rPr>
                <w:sz w:val="20"/>
                <w:szCs w:val="20"/>
                <w:color w:val="auto"/>
              </w:rPr>
            </w:pPr>
            <w:r>
              <w:rPr>
                <w:rFonts w:ascii="Arial" w:cs="Arial" w:eastAsia="Arial" w:hAnsi="Arial"/>
                <w:sz w:val="14"/>
                <w:szCs w:val="14"/>
                <w:color w:val="auto"/>
              </w:rPr>
              <w:t>Proceeds from initial public offering, net of underwriters' discount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325,263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in connection with initial public offering</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(3,678 )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tcPr>
          <w:p>
            <w:pPr>
              <w:ind w:left="200"/>
              <w:spacing w:after="0"/>
              <w:rPr>
                <w:sz w:val="20"/>
                <w:szCs w:val="20"/>
                <w:color w:val="auto"/>
              </w:rPr>
            </w:pPr>
            <w:r>
              <w:rPr>
                <w:rFonts w:ascii="Arial" w:cs="Arial" w:eastAsia="Arial" w:hAnsi="Arial"/>
                <w:sz w:val="14"/>
                <w:szCs w:val="14"/>
                <w:color w:val="auto"/>
              </w:rPr>
              <w:t>Proceeds from stock options exercised</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2,291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450</w:t>
            </w:r>
          </w:p>
        </w:tc>
        <w:tc>
          <w:tcPr>
            <w:tcW w:w="60" w:type="dxa"/>
            <w:vAlign w:val="bottom"/>
          </w:tcPr>
          <w:p>
            <w:pPr>
              <w:spacing w:after="0"/>
              <w:rPr>
                <w:sz w:val="15"/>
                <w:szCs w:val="15"/>
                <w:color w:val="auto"/>
              </w:rPr>
            </w:pP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the exercise of warrants</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6860" w:type="dxa"/>
            <w:vAlign w:val="bottom"/>
          </w:tcPr>
          <w:p>
            <w:pPr>
              <w:ind w:left="200"/>
              <w:spacing w:after="0"/>
              <w:rPr>
                <w:sz w:val="20"/>
                <w:szCs w:val="20"/>
                <w:color w:val="auto"/>
              </w:rPr>
            </w:pPr>
            <w:r>
              <w:rPr>
                <w:rFonts w:ascii="Arial" w:cs="Arial" w:eastAsia="Arial" w:hAnsi="Arial"/>
                <w:sz w:val="14"/>
                <w:szCs w:val="14"/>
                <w:color w:val="auto"/>
              </w:rPr>
              <w:t>Proceeds from term loan</w:t>
            </w:r>
          </w:p>
        </w:tc>
        <w:tc>
          <w:tcPr>
            <w:tcW w:w="2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 on line of credit, net</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(500 )</w:t>
            </w:r>
          </w:p>
        </w:tc>
      </w:tr>
      <w:tr>
        <w:trPr>
          <w:trHeight w:val="175"/>
        </w:trPr>
        <w:tc>
          <w:tcPr>
            <w:tcW w:w="6860" w:type="dxa"/>
            <w:vAlign w:val="bottom"/>
          </w:tcPr>
          <w:p>
            <w:pPr>
              <w:ind w:left="200"/>
              <w:spacing w:after="0"/>
              <w:rPr>
                <w:sz w:val="20"/>
                <w:szCs w:val="20"/>
                <w:color w:val="auto"/>
              </w:rPr>
            </w:pPr>
            <w:r>
              <w:rPr>
                <w:rFonts w:ascii="Arial" w:cs="Arial" w:eastAsia="Arial" w:hAnsi="Arial"/>
                <w:sz w:val="14"/>
                <w:szCs w:val="14"/>
                <w:color w:val="auto"/>
              </w:rPr>
              <w:t>Repayment of term loan</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(16,136 )</w:t>
            </w:r>
          </w:p>
        </w:tc>
        <w:tc>
          <w:tcPr>
            <w:tcW w:w="3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other borrowings</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4,783</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tcPr>
          <w:p>
            <w:pPr>
              <w:ind w:left="200"/>
              <w:spacing w:after="0"/>
              <w:rPr>
                <w:sz w:val="20"/>
                <w:szCs w:val="20"/>
                <w:color w:val="auto"/>
              </w:rPr>
            </w:pPr>
            <w:r>
              <w:rPr>
                <w:rFonts w:ascii="Arial" w:cs="Arial" w:eastAsia="Arial" w:hAnsi="Arial"/>
                <w:sz w:val="14"/>
                <w:szCs w:val="14"/>
                <w:color w:val="auto"/>
              </w:rPr>
              <w:t>Repayment of other borrowings</w:t>
            </w:r>
          </w:p>
        </w:tc>
        <w:tc>
          <w:tcPr>
            <w:tcW w:w="2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(4,783 )</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finance lease obligations</w:t>
            </w: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(164 )</w:t>
            </w:r>
          </w:p>
        </w:tc>
      </w:tr>
      <w:tr>
        <w:trPr>
          <w:trHeight w:val="169"/>
        </w:trPr>
        <w:tc>
          <w:tcPr>
            <w:tcW w:w="686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2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307,768</w:t>
            </w: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35,261</w:t>
            </w:r>
          </w:p>
        </w:tc>
        <w:tc>
          <w:tcPr>
            <w:tcW w:w="20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54,715</w:t>
            </w:r>
          </w:p>
        </w:tc>
        <w:tc>
          <w:tcPr>
            <w:tcW w:w="60" w:type="dxa"/>
            <w:vAlign w:val="bottom"/>
            <w:tcBorders>
              <w:top w:val="single" w:sz="8" w:color="CFF0FC"/>
            </w:tcBorders>
          </w:tcPr>
          <w:p>
            <w:pPr>
              <w:spacing w:after="0"/>
              <w:rPr>
                <w:sz w:val="14"/>
                <w:szCs w:val="14"/>
                <w:color w:val="auto"/>
              </w:rPr>
            </w:pPr>
          </w:p>
        </w:tc>
      </w:tr>
      <w:tr>
        <w:trPr>
          <w:trHeight w:val="169"/>
        </w:trPr>
        <w:tc>
          <w:tcPr>
            <w:tcW w:w="6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(61 )</w:t>
            </w: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(130 )</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69"/>
        </w:trPr>
        <w:tc>
          <w:tcPr>
            <w:tcW w:w="686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Net increase in cash and cash equivalents</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26,388</w:t>
            </w: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19,752</w:t>
            </w:r>
          </w:p>
        </w:tc>
        <w:tc>
          <w:tcPr>
            <w:tcW w:w="2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25,240</w:t>
            </w:r>
          </w:p>
        </w:tc>
        <w:tc>
          <w:tcPr>
            <w:tcW w:w="60" w:type="dxa"/>
            <w:vAlign w:val="bottom"/>
            <w:tcBorders>
              <w:top w:val="single" w:sz="8" w:color="CFF0FC"/>
            </w:tcBorders>
          </w:tcPr>
          <w:p>
            <w:pPr>
              <w:spacing w:after="0"/>
              <w:rPr>
                <w:sz w:val="14"/>
                <w:szCs w:val="14"/>
                <w:color w:val="auto"/>
              </w:rPr>
            </w:pPr>
          </w:p>
        </w:tc>
      </w:tr>
      <w:tr>
        <w:trPr>
          <w:trHeight w:val="175"/>
        </w:trPr>
        <w:tc>
          <w:tcPr>
            <w:tcW w:w="6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2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59,874</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40,122</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14,882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year</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86,262</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59,874</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40,122</w:t>
            </w:r>
          </w:p>
        </w:tc>
        <w:tc>
          <w:tcPr>
            <w:tcW w:w="60" w:type="dxa"/>
            <w:vAlign w:val="bottom"/>
          </w:tcPr>
          <w:p>
            <w:pPr>
              <w:spacing w:after="0"/>
              <w:rPr>
                <w:sz w:val="14"/>
                <w:szCs w:val="14"/>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8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6"/>
        </w:trPr>
        <w:tc>
          <w:tcPr>
            <w:tcW w:w="68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907</w:t>
            </w:r>
          </w:p>
        </w:tc>
        <w:tc>
          <w:tcPr>
            <w:tcW w:w="24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1,269</w:t>
            </w:r>
          </w:p>
        </w:tc>
        <w:tc>
          <w:tcPr>
            <w:tcW w:w="2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1,111</w:t>
            </w:r>
          </w:p>
        </w:tc>
        <w:tc>
          <w:tcPr>
            <w:tcW w:w="60" w:type="dxa"/>
            <w:vAlign w:val="bottom"/>
          </w:tcPr>
          <w:p>
            <w:pPr>
              <w:spacing w:after="0"/>
              <w:rPr>
                <w:sz w:val="15"/>
                <w:szCs w:val="15"/>
                <w:color w:val="auto"/>
              </w:rPr>
            </w:pPr>
          </w:p>
        </w:tc>
      </w:tr>
      <w:tr>
        <w:trPr>
          <w:trHeight w:val="175"/>
        </w:trPr>
        <w:tc>
          <w:tcPr>
            <w:tcW w:w="6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activity:</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7"/>
        </w:trPr>
        <w:tc>
          <w:tcPr>
            <w:tcW w:w="6860" w:type="dxa"/>
            <w:vAlign w:val="bottom"/>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105,227</w:t>
            </w:r>
          </w:p>
        </w:tc>
        <w:tc>
          <w:tcPr>
            <w:tcW w:w="24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2,743</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-3855085</wp:posOffset>
            </wp:positionV>
            <wp:extent cx="514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-3855085</wp:posOffset>
            </wp:positionV>
            <wp:extent cx="4254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-3855085</wp:posOffset>
            </wp:positionV>
            <wp:extent cx="431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-2723515</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-2723515</wp:posOffset>
            </wp:positionV>
            <wp:extent cx="4254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-2723515</wp:posOffset>
            </wp:positionV>
            <wp:extent cx="431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-1060450</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-1060450</wp:posOffset>
            </wp:positionV>
            <wp:extent cx="4254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-1060450</wp:posOffset>
            </wp:positionV>
            <wp:extent cx="431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-820420</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-820420</wp:posOffset>
            </wp:positionV>
            <wp:extent cx="4254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-820420</wp:posOffset>
            </wp:positionV>
            <wp:extent cx="431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-588645</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-588645</wp:posOffset>
            </wp:positionV>
            <wp:extent cx="4254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-588645</wp:posOffset>
            </wp:positionV>
            <wp:extent cx="431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5" w:lineRule="auto"/>
        <w:rPr>
          <w:sz w:val="20"/>
          <w:szCs w:val="20"/>
          <w:color w:val="auto"/>
        </w:rPr>
      </w:pPr>
      <w:r>
        <w:rPr>
          <w:rFonts w:ascii="Arial" w:cs="Arial" w:eastAsia="Arial" w:hAnsi="Arial"/>
          <w:sz w:val="20"/>
          <w:szCs w:val="20"/>
          <w:color w:val="auto"/>
        </w:rPr>
        <w:t>Unaudited Reconciliations of Non-GAAP Financial Measures</w:t>
      </w:r>
    </w:p>
    <w:p>
      <w:pPr>
        <w:jc w:val="center"/>
        <w:spacing w:after="0" w:line="229" w:lineRule="auto"/>
        <w:rPr>
          <w:sz w:val="20"/>
          <w:szCs w:val="20"/>
          <w:color w:val="auto"/>
        </w:rPr>
      </w:pPr>
      <w:r>
        <w:rPr>
          <w:rFonts w:ascii="Arial" w:cs="Arial" w:eastAsia="Arial" w:hAnsi="Arial"/>
          <w:sz w:val="20"/>
          <w:szCs w:val="20"/>
          <w:color w:val="auto"/>
        </w:rPr>
        <w:t>(In thousands)</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510"/>
              <w:spacing w:after="0" w:line="164" w:lineRule="exact"/>
              <w:rPr>
                <w:sz w:val="20"/>
                <w:szCs w:val="20"/>
                <w:color w:val="auto"/>
              </w:rPr>
            </w:pPr>
            <w:r>
              <w:rPr>
                <w:rFonts w:ascii="Arial" w:cs="Arial" w:eastAsia="Arial" w:hAnsi="Arial"/>
                <w:sz w:val="18"/>
                <w:szCs w:val="18"/>
                <w:b w:val="1"/>
                <w:bCs w:val="1"/>
                <w:color w:val="auto"/>
              </w:rPr>
              <w:t>Three Months Ended</w:t>
            </w:r>
          </w:p>
        </w:tc>
        <w:tc>
          <w:tcPr>
            <w:tcW w:w="2880" w:type="dxa"/>
            <w:vAlign w:val="bottom"/>
            <w:gridSpan w:val="7"/>
          </w:tcPr>
          <w:p>
            <w:pPr>
              <w:jc w:val="center"/>
              <w:ind w:right="30"/>
              <w:spacing w:after="0" w:line="164" w:lineRule="exact"/>
              <w:rPr>
                <w:sz w:val="20"/>
                <w:szCs w:val="20"/>
                <w:color w:val="auto"/>
              </w:rPr>
            </w:pPr>
            <w:r>
              <w:rPr>
                <w:rFonts w:ascii="Arial" w:cs="Arial" w:eastAsia="Arial" w:hAnsi="Arial"/>
                <w:sz w:val="18"/>
                <w:szCs w:val="18"/>
                <w:b w:val="1"/>
                <w:bCs w:val="1"/>
                <w:color w:val="auto"/>
                <w:w w:val="99"/>
              </w:rPr>
              <w:t>For the Year Ended December</w:t>
            </w: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5"/>
              </w:rPr>
              <w:t>31,</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99"/>
              </w:rPr>
              <w:t>Adjusted EBITDA:</w:t>
            </w:r>
          </w:p>
        </w:tc>
        <w:tc>
          <w:tcPr>
            <w:tcW w:w="40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r>
      <w:tr>
        <w:trPr>
          <w:trHeight w:val="203"/>
        </w:trPr>
        <w:tc>
          <w:tcPr>
            <w:tcW w:w="5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(23,907 )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(10,178 )</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(61,381 )</w:t>
            </w:r>
          </w:p>
        </w:tc>
        <w:tc>
          <w:tcPr>
            <w:tcW w:w="460" w:type="dxa"/>
            <w:vAlign w:val="bottom"/>
            <w:gridSpan w:val="2"/>
          </w:tcPr>
          <w:p>
            <w:pPr>
              <w:jc w:val="center"/>
              <w:ind w:right="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(31,085 )</w:t>
            </w:r>
          </w:p>
        </w:tc>
      </w:tr>
      <w:tr>
        <w:trPr>
          <w:trHeight w:val="203"/>
        </w:trPr>
        <w:tc>
          <w:tcPr>
            <w:tcW w:w="56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Add (deduct):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405"/>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Interest expense, interest and dividend income and other expenses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w:t>
            </w:r>
          </w:p>
        </w:tc>
        <w:tc>
          <w:tcPr>
            <w:tcW w:w="80" w:type="dxa"/>
            <w:vAlign w:val="bottom"/>
          </w:tcPr>
          <w:p>
            <w:pPr>
              <w:spacing w:after="0"/>
              <w:rPr>
                <w:sz w:val="24"/>
                <w:szCs w:val="24"/>
                <w:color w:val="auto"/>
              </w:rPr>
            </w:pPr>
          </w:p>
        </w:tc>
      </w:tr>
      <w:tr>
        <w:trPr>
          <w:trHeight w:val="203"/>
        </w:trPr>
        <w:tc>
          <w:tcPr>
            <w:tcW w:w="56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3"/>
                <w:szCs w:val="23"/>
                <w:color w:val="auto"/>
                <w:vertAlign w:val="superscript"/>
              </w:rPr>
              <w:t>(1)</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3,120</w:t>
            </w:r>
          </w:p>
        </w:tc>
        <w:tc>
          <w:tcPr>
            <w:tcW w:w="80" w:type="dxa"/>
            <w:vAlign w:val="bottom"/>
            <w:shd w:val="clear" w:color="auto" w:fill="CFF0FC"/>
          </w:tcPr>
          <w:p>
            <w:pPr>
              <w:spacing w:after="0"/>
              <w:rPr>
                <w:sz w:val="17"/>
                <w:szCs w:val="17"/>
                <w:color w:val="auto"/>
              </w:rPr>
            </w:pPr>
          </w:p>
        </w:tc>
      </w:tr>
      <w:tr>
        <w:trPr>
          <w:trHeight w:val="203"/>
        </w:trPr>
        <w:tc>
          <w:tcPr>
            <w:tcW w:w="5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Charitable contribution of common stock</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7"/>
                <w:szCs w:val="17"/>
                <w:color w:val="auto"/>
              </w:rPr>
              <w:t>Stock-based compensation</w:t>
            </w:r>
            <w:r>
              <w:rPr>
                <w:rFonts w:ascii="Arial" w:cs="Arial" w:eastAsia="Arial" w:hAnsi="Arial"/>
                <w:sz w:val="23"/>
                <w:szCs w:val="23"/>
                <w:color w:val="auto"/>
                <w:vertAlign w:val="superscript"/>
              </w:rPr>
              <w:t>(2)</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1,006</w:t>
            </w:r>
          </w:p>
        </w:tc>
        <w:tc>
          <w:tcPr>
            <w:tcW w:w="80" w:type="dxa"/>
            <w:vAlign w:val="bottom"/>
            <w:shd w:val="clear" w:color="auto" w:fill="CFF0FC"/>
          </w:tcPr>
          <w:p>
            <w:pPr>
              <w:spacing w:after="0"/>
              <w:rPr>
                <w:sz w:val="17"/>
                <w:szCs w:val="17"/>
                <w:color w:val="auto"/>
              </w:rPr>
            </w:pPr>
          </w:p>
        </w:tc>
      </w:tr>
      <w:tr>
        <w:trPr>
          <w:trHeight w:val="203"/>
        </w:trPr>
        <w:tc>
          <w:tcPr>
            <w:tcW w:w="5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5,696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from unconsolidated joint venture</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(41 )</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(41 )</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Impairment of goodwill and intangible assets</w:t>
            </w:r>
          </w:p>
        </w:tc>
        <w:tc>
          <w:tcPr>
            <w:tcW w:w="220" w:type="dxa"/>
            <w:vAlign w:val="bottom"/>
          </w:tcPr>
          <w:p>
            <w:pPr>
              <w:spacing w:after="0"/>
              <w:rPr>
                <w:sz w:val="17"/>
                <w:szCs w:val="17"/>
                <w:color w:val="auto"/>
              </w:rPr>
            </w:pPr>
          </w:p>
        </w:tc>
        <w:tc>
          <w:tcPr>
            <w:tcW w:w="11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c>
          <w:tcPr>
            <w:tcW w:w="80" w:type="dxa"/>
            <w:vAlign w:val="bottom"/>
          </w:tcPr>
          <w:p>
            <w:pPr>
              <w:spacing w:after="0"/>
              <w:rPr>
                <w:sz w:val="17"/>
                <w:szCs w:val="17"/>
                <w:color w:val="auto"/>
              </w:rPr>
            </w:pPr>
          </w:p>
        </w:tc>
      </w:tr>
      <w:tr>
        <w:trPr>
          <w:trHeight w:val="236"/>
        </w:trPr>
        <w:tc>
          <w:tcPr>
            <w:tcW w:w="564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(11,854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(6,590</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center"/>
              <w:ind w:right="1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(23,498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2" w:lineRule="exact"/>
        <w:rPr>
          <w:sz w:val="20"/>
          <w:szCs w:val="20"/>
          <w:color w:val="auto"/>
        </w:rPr>
      </w:pPr>
    </w:p>
    <w:p>
      <w:pPr>
        <w:ind w:left="380" w:right="300" w:hanging="372"/>
        <w:spacing w:after="0" w:line="225" w:lineRule="auto"/>
        <w:tabs>
          <w:tab w:leader="none" w:pos="38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Represents depreciation expense of the Company’s long-lived tangible assets and amortization expense of its finite-lived intangible assets, as included in the Company’s GAAP results of operations.</w:t>
      </w:r>
    </w:p>
    <w:p>
      <w:pPr>
        <w:ind w:left="380" w:right="120" w:hanging="372"/>
        <w:spacing w:after="0" w:line="236" w:lineRule="auto"/>
        <w:tabs>
          <w:tab w:leader="none" w:pos="38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Represents the expense related to stock-based awards granted to employees, as included in the Company’s GAAP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5" w:lineRule="auto"/>
        <w:rPr>
          <w:sz w:val="20"/>
          <w:szCs w:val="20"/>
          <w:color w:val="auto"/>
        </w:rPr>
      </w:pPr>
      <w:r>
        <w:rPr>
          <w:rFonts w:ascii="Arial" w:cs="Arial" w:eastAsia="Arial" w:hAnsi="Arial"/>
          <w:sz w:val="20"/>
          <w:szCs w:val="20"/>
          <w:color w:val="auto"/>
        </w:rPr>
        <w:t>Segment Results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Pr>
          <w:p>
            <w:pPr>
              <w:spacing w:after="0"/>
              <w:rPr>
                <w:sz w:val="19"/>
                <w:szCs w:val="19"/>
                <w:color w:val="auto"/>
              </w:rPr>
            </w:pPr>
          </w:p>
        </w:tc>
        <w:tc>
          <w:tcPr>
            <w:tcW w:w="34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 December 31,</w:t>
            </w:r>
          </w:p>
        </w:tc>
        <w:tc>
          <w:tcPr>
            <w:tcW w:w="120" w:type="dxa"/>
            <w:vAlign w:val="bottom"/>
          </w:tcPr>
          <w:p>
            <w:pPr>
              <w:spacing w:after="0"/>
              <w:rPr>
                <w:sz w:val="19"/>
                <w:szCs w:val="19"/>
                <w:color w:val="auto"/>
              </w:rPr>
            </w:pPr>
          </w:p>
        </w:tc>
        <w:tc>
          <w:tcPr>
            <w:tcW w:w="30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8"/>
              </w:rPr>
              <w:t>For the Year Ended December 31,</w:t>
            </w:r>
          </w:p>
        </w:tc>
      </w:tr>
      <w:tr>
        <w:trPr>
          <w:trHeight w:val="196"/>
        </w:trPr>
        <w:tc>
          <w:tcPr>
            <w:tcW w:w="46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Segment Revenue:</w:t>
            </w:r>
          </w:p>
        </w:tc>
        <w:tc>
          <w:tcPr>
            <w:tcW w:w="320" w:type="dxa"/>
            <w:vAlign w:val="bottom"/>
            <w:shd w:val="clear" w:color="auto" w:fill="CFF0FC"/>
          </w:tcPr>
          <w:p>
            <w:pPr>
              <w:spacing w:after="0"/>
              <w:rPr>
                <w:sz w:val="17"/>
                <w:szCs w:val="17"/>
                <w:color w:val="auto"/>
              </w:rPr>
            </w:pPr>
          </w:p>
        </w:tc>
        <w:tc>
          <w:tcPr>
            <w:tcW w:w="18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(unaudited)</w:t>
            </w: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b w:val="1"/>
                <w:bCs w:val="1"/>
                <w:color w:val="auto"/>
              </w:rPr>
              <w:t>(unaudited)</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61,769</w:t>
            </w:r>
          </w:p>
        </w:tc>
        <w:tc>
          <w:tcPr>
            <w:tcW w:w="280" w:type="dxa"/>
            <w:vAlign w:val="bottom"/>
          </w:tcPr>
          <w:p>
            <w:pPr>
              <w:spacing w:after="0"/>
              <w:rPr>
                <w:sz w:val="17"/>
                <w:szCs w:val="17"/>
                <w:color w:val="auto"/>
              </w:rPr>
            </w:pPr>
          </w:p>
        </w:tc>
        <w:tc>
          <w:tcPr>
            <w:tcW w:w="44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36,734</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202,034</w:t>
            </w:r>
          </w:p>
        </w:tc>
        <w:tc>
          <w:tcPr>
            <w:tcW w:w="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138,272</w:t>
            </w:r>
          </w:p>
        </w:tc>
        <w:tc>
          <w:tcPr>
            <w:tcW w:w="100" w:type="dxa"/>
            <w:vAlign w:val="bottom"/>
          </w:tcPr>
          <w:p>
            <w:pPr>
              <w:spacing w:after="0"/>
              <w:rPr>
                <w:sz w:val="17"/>
                <w:szCs w:val="17"/>
                <w:color w:val="auto"/>
              </w:rPr>
            </w:pPr>
          </w:p>
        </w:tc>
      </w:tr>
      <w:tr>
        <w:trPr>
          <w:trHeight w:val="203"/>
        </w:trPr>
        <w:tc>
          <w:tcPr>
            <w:tcW w:w="4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5,329</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1,246</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16,302</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20" w:type="dxa"/>
            <w:vAlign w:val="bottom"/>
          </w:tcPr>
          <w:p>
            <w:pPr>
              <w:ind w:left="28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67,098</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37,980</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218,336</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141,406</w:t>
            </w:r>
          </w:p>
        </w:tc>
        <w:tc>
          <w:tcPr>
            <w:tcW w:w="10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Segment Net Loss: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(21,080 )</w:t>
            </w:r>
          </w:p>
        </w:tc>
        <w:tc>
          <w:tcPr>
            <w:tcW w:w="44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(6,040 )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(51,230 )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(22,130 )</w:t>
            </w: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(2,827 )</w:t>
            </w:r>
          </w:p>
        </w:tc>
        <w:tc>
          <w:tcPr>
            <w:tcW w:w="4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(4,138 )</w:t>
            </w:r>
          </w:p>
        </w:tc>
        <w:tc>
          <w:tcPr>
            <w:tcW w:w="1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(10,151 )</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(8,955 )</w:t>
            </w:r>
          </w:p>
        </w:tc>
      </w:tr>
      <w:tr>
        <w:trPr>
          <w:trHeight w:val="20"/>
        </w:trPr>
        <w:tc>
          <w:tcPr>
            <w:tcW w:w="4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620" w:type="dxa"/>
            <w:vAlign w:val="bottom"/>
          </w:tcPr>
          <w:p>
            <w:pPr>
              <w:ind w:left="280"/>
              <w:spacing w:after="0" w:line="196" w:lineRule="exact"/>
              <w:rPr>
                <w:sz w:val="20"/>
                <w:szCs w:val="20"/>
                <w:color w:val="auto"/>
              </w:rPr>
            </w:pPr>
            <w:r>
              <w:rPr>
                <w:rFonts w:ascii="Arial" w:cs="Arial" w:eastAsia="Arial" w:hAnsi="Arial"/>
                <w:sz w:val="18"/>
                <w:szCs w:val="18"/>
                <w:color w:val="auto"/>
              </w:rPr>
              <w:t>Total net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(23,907 )</w:t>
            </w:r>
          </w:p>
        </w:tc>
        <w:tc>
          <w:tcPr>
            <w:tcW w:w="44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(10,178 )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(61,381 )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(31,085 )</w:t>
            </w:r>
          </w:p>
        </w:tc>
      </w:tr>
      <w:tr>
        <w:trPr>
          <w:trHeight w:val="20"/>
        </w:trPr>
        <w:tc>
          <w:tcPr>
            <w:tcW w:w="4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-836295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-836295</wp:posOffset>
            </wp:positionV>
            <wp:extent cx="5969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-836295</wp:posOffset>
            </wp:positionV>
            <wp:extent cx="603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-836295</wp:posOffset>
            </wp:positionV>
            <wp:extent cx="5969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-159385</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-159385</wp:posOffset>
            </wp:positionV>
            <wp:extent cx="5969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-159385</wp:posOffset>
            </wp:positionV>
            <wp:extent cx="6032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4520"/>
        <w:spacing w:after="0" w:line="235" w:lineRule="auto"/>
        <w:rPr>
          <w:sz w:val="20"/>
          <w:szCs w:val="20"/>
          <w:color w:val="auto"/>
        </w:rPr>
      </w:pPr>
      <w:r>
        <w:rPr>
          <w:rFonts w:ascii="Arial" w:cs="Arial" w:eastAsia="Arial" w:hAnsi="Arial"/>
          <w:sz w:val="20"/>
          <w:szCs w:val="20"/>
          <w:color w:val="auto"/>
        </w:rPr>
        <w:t>Supplemental Information</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0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Three Months Ended December 31,</w:t>
            </w:r>
          </w:p>
        </w:tc>
        <w:tc>
          <w:tcPr>
            <w:tcW w:w="240" w:type="dxa"/>
            <w:vAlign w:val="bottom"/>
          </w:tcPr>
          <w:p>
            <w:pPr>
              <w:spacing w:after="0"/>
              <w:rPr>
                <w:sz w:val="19"/>
                <w:szCs w:val="19"/>
                <w:color w:val="auto"/>
              </w:rPr>
            </w:pPr>
          </w:p>
        </w:tc>
        <w:tc>
          <w:tcPr>
            <w:tcW w:w="30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For the Year Ended December 31,</w:t>
            </w:r>
          </w:p>
        </w:tc>
        <w:tc>
          <w:tcPr>
            <w:tcW w:w="100" w:type="dxa"/>
            <w:vAlign w:val="bottom"/>
          </w:tcPr>
          <w:p>
            <w:pPr>
              <w:spacing w:after="0"/>
              <w:rPr>
                <w:sz w:val="19"/>
                <w:szCs w:val="19"/>
                <w:color w:val="auto"/>
              </w:rPr>
            </w:pPr>
          </w:p>
        </w:tc>
      </w:tr>
      <w:tr>
        <w:trPr>
          <w:trHeight w:val="196"/>
        </w:trPr>
        <w:tc>
          <w:tcPr>
            <w:tcW w:w="4740" w:type="dxa"/>
            <w:vAlign w:val="bottom"/>
          </w:tcPr>
          <w:p>
            <w:pPr>
              <w:spacing w:after="0"/>
              <w:rPr>
                <w:sz w:val="17"/>
                <w:szCs w:val="17"/>
                <w:color w:val="auto"/>
              </w:rPr>
            </w:pPr>
          </w:p>
        </w:tc>
        <w:tc>
          <w:tcPr>
            <w:tcW w:w="940" w:type="dxa"/>
            <w:vAlign w:val="bottom"/>
            <w:tcBorders>
              <w:bottom w:val="single" w:sz="8" w:color="auto"/>
            </w:tcBorders>
          </w:tcPr>
          <w:p>
            <w:pPr>
              <w:ind w:left="500"/>
              <w:spacing w:after="0" w:line="196" w:lineRule="exact"/>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96"/>
        </w:trPr>
        <w:tc>
          <w:tcPr>
            <w:tcW w:w="4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Summary of Stock-based Compensation Expense</w:t>
            </w:r>
          </w:p>
        </w:tc>
        <w:tc>
          <w:tcPr>
            <w:tcW w:w="9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(unaudited)</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(unaudited)</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6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r>
      <w:tr>
        <w:trPr>
          <w:trHeight w:val="202"/>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Operations and support</w:t>
            </w: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1,295</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9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1,744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tcPr>
          <w:p>
            <w:pPr>
              <w:spacing w:after="0"/>
              <w:rPr>
                <w:sz w:val="17"/>
                <w:szCs w:val="17"/>
                <w:color w:val="auto"/>
              </w:rPr>
            </w:pPr>
          </w:p>
        </w:tc>
      </w:tr>
      <w:tr>
        <w:trPr>
          <w:trHeight w:val="203"/>
        </w:trPr>
        <w:tc>
          <w:tcPr>
            <w:tcW w:w="4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1,769</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40" w:type="dxa"/>
            <w:vAlign w:val="bottom"/>
          </w:tcPr>
          <w:p>
            <w:pPr>
              <w:ind w:left="20"/>
              <w:spacing w:after="0" w:line="182" w:lineRule="exact"/>
              <w:rPr>
                <w:sz w:val="20"/>
                <w:szCs w:val="20"/>
                <w:color w:val="auto"/>
              </w:rPr>
            </w:pPr>
            <w:r>
              <w:rPr>
                <w:rFonts w:ascii="Arial" w:cs="Arial" w:eastAsia="Arial" w:hAnsi="Arial"/>
                <w:sz w:val="18"/>
                <w:szCs w:val="18"/>
                <w:color w:val="auto"/>
              </w:rPr>
              <w:t>Total stock-based compensation expense</w:t>
            </w:r>
          </w:p>
        </w:tc>
        <w:tc>
          <w:tcPr>
            <w:tcW w:w="9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2,648</w:t>
            </w:r>
          </w:p>
        </w:tc>
        <w:tc>
          <w:tcPr>
            <w:tcW w:w="680" w:type="dxa"/>
            <w:vAlign w:val="bottom"/>
            <w:gridSpan w:val="2"/>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327</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7,395</w:t>
            </w:r>
          </w:p>
        </w:tc>
        <w:tc>
          <w:tcPr>
            <w:tcW w:w="56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1,006</w:t>
            </w:r>
          </w:p>
        </w:tc>
        <w:tc>
          <w:tcPr>
            <w:tcW w:w="10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Summary of Depreciation and Amortization Expense</w:t>
            </w: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9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6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Operations and support</w:t>
            </w:r>
          </w:p>
        </w:tc>
        <w:tc>
          <w:tcPr>
            <w:tcW w:w="9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1,720</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w:t>
            </w:r>
          </w:p>
        </w:tc>
        <w:tc>
          <w:tcPr>
            <w:tcW w:w="100" w:type="dxa"/>
            <w:vAlign w:val="bottom"/>
          </w:tcPr>
          <w:p>
            <w:pPr>
              <w:spacing w:after="0"/>
              <w:rPr>
                <w:sz w:val="17"/>
                <w:szCs w:val="17"/>
                <w:color w:val="auto"/>
              </w:rPr>
            </w:pPr>
          </w:p>
        </w:tc>
      </w:tr>
      <w:tr>
        <w:trPr>
          <w:trHeight w:val="236"/>
        </w:trPr>
        <w:tc>
          <w:tcPr>
            <w:tcW w:w="47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depreciation and amortization expense</w:t>
            </w:r>
          </w:p>
        </w:tc>
        <w:tc>
          <w:tcPr>
            <w:tcW w:w="9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1,292</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864</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3,596</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3,120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-1222375</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-1222375</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-1222375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For the three and twelve months ended December 31, 2021, general and administrative expense includes $1.1 million and $2.2 million, respectively of expense related to charitable contributions.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2022-03-17T15:26:39Z</dcterms:created>
  <dcterms:modified xsi:type="dcterms:W3CDTF">2022-03-17T15:26:39Z</dcterms:modified>
</cp:coreProperties>
</file>