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As filed with the Securities and Exchange Commission on June 21, 2021.</w:t>
      </w:r>
    </w:p>
    <w:p>
      <w:pPr>
        <w:spacing w:after="0" w:line="10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333-256769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111125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111125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AMENDMENT NO. 1</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TO</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S-1</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REGISTRATION STATEMENT</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i w:val="1"/>
          <w:iCs w:val="1"/>
          <w:color w:val="auto"/>
        </w:rPr>
        <w:t>UNDER</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111125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Xometry,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109220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50" w:lineRule="exact"/>
        <w:rPr>
          <w:sz w:val="24"/>
          <w:szCs w:val="24"/>
          <w:color w:val="auto"/>
        </w:rPr>
      </w:pPr>
    </w:p>
    <w:tbl>
      <w:tblPr>
        <w:tblLayout w:type="fixed"/>
        <w:tblInd w:w="1120" w:type="dxa"/>
        <w:tblCellMar>
          <w:top w:w="0" w:type="dxa"/>
          <w:left w:w="0" w:type="dxa"/>
          <w:bottom w:w="0" w:type="dxa"/>
          <w:right w:w="0" w:type="dxa"/>
        </w:tblCellMar>
      </w:tblPr>
      <w:tr>
        <w:trPr>
          <w:trHeight w:val="149"/>
        </w:trPr>
        <w:tc>
          <w:tcPr>
            <w:tcW w:w="2780" w:type="dxa"/>
            <w:vAlign w:val="bottom"/>
          </w:tcPr>
          <w:p>
            <w:pPr>
              <w:jc w:val="center"/>
              <w:ind w:right="916"/>
              <w:spacing w:after="0"/>
              <w:rPr>
                <w:sz w:val="20"/>
                <w:szCs w:val="20"/>
                <w:color w:val="auto"/>
              </w:rPr>
            </w:pPr>
            <w:r>
              <w:rPr>
                <w:rFonts w:ascii="Arial" w:cs="Arial" w:eastAsia="Arial" w:hAnsi="Arial"/>
                <w:sz w:val="13"/>
                <w:szCs w:val="13"/>
                <w:b w:val="1"/>
                <w:bCs w:val="1"/>
                <w:color w:val="auto"/>
              </w:rPr>
              <w:t>Delaware</w:t>
            </w:r>
          </w:p>
        </w:tc>
        <w:tc>
          <w:tcPr>
            <w:tcW w:w="3740" w:type="dxa"/>
            <w:vAlign w:val="bottom"/>
          </w:tcPr>
          <w:p>
            <w:pPr>
              <w:jc w:val="center"/>
              <w:ind w:right="16"/>
              <w:spacing w:after="0"/>
              <w:rPr>
                <w:sz w:val="20"/>
                <w:szCs w:val="20"/>
                <w:color w:val="auto"/>
              </w:rPr>
            </w:pPr>
            <w:r>
              <w:rPr>
                <w:rFonts w:ascii="Arial" w:cs="Arial" w:eastAsia="Arial" w:hAnsi="Arial"/>
                <w:sz w:val="13"/>
                <w:szCs w:val="13"/>
                <w:b w:val="1"/>
                <w:bCs w:val="1"/>
                <w:color w:val="auto"/>
              </w:rPr>
              <w:t>7389</w:t>
            </w:r>
          </w:p>
        </w:tc>
        <w:tc>
          <w:tcPr>
            <w:tcW w:w="2360" w:type="dxa"/>
            <w:vAlign w:val="bottom"/>
          </w:tcPr>
          <w:p>
            <w:pPr>
              <w:jc w:val="center"/>
              <w:ind w:left="976"/>
              <w:spacing w:after="0"/>
              <w:rPr>
                <w:sz w:val="20"/>
                <w:szCs w:val="20"/>
                <w:color w:val="auto"/>
              </w:rPr>
            </w:pPr>
            <w:r>
              <w:rPr>
                <w:rFonts w:ascii="Arial" w:cs="Arial" w:eastAsia="Arial" w:hAnsi="Arial"/>
                <w:sz w:val="13"/>
                <w:szCs w:val="13"/>
                <w:b w:val="1"/>
                <w:bCs w:val="1"/>
                <w:color w:val="auto"/>
              </w:rPr>
              <w:t>32-0415449</w:t>
            </w:r>
          </w:p>
        </w:tc>
      </w:tr>
      <w:tr>
        <w:trPr>
          <w:trHeight w:val="134"/>
        </w:trPr>
        <w:tc>
          <w:tcPr>
            <w:tcW w:w="2780" w:type="dxa"/>
            <w:vAlign w:val="bottom"/>
          </w:tcPr>
          <w:p>
            <w:pPr>
              <w:jc w:val="center"/>
              <w:ind w:right="916"/>
              <w:spacing w:after="0" w:line="134" w:lineRule="exact"/>
              <w:rPr>
                <w:sz w:val="20"/>
                <w:szCs w:val="20"/>
                <w:color w:val="auto"/>
              </w:rPr>
            </w:pPr>
            <w:r>
              <w:rPr>
                <w:rFonts w:ascii="Arial" w:cs="Arial" w:eastAsia="Arial" w:hAnsi="Arial"/>
                <w:sz w:val="12"/>
                <w:szCs w:val="12"/>
                <w:b w:val="1"/>
                <w:bCs w:val="1"/>
                <w:color w:val="auto"/>
              </w:rPr>
              <w:t>(State or other jurisdiction of</w:t>
            </w:r>
          </w:p>
        </w:tc>
        <w:tc>
          <w:tcPr>
            <w:tcW w:w="3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(Primary Standard Industrial</w:t>
            </w:r>
          </w:p>
        </w:tc>
        <w:tc>
          <w:tcPr>
            <w:tcW w:w="2360" w:type="dxa"/>
            <w:vAlign w:val="bottom"/>
          </w:tcPr>
          <w:p>
            <w:pPr>
              <w:jc w:val="center"/>
              <w:ind w:left="976"/>
              <w:spacing w:after="0" w:line="134" w:lineRule="exact"/>
              <w:rPr>
                <w:sz w:val="20"/>
                <w:szCs w:val="20"/>
                <w:color w:val="auto"/>
              </w:rPr>
            </w:pPr>
            <w:r>
              <w:rPr>
                <w:rFonts w:ascii="Arial" w:cs="Arial" w:eastAsia="Arial" w:hAnsi="Arial"/>
                <w:sz w:val="12"/>
                <w:szCs w:val="12"/>
                <w:b w:val="1"/>
                <w:bCs w:val="1"/>
                <w:color w:val="auto"/>
              </w:rPr>
              <w:t>(I.R.S. Employer</w:t>
            </w:r>
          </w:p>
        </w:tc>
      </w:tr>
      <w:tr>
        <w:trPr>
          <w:trHeight w:val="163"/>
        </w:trPr>
        <w:tc>
          <w:tcPr>
            <w:tcW w:w="2780" w:type="dxa"/>
            <w:vAlign w:val="bottom"/>
          </w:tcPr>
          <w:p>
            <w:pPr>
              <w:jc w:val="center"/>
              <w:ind w:right="916"/>
              <w:spacing w:after="0"/>
              <w:rPr>
                <w:sz w:val="20"/>
                <w:szCs w:val="20"/>
                <w:color w:val="auto"/>
              </w:rPr>
            </w:pPr>
            <w:r>
              <w:rPr>
                <w:rFonts w:ascii="Arial" w:cs="Arial" w:eastAsia="Arial" w:hAnsi="Arial"/>
                <w:sz w:val="12"/>
                <w:szCs w:val="12"/>
                <w:b w:val="1"/>
                <w:bCs w:val="1"/>
                <w:color w:val="auto"/>
              </w:rPr>
              <w:t>incorporation or organization)</w:t>
            </w:r>
          </w:p>
        </w:tc>
        <w:tc>
          <w:tcPr>
            <w:tcW w:w="3740" w:type="dxa"/>
            <w:vAlign w:val="bottom"/>
          </w:tcPr>
          <w:p>
            <w:pPr>
              <w:jc w:val="center"/>
              <w:spacing w:after="0"/>
              <w:rPr>
                <w:sz w:val="20"/>
                <w:szCs w:val="20"/>
                <w:color w:val="auto"/>
              </w:rPr>
            </w:pPr>
            <w:r>
              <w:rPr>
                <w:rFonts w:ascii="Arial" w:cs="Arial" w:eastAsia="Arial" w:hAnsi="Arial"/>
                <w:sz w:val="12"/>
                <w:szCs w:val="12"/>
                <w:b w:val="1"/>
                <w:bCs w:val="1"/>
                <w:color w:val="auto"/>
              </w:rPr>
              <w:t>Classification Code Number)</w:t>
            </w:r>
          </w:p>
        </w:tc>
        <w:tc>
          <w:tcPr>
            <w:tcW w:w="2360" w:type="dxa"/>
            <w:vAlign w:val="bottom"/>
          </w:tcPr>
          <w:p>
            <w:pPr>
              <w:jc w:val="center"/>
              <w:ind w:left="976"/>
              <w:spacing w:after="0"/>
              <w:rPr>
                <w:sz w:val="20"/>
                <w:szCs w:val="20"/>
                <w:color w:val="auto"/>
              </w:rPr>
            </w:pPr>
            <w:r>
              <w:rPr>
                <w:rFonts w:ascii="Arial" w:cs="Arial" w:eastAsia="Arial" w:hAnsi="Arial"/>
                <w:sz w:val="12"/>
                <w:szCs w:val="12"/>
                <w:b w:val="1"/>
                <w:bCs w:val="1"/>
                <w:color w:val="auto"/>
              </w:rPr>
              <w:t>Identification Number)</w:t>
            </w:r>
          </w:p>
        </w:tc>
      </w:tr>
    </w:tbl>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7529 Standish Place</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Suite 200</w:t>
      </w:r>
    </w:p>
    <w:p>
      <w:pPr>
        <w:jc w:val="center"/>
        <w:ind w:right="-159"/>
        <w:spacing w:after="0" w:line="236" w:lineRule="auto"/>
        <w:rPr>
          <w:sz w:val="20"/>
          <w:szCs w:val="20"/>
          <w:color w:val="auto"/>
        </w:rPr>
      </w:pPr>
      <w:r>
        <w:rPr>
          <w:rFonts w:ascii="Arial" w:cs="Arial" w:eastAsia="Arial" w:hAnsi="Arial"/>
          <w:sz w:val="13"/>
          <w:szCs w:val="13"/>
          <w:b w:val="1"/>
          <w:bCs w:val="1"/>
          <w:color w:val="auto"/>
        </w:rPr>
        <w:t>Derwood, MD 20855</w:t>
      </w:r>
    </w:p>
    <w:p>
      <w:pPr>
        <w:jc w:val="center"/>
        <w:ind w:right="-159"/>
        <w:spacing w:after="0" w:line="227" w:lineRule="auto"/>
        <w:rPr>
          <w:sz w:val="20"/>
          <w:szCs w:val="20"/>
          <w:color w:val="auto"/>
        </w:rPr>
      </w:pPr>
      <w:r>
        <w:rPr>
          <w:rFonts w:ascii="Arial" w:cs="Arial" w:eastAsia="Arial" w:hAnsi="Arial"/>
          <w:sz w:val="13"/>
          <w:szCs w:val="13"/>
          <w:b w:val="1"/>
          <w:bCs w:val="1"/>
          <w:color w:val="auto"/>
        </w:rPr>
        <w:t>(240) 335-7914</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111760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Randolph Altschuler</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Chief Executive Officer</w:t>
      </w:r>
    </w:p>
    <w:p>
      <w:pPr>
        <w:jc w:val="center"/>
        <w:ind w:right="-159"/>
        <w:spacing w:after="0" w:line="236" w:lineRule="auto"/>
        <w:rPr>
          <w:sz w:val="20"/>
          <w:szCs w:val="20"/>
          <w:color w:val="auto"/>
        </w:rPr>
      </w:pPr>
      <w:r>
        <w:rPr>
          <w:rFonts w:ascii="Arial" w:cs="Arial" w:eastAsia="Arial" w:hAnsi="Arial"/>
          <w:sz w:val="13"/>
          <w:szCs w:val="13"/>
          <w:b w:val="1"/>
          <w:bCs w:val="1"/>
          <w:color w:val="auto"/>
        </w:rPr>
        <w:t>Xometry, Inc.</w:t>
      </w:r>
    </w:p>
    <w:p>
      <w:pPr>
        <w:jc w:val="center"/>
        <w:ind w:right="-159"/>
        <w:spacing w:after="0" w:line="236" w:lineRule="auto"/>
        <w:rPr>
          <w:sz w:val="20"/>
          <w:szCs w:val="20"/>
          <w:color w:val="auto"/>
        </w:rPr>
      </w:pPr>
      <w:r>
        <w:rPr>
          <w:rFonts w:ascii="Arial" w:cs="Arial" w:eastAsia="Arial" w:hAnsi="Arial"/>
          <w:sz w:val="13"/>
          <w:szCs w:val="13"/>
          <w:b w:val="1"/>
          <w:bCs w:val="1"/>
          <w:color w:val="auto"/>
        </w:rPr>
        <w:t>7529 Standish Place</w:t>
      </w:r>
    </w:p>
    <w:p>
      <w:pPr>
        <w:jc w:val="center"/>
        <w:ind w:right="-159"/>
        <w:spacing w:after="0" w:line="236" w:lineRule="auto"/>
        <w:rPr>
          <w:sz w:val="20"/>
          <w:szCs w:val="20"/>
          <w:color w:val="auto"/>
        </w:rPr>
      </w:pPr>
      <w:r>
        <w:rPr>
          <w:rFonts w:ascii="Arial" w:cs="Arial" w:eastAsia="Arial" w:hAnsi="Arial"/>
          <w:sz w:val="13"/>
          <w:szCs w:val="13"/>
          <w:b w:val="1"/>
          <w:bCs w:val="1"/>
          <w:color w:val="auto"/>
        </w:rPr>
        <w:t>Suite 200</w:t>
      </w:r>
    </w:p>
    <w:p>
      <w:pPr>
        <w:jc w:val="center"/>
        <w:ind w:right="-159"/>
        <w:spacing w:after="0" w:line="236" w:lineRule="auto"/>
        <w:rPr>
          <w:sz w:val="20"/>
          <w:szCs w:val="20"/>
          <w:color w:val="auto"/>
        </w:rPr>
      </w:pPr>
      <w:r>
        <w:rPr>
          <w:rFonts w:ascii="Arial" w:cs="Arial" w:eastAsia="Arial" w:hAnsi="Arial"/>
          <w:sz w:val="13"/>
          <w:szCs w:val="13"/>
          <w:b w:val="1"/>
          <w:bCs w:val="1"/>
          <w:color w:val="auto"/>
        </w:rPr>
        <w:t>Derwood, MD 20855</w:t>
      </w:r>
    </w:p>
    <w:p>
      <w:pPr>
        <w:jc w:val="center"/>
        <w:ind w:right="-159"/>
        <w:spacing w:after="0" w:line="228" w:lineRule="auto"/>
        <w:rPr>
          <w:sz w:val="20"/>
          <w:szCs w:val="20"/>
          <w:color w:val="auto"/>
        </w:rPr>
      </w:pPr>
      <w:r>
        <w:rPr>
          <w:rFonts w:ascii="Arial" w:cs="Arial" w:eastAsia="Arial" w:hAnsi="Arial"/>
          <w:sz w:val="13"/>
          <w:szCs w:val="13"/>
          <w:b w:val="1"/>
          <w:bCs w:val="1"/>
          <w:color w:val="auto"/>
        </w:rPr>
        <w:t>(240) 335-7914</w:t>
      </w:r>
    </w:p>
    <w:p>
      <w:pPr>
        <w:jc w:val="center"/>
        <w:ind w:right="-15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120015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Copies to:</w:t>
      </w:r>
    </w:p>
    <w:p>
      <w:pPr>
        <w:spacing w:after="0" w:line="59" w:lineRule="exact"/>
        <w:rPr>
          <w:sz w:val="24"/>
          <w:szCs w:val="24"/>
          <w:color w:val="auto"/>
        </w:rPr>
      </w:pPr>
    </w:p>
    <w:tbl>
      <w:tblPr>
        <w:tblLayout w:type="fixed"/>
        <w:tblInd w:w="1140" w:type="dxa"/>
        <w:tblCellMar>
          <w:top w:w="0" w:type="dxa"/>
          <w:left w:w="0" w:type="dxa"/>
          <w:bottom w:w="0" w:type="dxa"/>
          <w:right w:w="0" w:type="dxa"/>
        </w:tblCellMar>
      </w:tblPr>
      <w:tr>
        <w:trPr>
          <w:trHeight w:val="149"/>
        </w:trPr>
        <w:tc>
          <w:tcPr>
            <w:tcW w:w="2860" w:type="dxa"/>
            <w:vAlign w:val="bottom"/>
          </w:tcPr>
          <w:p>
            <w:pPr>
              <w:jc w:val="center"/>
              <w:ind w:right="1033"/>
              <w:spacing w:after="0"/>
              <w:rPr>
                <w:sz w:val="20"/>
                <w:szCs w:val="20"/>
                <w:color w:val="auto"/>
              </w:rPr>
            </w:pPr>
            <w:r>
              <w:rPr>
                <w:rFonts w:ascii="Arial" w:cs="Arial" w:eastAsia="Arial" w:hAnsi="Arial"/>
                <w:sz w:val="13"/>
                <w:szCs w:val="13"/>
                <w:b w:val="1"/>
                <w:bCs w:val="1"/>
                <w:color w:val="auto"/>
              </w:rPr>
              <w:t>Eric Blanchard</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rPr>
              <w:t>James Rallo</w:t>
            </w:r>
          </w:p>
        </w:tc>
        <w:tc>
          <w:tcPr>
            <w:tcW w:w="2780" w:type="dxa"/>
            <w:vAlign w:val="bottom"/>
          </w:tcPr>
          <w:p>
            <w:pPr>
              <w:jc w:val="center"/>
              <w:ind w:left="993"/>
              <w:spacing w:after="0"/>
              <w:rPr>
                <w:sz w:val="20"/>
                <w:szCs w:val="20"/>
                <w:color w:val="auto"/>
              </w:rPr>
            </w:pPr>
            <w:r>
              <w:rPr>
                <w:rFonts w:ascii="Arial" w:cs="Arial" w:eastAsia="Arial" w:hAnsi="Arial"/>
                <w:sz w:val="13"/>
                <w:szCs w:val="13"/>
                <w:b w:val="1"/>
                <w:bCs w:val="1"/>
                <w:color w:val="auto"/>
              </w:rPr>
              <w:t>Alan F. Denenberg</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David Peinsipp</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Laurence Zuriff</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Stephen Salmon</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Michael R. Lincoln</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Kristie Scott</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Davis Polk &amp; Wardwell LLP</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Derek O. Colla</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Xometry, Inc.</w:t>
            </w:r>
          </w:p>
        </w:tc>
        <w:tc>
          <w:tcPr>
            <w:tcW w:w="2780" w:type="dxa"/>
            <w:vAlign w:val="bottom"/>
          </w:tcPr>
          <w:p>
            <w:pPr>
              <w:jc w:val="center"/>
              <w:ind w:left="973"/>
              <w:spacing w:after="0" w:line="148" w:lineRule="exact"/>
              <w:rPr>
                <w:sz w:val="20"/>
                <w:szCs w:val="20"/>
                <w:color w:val="auto"/>
              </w:rPr>
            </w:pPr>
            <w:r>
              <w:rPr>
                <w:rFonts w:ascii="Arial" w:cs="Arial" w:eastAsia="Arial" w:hAnsi="Arial"/>
                <w:sz w:val="13"/>
                <w:szCs w:val="13"/>
                <w:b w:val="1"/>
                <w:bCs w:val="1"/>
                <w:color w:val="auto"/>
              </w:rPr>
              <w:t>1600 El Camino Real</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Cooley LLP</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7529 Standish Place</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Menlo Park, CA 94025</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1299 Pennsylvania Ave. NW</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Suite 200</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(650) 752-2000</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Suite 700</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Derwood, MD 20855</w:t>
            </w:r>
          </w:p>
        </w:tc>
        <w:tc>
          <w:tcPr>
            <w:tcW w:w="2780" w:type="dxa"/>
            <w:vAlign w:val="bottom"/>
          </w:tcPr>
          <w:p>
            <w:pPr>
              <w:spacing w:after="0"/>
              <w:rPr>
                <w:sz w:val="12"/>
                <w:szCs w:val="12"/>
                <w:color w:val="auto"/>
              </w:rPr>
            </w:pP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Washington, DC 20004-2400</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(240) 335-7914</w:t>
            </w:r>
          </w:p>
        </w:tc>
        <w:tc>
          <w:tcPr>
            <w:tcW w:w="2780" w:type="dxa"/>
            <w:vAlign w:val="bottom"/>
          </w:tcPr>
          <w:p>
            <w:pPr>
              <w:spacing w:after="0"/>
              <w:rPr>
                <w:sz w:val="12"/>
                <w:szCs w:val="12"/>
                <w:color w:val="auto"/>
              </w:rPr>
            </w:pPr>
          </w:p>
        </w:tc>
      </w:tr>
      <w:tr>
        <w:trPr>
          <w:trHeight w:val="177"/>
        </w:trPr>
        <w:tc>
          <w:tcPr>
            <w:tcW w:w="2860" w:type="dxa"/>
            <w:vAlign w:val="bottom"/>
          </w:tcPr>
          <w:p>
            <w:pPr>
              <w:jc w:val="center"/>
              <w:ind w:right="1033"/>
              <w:spacing w:after="0"/>
              <w:rPr>
                <w:sz w:val="20"/>
                <w:szCs w:val="20"/>
                <w:color w:val="auto"/>
              </w:rPr>
            </w:pPr>
            <w:r>
              <w:rPr>
                <w:rFonts w:ascii="Arial" w:cs="Arial" w:eastAsia="Arial" w:hAnsi="Arial"/>
                <w:sz w:val="13"/>
                <w:szCs w:val="13"/>
                <w:b w:val="1"/>
                <w:bCs w:val="1"/>
                <w:color w:val="auto"/>
              </w:rPr>
              <w:t>(202) 842-7800</w:t>
            </w:r>
          </w:p>
        </w:tc>
        <w:tc>
          <w:tcPr>
            <w:tcW w:w="3420" w:type="dxa"/>
            <w:vAlign w:val="bottom"/>
          </w:tcPr>
          <w:p>
            <w:pPr>
              <w:spacing w:after="0"/>
              <w:rPr>
                <w:sz w:val="15"/>
                <w:szCs w:val="15"/>
                <w:color w:val="auto"/>
              </w:rPr>
            </w:pPr>
          </w:p>
        </w:tc>
        <w:tc>
          <w:tcPr>
            <w:tcW w:w="27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110490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p>
      <w:pPr>
        <w:spacing w:after="0" w:line="224" w:lineRule="exact"/>
        <w:rPr>
          <w:sz w:val="24"/>
          <w:szCs w:val="24"/>
          <w:color w:val="auto"/>
        </w:rPr>
      </w:pPr>
    </w:p>
    <w:p>
      <w:pPr>
        <w:jc w:val="center"/>
        <w:ind w:left="54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4" w:lineRule="exact"/>
        <w:rPr>
          <w:sz w:val="24"/>
          <w:szCs w:val="24"/>
          <w:color w:val="auto"/>
        </w:rPr>
      </w:pPr>
    </w:p>
    <w:p>
      <w:pPr>
        <w:jc w:val="center"/>
        <w:ind w:left="540"/>
        <w:spacing w:after="0"/>
        <w:rPr>
          <w:sz w:val="20"/>
          <w:szCs w:val="20"/>
          <w:color w:val="auto"/>
        </w:rPr>
      </w:pPr>
      <w:r>
        <w:rPr>
          <w:rFonts w:ascii="Arial" w:cs="Arial" w:eastAsia="Arial" w:hAnsi="Arial"/>
          <w:sz w:val="13"/>
          <w:szCs w:val="13"/>
          <w:b w:val="1"/>
          <w:bCs w:val="1"/>
          <w:color w:val="auto"/>
        </w:rPr>
        <w:t>As soon as practicable after this registration statement becomes effective.</w:t>
      </w:r>
    </w:p>
    <w:p>
      <w:pPr>
        <w:spacing w:after="0" w:line="51" w:lineRule="exact"/>
        <w:rPr>
          <w:sz w:val="24"/>
          <w:szCs w:val="24"/>
          <w:color w:val="auto"/>
        </w:rPr>
      </w:pPr>
    </w:p>
    <w:p>
      <w:pPr>
        <w:ind w:left="160" w:right="40" w:firstLine="546"/>
        <w:spacing w:after="0" w:line="161"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300" w:firstLine="546"/>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20" w:firstLine="546"/>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firstLine="546"/>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20" w:firstLine="546"/>
        <w:spacing w:after="0" w:line="25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160" w:type="dxa"/>
        <w:tblCellMar>
          <w:top w:w="0" w:type="dxa"/>
          <w:left w:w="0" w:type="dxa"/>
          <w:bottom w:w="0" w:type="dxa"/>
          <w:right w:w="0" w:type="dxa"/>
        </w:tblCellMar>
      </w:tblPr>
      <w:tr>
        <w:trPr>
          <w:trHeight w:val="208"/>
        </w:trPr>
        <w:tc>
          <w:tcPr>
            <w:tcW w:w="18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3320"/>
              <w:spacing w:after="0"/>
              <w:rPr>
                <w:sz w:val="20"/>
                <w:szCs w:val="20"/>
                <w:color w:val="auto"/>
              </w:rPr>
            </w:pPr>
            <w:r>
              <w:rPr>
                <w:rFonts w:ascii="Arial" w:cs="Arial" w:eastAsia="Arial" w:hAnsi="Arial"/>
                <w:sz w:val="13"/>
                <w:szCs w:val="13"/>
                <w:color w:val="auto"/>
              </w:rPr>
              <w:t>Accelerated filer</w:t>
            </w:r>
          </w:p>
        </w:tc>
      </w:tr>
      <w:tr>
        <w:trPr>
          <w:trHeight w:val="227"/>
        </w:trPr>
        <w:tc>
          <w:tcPr>
            <w:tcW w:w="180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3320"/>
              <w:spacing w:after="0"/>
              <w:rPr>
                <w:sz w:val="20"/>
                <w:szCs w:val="20"/>
                <w:color w:val="auto"/>
              </w:rPr>
            </w:pPr>
            <w:r>
              <w:rPr>
                <w:rFonts w:ascii="Arial" w:cs="Arial" w:eastAsia="Arial" w:hAnsi="Arial"/>
                <w:sz w:val="13"/>
                <w:szCs w:val="13"/>
                <w:color w:val="auto"/>
              </w:rPr>
              <w:t>Smaller reporting company</w:t>
            </w:r>
          </w:p>
        </w:tc>
      </w:tr>
      <w:tr>
        <w:trPr>
          <w:trHeight w:val="214"/>
        </w:trPr>
        <w:tc>
          <w:tcPr>
            <w:tcW w:w="18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27" w:lineRule="exact"/>
        <w:rPr>
          <w:sz w:val="24"/>
          <w:szCs w:val="24"/>
          <w:color w:val="auto"/>
        </w:rPr>
      </w:pPr>
    </w:p>
    <w:p>
      <w:pPr>
        <w:sectPr>
          <w:pgSz w:w="11900" w:h="16838" w:orient="portrait"/>
          <w:cols w:equalWidth="0" w:num="2">
            <w:col w:w="10700" w:space="160"/>
            <w:col w:w="220"/>
          </w:cols>
          <w:pgMar w:left="320" w:top="229" w:right="499" w:bottom="1440" w:gutter="0" w:footer="0" w:header="0"/>
          <w:type w:val="continuous"/>
        </w:sectPr>
      </w:pPr>
    </w:p>
    <w:p>
      <w:pPr>
        <w:ind w:left="160" w:right="2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95885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78"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CALCULATION OF REGISTRATION FEE</w:t>
      </w:r>
    </w:p>
    <w:p>
      <w:pPr>
        <w:spacing w:after="0" w:line="76"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58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r>
      <w:tr>
        <w:trPr>
          <w:trHeight w:val="87"/>
        </w:trPr>
        <w:tc>
          <w:tcPr>
            <w:tcW w:w="20" w:type="dxa"/>
            <w:vAlign w:val="bottom"/>
          </w:tcPr>
          <w:p>
            <w:pPr>
              <w:spacing w:after="0"/>
              <w:rPr>
                <w:sz w:val="7"/>
                <w:szCs w:val="7"/>
                <w:color w:val="auto"/>
              </w:rPr>
            </w:pPr>
          </w:p>
        </w:tc>
        <w:tc>
          <w:tcPr>
            <w:tcW w:w="558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jc w:val="center"/>
              <w:ind w:left="86"/>
              <w:spacing w:after="0" w:line="87" w:lineRule="exact"/>
              <w:rPr>
                <w:sz w:val="20"/>
                <w:szCs w:val="20"/>
                <w:color w:val="auto"/>
              </w:rPr>
            </w:pPr>
            <w:r>
              <w:rPr>
                <w:rFonts w:ascii="Arial" w:cs="Arial" w:eastAsia="Arial" w:hAnsi="Arial"/>
                <w:sz w:val="10"/>
                <w:szCs w:val="10"/>
                <w:b w:val="1"/>
                <w:bCs w:val="1"/>
                <w:color w:val="auto"/>
              </w:rPr>
              <w:t>Proposed Maximum</w:t>
            </w:r>
          </w:p>
        </w:tc>
        <w:tc>
          <w:tcPr>
            <w:tcW w:w="1340" w:type="dxa"/>
            <w:vAlign w:val="bottom"/>
            <w:tcBorders>
              <w:right w:val="single" w:sz="8" w:color="auto"/>
            </w:tcBorders>
          </w:tcPr>
          <w:p>
            <w:pPr>
              <w:jc w:val="center"/>
              <w:ind w:left="66"/>
              <w:spacing w:after="0" w:line="87" w:lineRule="exact"/>
              <w:rPr>
                <w:sz w:val="20"/>
                <w:szCs w:val="20"/>
                <w:color w:val="auto"/>
              </w:rPr>
            </w:pPr>
            <w:r>
              <w:rPr>
                <w:rFonts w:ascii="Arial" w:cs="Arial" w:eastAsia="Arial" w:hAnsi="Arial"/>
                <w:sz w:val="10"/>
                <w:szCs w:val="10"/>
                <w:b w:val="1"/>
                <w:bCs w:val="1"/>
                <w:color w:val="auto"/>
              </w:rPr>
              <w:t>Proposed Maximum</w:t>
            </w:r>
          </w:p>
        </w:tc>
        <w:tc>
          <w:tcPr>
            <w:tcW w:w="1340" w:type="dxa"/>
            <w:vAlign w:val="bottom"/>
          </w:tcPr>
          <w:p>
            <w:pPr>
              <w:spacing w:after="0"/>
              <w:rPr>
                <w:sz w:val="7"/>
                <w:szCs w:val="7"/>
                <w:color w:val="auto"/>
              </w:rPr>
            </w:pPr>
          </w:p>
        </w:tc>
      </w:tr>
      <w:tr>
        <w:trPr>
          <w:trHeight w:val="120"/>
        </w:trPr>
        <w:tc>
          <w:tcPr>
            <w:tcW w:w="20" w:type="dxa"/>
            <w:vAlign w:val="bottom"/>
          </w:tcPr>
          <w:p>
            <w:pPr>
              <w:spacing w:after="0"/>
              <w:rPr>
                <w:sz w:val="10"/>
                <w:szCs w:val="10"/>
                <w:color w:val="auto"/>
              </w:rPr>
            </w:pPr>
          </w:p>
        </w:tc>
        <w:tc>
          <w:tcPr>
            <w:tcW w:w="55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b w:val="1"/>
                <w:bCs w:val="1"/>
                <w:color w:val="auto"/>
                <w:w w:val="96"/>
              </w:rPr>
              <w:t>Title of each Class of</w:t>
            </w:r>
          </w:p>
        </w:tc>
        <w:tc>
          <w:tcPr>
            <w:tcW w:w="1280" w:type="dxa"/>
            <w:vAlign w:val="bottom"/>
            <w:tcBorders>
              <w:right w:val="single" w:sz="8" w:color="auto"/>
            </w:tcBorders>
          </w:tcPr>
          <w:p>
            <w:pPr>
              <w:ind w:left="320"/>
              <w:spacing w:after="0" w:line="121" w:lineRule="exact"/>
              <w:rPr>
                <w:sz w:val="20"/>
                <w:szCs w:val="20"/>
                <w:color w:val="auto"/>
              </w:rPr>
            </w:pPr>
            <w:r>
              <w:rPr>
                <w:rFonts w:ascii="Arial" w:cs="Arial" w:eastAsia="Arial" w:hAnsi="Arial"/>
                <w:sz w:val="11"/>
                <w:szCs w:val="11"/>
                <w:b w:val="1"/>
                <w:bCs w:val="1"/>
                <w:color w:val="auto"/>
              </w:rPr>
              <w:t>Amount to be</w:t>
            </w:r>
          </w:p>
        </w:tc>
        <w:tc>
          <w:tcPr>
            <w:tcW w:w="1360" w:type="dxa"/>
            <w:vAlign w:val="bottom"/>
            <w:tcBorders>
              <w:right w:val="single" w:sz="8" w:color="auto"/>
            </w:tcBorders>
          </w:tcPr>
          <w:p>
            <w:pPr>
              <w:jc w:val="center"/>
              <w:ind w:left="66"/>
              <w:spacing w:after="0" w:line="121" w:lineRule="exact"/>
              <w:rPr>
                <w:sz w:val="20"/>
                <w:szCs w:val="20"/>
                <w:color w:val="auto"/>
              </w:rPr>
            </w:pPr>
            <w:r>
              <w:rPr>
                <w:rFonts w:ascii="Arial" w:cs="Arial" w:eastAsia="Arial" w:hAnsi="Arial"/>
                <w:sz w:val="11"/>
                <w:szCs w:val="11"/>
                <w:b w:val="1"/>
                <w:bCs w:val="1"/>
                <w:color w:val="auto"/>
                <w:w w:val="98"/>
              </w:rPr>
              <w:t>Offering Price Per</w:t>
            </w:r>
          </w:p>
        </w:tc>
        <w:tc>
          <w:tcPr>
            <w:tcW w:w="1340" w:type="dxa"/>
            <w:vAlign w:val="bottom"/>
            <w:tcBorders>
              <w:right w:val="single" w:sz="8" w:color="auto"/>
            </w:tcBorders>
          </w:tcPr>
          <w:p>
            <w:pPr>
              <w:jc w:val="center"/>
              <w:ind w:left="66"/>
              <w:spacing w:after="0" w:line="121" w:lineRule="exact"/>
              <w:rPr>
                <w:sz w:val="20"/>
                <w:szCs w:val="20"/>
                <w:color w:val="auto"/>
              </w:rPr>
            </w:pPr>
            <w:r>
              <w:rPr>
                <w:rFonts w:ascii="Arial" w:cs="Arial" w:eastAsia="Arial" w:hAnsi="Arial"/>
                <w:sz w:val="11"/>
                <w:szCs w:val="11"/>
                <w:b w:val="1"/>
                <w:bCs w:val="1"/>
                <w:color w:val="auto"/>
                <w:w w:val="97"/>
              </w:rPr>
              <w:t>Aggregate Offering</w:t>
            </w:r>
          </w:p>
        </w:tc>
        <w:tc>
          <w:tcPr>
            <w:tcW w:w="1340" w:type="dxa"/>
            <w:vAlign w:val="bottom"/>
          </w:tcPr>
          <w:p>
            <w:pPr>
              <w:jc w:val="center"/>
              <w:ind w:left="104"/>
              <w:spacing w:after="0" w:line="121" w:lineRule="exact"/>
              <w:rPr>
                <w:sz w:val="20"/>
                <w:szCs w:val="20"/>
                <w:color w:val="auto"/>
              </w:rPr>
            </w:pPr>
            <w:r>
              <w:rPr>
                <w:rFonts w:ascii="Arial" w:cs="Arial" w:eastAsia="Arial" w:hAnsi="Arial"/>
                <w:sz w:val="11"/>
                <w:szCs w:val="11"/>
                <w:b w:val="1"/>
                <w:bCs w:val="1"/>
                <w:color w:val="auto"/>
                <w:w w:val="98"/>
              </w:rPr>
              <w:t>Amount of</w:t>
            </w:r>
          </w:p>
        </w:tc>
      </w:tr>
      <w:tr>
        <w:trPr>
          <w:trHeight w:val="147"/>
        </w:trPr>
        <w:tc>
          <w:tcPr>
            <w:tcW w:w="20" w:type="dxa"/>
            <w:vAlign w:val="bottom"/>
          </w:tcPr>
          <w:p>
            <w:pPr>
              <w:spacing w:after="0"/>
              <w:rPr>
                <w:sz w:val="12"/>
                <w:szCs w:val="12"/>
                <w:color w:val="auto"/>
              </w:rPr>
            </w:pPr>
          </w:p>
        </w:tc>
        <w:tc>
          <w:tcPr>
            <w:tcW w:w="5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Securities to be Registered</w:t>
            </w:r>
          </w:p>
        </w:tc>
        <w:tc>
          <w:tcPr>
            <w:tcW w:w="128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1"/>
                <w:szCs w:val="11"/>
                <w:b w:val="1"/>
                <w:bCs w:val="1"/>
                <w:color w:val="auto"/>
                <w:w w:val="96"/>
              </w:rPr>
              <w:t>Registered(1)</w:t>
            </w:r>
          </w:p>
        </w:tc>
        <w:tc>
          <w:tcPr>
            <w:tcW w:w="136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99"/>
              </w:rPr>
              <w:t>Share(2)</w:t>
            </w:r>
          </w:p>
        </w:tc>
        <w:tc>
          <w:tcPr>
            <w:tcW w:w="13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96"/>
              </w:rPr>
              <w:t>Price(1)(2)</w:t>
            </w:r>
          </w:p>
        </w:tc>
        <w:tc>
          <w:tcPr>
            <w:tcW w:w="1340" w:type="dxa"/>
            <w:vAlign w:val="bottom"/>
            <w:tcBorders>
              <w:bottom w:val="single" w:sz="8" w:color="auto"/>
            </w:tcBorders>
          </w:tcPr>
          <w:p>
            <w:pPr>
              <w:jc w:val="center"/>
              <w:ind w:left="84"/>
              <w:spacing w:after="0"/>
              <w:rPr>
                <w:sz w:val="20"/>
                <w:szCs w:val="20"/>
                <w:color w:val="auto"/>
              </w:rPr>
            </w:pPr>
            <w:r>
              <w:rPr>
                <w:rFonts w:ascii="Arial" w:cs="Arial" w:eastAsia="Arial" w:hAnsi="Arial"/>
                <w:sz w:val="11"/>
                <w:szCs w:val="11"/>
                <w:b w:val="1"/>
                <w:bCs w:val="1"/>
                <w:color w:val="auto"/>
                <w:w w:val="96"/>
              </w:rPr>
              <w:t>Registration Fee(3)</w:t>
            </w:r>
          </w:p>
        </w:tc>
      </w:tr>
      <w:tr>
        <w:trPr>
          <w:trHeight w:val="127"/>
        </w:trPr>
        <w:tc>
          <w:tcPr>
            <w:tcW w:w="20" w:type="dxa"/>
            <w:vAlign w:val="bottom"/>
            <w:tcBorders>
              <w:bottom w:val="single" w:sz="8" w:color="auto"/>
            </w:tcBorders>
          </w:tcPr>
          <w:p>
            <w:pPr>
              <w:spacing w:after="0"/>
              <w:rPr>
                <w:sz w:val="11"/>
                <w:szCs w:val="11"/>
                <w:color w:val="auto"/>
              </w:rPr>
            </w:pPr>
          </w:p>
        </w:tc>
        <w:tc>
          <w:tcPr>
            <w:tcW w:w="5580" w:type="dxa"/>
            <w:vAlign w:val="bottom"/>
            <w:tcBorders>
              <w:bottom w:val="single" w:sz="8" w:color="auto"/>
              <w:right w:val="single" w:sz="8" w:color="auto"/>
            </w:tcBorders>
          </w:tcPr>
          <w:p>
            <w:pPr>
              <w:spacing w:after="0" w:line="128" w:lineRule="exact"/>
              <w:rPr>
                <w:sz w:val="20"/>
                <w:szCs w:val="20"/>
                <w:color w:val="auto"/>
              </w:rPr>
            </w:pPr>
            <w:r>
              <w:rPr>
                <w:rFonts w:ascii="Arial" w:cs="Arial" w:eastAsia="Arial" w:hAnsi="Arial"/>
                <w:sz w:val="12"/>
                <w:szCs w:val="12"/>
                <w:color w:val="auto"/>
              </w:rPr>
              <w:t>Class A common stock, par value $0.000001 per share</w:t>
            </w:r>
          </w:p>
        </w:tc>
        <w:tc>
          <w:tcPr>
            <w:tcW w:w="1280" w:type="dxa"/>
            <w:vAlign w:val="bottom"/>
            <w:tcBorders>
              <w:bottom w:val="single" w:sz="8" w:color="auto"/>
              <w:right w:val="single" w:sz="8" w:color="auto"/>
            </w:tcBorders>
          </w:tcPr>
          <w:p>
            <w:pPr>
              <w:jc w:val="right"/>
              <w:ind w:right="264"/>
              <w:spacing w:after="0" w:line="128" w:lineRule="exact"/>
              <w:rPr>
                <w:sz w:val="20"/>
                <w:szCs w:val="20"/>
                <w:color w:val="auto"/>
              </w:rPr>
            </w:pPr>
            <w:r>
              <w:rPr>
                <w:rFonts w:ascii="Arial" w:cs="Arial" w:eastAsia="Arial" w:hAnsi="Arial"/>
                <w:sz w:val="12"/>
                <w:szCs w:val="12"/>
                <w:color w:val="auto"/>
              </w:rPr>
              <w:t>7,906,250</w:t>
            </w:r>
          </w:p>
        </w:tc>
        <w:tc>
          <w:tcPr>
            <w:tcW w:w="1360" w:type="dxa"/>
            <w:vAlign w:val="bottom"/>
            <w:tcBorders>
              <w:bottom w:val="single" w:sz="8" w:color="auto"/>
              <w:right w:val="single" w:sz="8" w:color="auto"/>
            </w:tcBorders>
          </w:tcPr>
          <w:p>
            <w:pPr>
              <w:jc w:val="right"/>
              <w:ind w:right="366"/>
              <w:spacing w:after="0" w:line="128" w:lineRule="exact"/>
              <w:rPr>
                <w:sz w:val="20"/>
                <w:szCs w:val="20"/>
                <w:color w:val="auto"/>
              </w:rPr>
            </w:pPr>
            <w:r>
              <w:rPr>
                <w:rFonts w:ascii="Arial" w:cs="Arial" w:eastAsia="Arial" w:hAnsi="Arial"/>
                <w:sz w:val="12"/>
                <w:szCs w:val="12"/>
                <w:color w:val="auto"/>
              </w:rPr>
              <w:t>$42.00</w:t>
            </w:r>
          </w:p>
        </w:tc>
        <w:tc>
          <w:tcPr>
            <w:tcW w:w="1340" w:type="dxa"/>
            <w:vAlign w:val="bottom"/>
            <w:tcBorders>
              <w:bottom w:val="single" w:sz="8" w:color="auto"/>
              <w:right w:val="single" w:sz="8" w:color="auto"/>
            </w:tcBorders>
          </w:tcPr>
          <w:p>
            <w:pPr>
              <w:jc w:val="right"/>
              <w:ind w:right="166"/>
              <w:spacing w:after="0" w:line="128" w:lineRule="exact"/>
              <w:rPr>
                <w:sz w:val="20"/>
                <w:szCs w:val="20"/>
                <w:color w:val="auto"/>
              </w:rPr>
            </w:pPr>
            <w:r>
              <w:rPr>
                <w:rFonts w:ascii="Arial" w:cs="Arial" w:eastAsia="Arial" w:hAnsi="Arial"/>
                <w:sz w:val="12"/>
                <w:szCs w:val="12"/>
                <w:color w:val="auto"/>
              </w:rPr>
              <w:t>$332,062,500</w:t>
            </w:r>
          </w:p>
        </w:tc>
        <w:tc>
          <w:tcPr>
            <w:tcW w:w="1340" w:type="dxa"/>
            <w:vAlign w:val="bottom"/>
            <w:tcBorders>
              <w:bottom w:val="single" w:sz="8" w:color="auto"/>
            </w:tcBorders>
          </w:tcPr>
          <w:p>
            <w:pPr>
              <w:jc w:val="center"/>
              <w:ind w:left="104"/>
              <w:spacing w:after="0" w:line="128" w:lineRule="exact"/>
              <w:rPr>
                <w:sz w:val="20"/>
                <w:szCs w:val="20"/>
                <w:color w:val="auto"/>
              </w:rPr>
            </w:pPr>
            <w:r>
              <w:rPr>
                <w:rFonts w:ascii="Arial" w:cs="Arial" w:eastAsia="Arial" w:hAnsi="Arial"/>
                <w:sz w:val="12"/>
                <w:szCs w:val="12"/>
                <w:color w:val="auto"/>
              </w:rPr>
              <w:t>$36,229</w:t>
            </w: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700" w:hanging="533"/>
        <w:spacing w:after="0"/>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1,031,250 additional shares that the underwriters have the option to purchase.</w:t>
      </w:r>
    </w:p>
    <w:p>
      <w:pPr>
        <w:ind w:left="700" w:right="420" w:hanging="533"/>
        <w:spacing w:after="0" w:line="232" w:lineRule="auto"/>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457(a) of the Securities Act of 1933, as amended. Includes the aggregate offering price of additional shares that the underwriters have the option to purchase.</w:t>
      </w:r>
    </w:p>
    <w:p>
      <w:pPr>
        <w:ind w:left="700" w:hanging="533"/>
        <w:spacing w:after="0"/>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$10,910 of this registration fee was previously paid by the Registrant in connection with the filing of its Registration Statement on Form S-1 on June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120015</wp:posOffset>
            </wp:positionV>
            <wp:extent cx="1460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6" w:lineRule="exact"/>
        <w:rPr>
          <w:sz w:val="24"/>
          <w:szCs w:val="24"/>
          <w:color w:val="auto"/>
        </w:rPr>
      </w:pPr>
    </w:p>
    <w:p>
      <w:pPr>
        <w:ind w:left="160" w:right="20" w:firstLine="546"/>
        <w:spacing w:after="0" w:line="25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40005</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20"/>
        <w:spacing w:after="0" w:line="261"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DE1A1E"/>
        </w:rPr>
        <w:t>Subject to Completion. Dated June 21, 2021</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6,875,000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139700</wp:posOffset>
            </wp:positionV>
            <wp:extent cx="2157095" cy="501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147955</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3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This is an initial public offering of shares of Class A common stock of Xometry, Inc.</w:t>
      </w:r>
    </w:p>
    <w:p>
      <w:pPr>
        <w:spacing w:after="0" w:line="106" w:lineRule="exact"/>
        <w:rPr>
          <w:sz w:val="20"/>
          <w:szCs w:val="20"/>
          <w:color w:val="auto"/>
        </w:rPr>
      </w:pPr>
    </w:p>
    <w:p>
      <w:pPr>
        <w:jc w:val="both"/>
        <w:ind w:left="160" w:right="360" w:firstLine="546"/>
        <w:spacing w:after="0" w:line="246" w:lineRule="auto"/>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for our Class A common stock will be between $38.00 and $42.00 per share. We have applied to list our Class A common stock on The Nasdaq Global Select Market under the symbol “XMTR.”</w:t>
      </w:r>
    </w:p>
    <w:p>
      <w:pPr>
        <w:spacing w:after="0" w:line="93" w:lineRule="exact"/>
        <w:rPr>
          <w:sz w:val="20"/>
          <w:szCs w:val="20"/>
          <w:color w:val="auto"/>
        </w:rPr>
      </w:pPr>
    </w:p>
    <w:p>
      <w:pPr>
        <w:ind w:left="160" w:right="120" w:firstLine="546"/>
        <w:spacing w:after="0" w:line="242" w:lineRule="auto"/>
        <w:rPr>
          <w:sz w:val="20"/>
          <w:szCs w:val="20"/>
          <w:color w:val="auto"/>
        </w:rPr>
      </w:pPr>
      <w:r>
        <w:rPr>
          <w:rFonts w:ascii="Arial" w:cs="Arial" w:eastAsia="Arial" w:hAnsi="Arial"/>
          <w:sz w:val="14"/>
          <w:szCs w:val="14"/>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20 votes and is convertible at any time into one share of Class A common stock. Immediately prior to the completion of this offering, an aggregate of 2,676,154 outstanding shares of our capital stock held by Randolph Altschuler, our Chief Executive Officer and Co-Founder, and Laurence Zuriff, our Chief Strategy Officer and Co-Founder, will be exchanged for an equivalent number of shares of our Class B common stock. The holders of our Class B common stock will hold approximately 57.1% of the voting power of our capital stock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74930</wp:posOffset>
            </wp:positionV>
            <wp:extent cx="764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6" w:lineRule="exact"/>
        <w:rPr>
          <w:sz w:val="20"/>
          <w:szCs w:val="20"/>
          <w:color w:val="auto"/>
        </w:rPr>
      </w:pPr>
    </w:p>
    <w:p>
      <w:pPr>
        <w:ind w:left="160" w:right="600" w:firstLine="546"/>
        <w:spacing w:after="0" w:line="254"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146050</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61" w:lineRule="exact"/>
        <w:rPr>
          <w:sz w:val="20"/>
          <w:szCs w:val="20"/>
          <w:color w:val="auto"/>
        </w:rPr>
      </w:pPr>
    </w:p>
    <w:p>
      <w:pPr>
        <w:ind w:left="160" w:right="60" w:firstLine="546"/>
        <w:spacing w:after="0" w:line="275" w:lineRule="auto"/>
        <w:rPr>
          <w:rFonts w:ascii="Arial" w:cs="Arial" w:eastAsia="Arial" w:hAnsi="Arial"/>
          <w:sz w:val="14"/>
          <w:szCs w:val="14"/>
          <w:i w:val="1"/>
          <w:iCs w:val="1"/>
          <w:color w:val="auto"/>
        </w:rPr>
      </w:pPr>
      <w:r>
        <w:rPr>
          <w:rFonts w:ascii="Arial" w:cs="Arial" w:eastAsia="Arial" w:hAnsi="Arial"/>
          <w:sz w:val="14"/>
          <w:szCs w:val="14"/>
          <w:i w:val="1"/>
          <w:iCs w:val="1"/>
          <w:color w:val="auto"/>
        </w:rPr>
        <w:t>Investing in our Class A common stock involves risks. See “</w:t>
      </w:r>
      <w:hyperlink w:anchor="page25">
        <w:r>
          <w:rPr>
            <w:rFonts w:ascii="Arial" w:cs="Arial" w:eastAsia="Arial" w:hAnsi="Arial"/>
            <w:sz w:val="14"/>
            <w:szCs w:val="14"/>
            <w:i w:val="1"/>
            <w:iCs w:val="1"/>
            <w:u w:val="single" w:color="auto"/>
            <w:color w:val="0000EE"/>
          </w:rPr>
          <w:t>Risk Factors</w:t>
        </w:r>
      </w:hyperlink>
      <w:r>
        <w:rPr>
          <w:rFonts w:ascii="Arial" w:cs="Arial" w:eastAsia="Arial" w:hAnsi="Arial"/>
          <w:sz w:val="14"/>
          <w:szCs w:val="14"/>
          <w:i w:val="1"/>
          <w:iCs w:val="1"/>
          <w:color w:val="auto"/>
        </w:rPr>
        <w:t>” on page 18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136525</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43" w:lineRule="exact"/>
        <w:rPr>
          <w:sz w:val="20"/>
          <w:szCs w:val="20"/>
          <w:color w:val="auto"/>
        </w:rPr>
      </w:pPr>
    </w:p>
    <w:p>
      <w:pPr>
        <w:ind w:left="160" w:right="260" w:firstLine="546"/>
        <w:spacing w:after="0" w:line="281"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117475</wp:posOffset>
            </wp:positionV>
            <wp:extent cx="1460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3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Per Share</w:t>
            </w:r>
          </w:p>
        </w:tc>
        <w:tc>
          <w:tcPr>
            <w:tcW w:w="64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154"/>
        </w:trPr>
        <w:tc>
          <w:tcPr>
            <w:tcW w:w="928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4"/>
                <w:szCs w:val="14"/>
                <w:color w:val="auto"/>
              </w:rPr>
              <w:t>Initial public offering price</w:t>
            </w:r>
          </w:p>
        </w:tc>
        <w:tc>
          <w:tcPr>
            <w:tcW w:w="64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449"/>
              <w:spacing w:after="0" w:line="154"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0"/>
        </w:trPr>
        <w:tc>
          <w:tcPr>
            <w:tcW w:w="9280" w:type="dxa"/>
            <w:vAlign w:val="bottom"/>
          </w:tcPr>
          <w:p>
            <w:pPr>
              <w:spacing w:after="0" w:line="161" w:lineRule="exact"/>
              <w:rPr>
                <w:sz w:val="20"/>
                <w:szCs w:val="20"/>
                <w:color w:val="auto"/>
              </w:rPr>
            </w:pPr>
            <w:r>
              <w:rPr>
                <w:rFonts w:ascii="Arial" w:cs="Arial" w:eastAsia="Arial" w:hAnsi="Arial"/>
                <w:sz w:val="11"/>
                <w:szCs w:val="11"/>
                <w:color w:val="auto"/>
              </w:rPr>
              <w:t>Underwriting discounts and commissions</w:t>
            </w:r>
            <w:r>
              <w:rPr>
                <w:rFonts w:ascii="Arial" w:cs="Arial" w:eastAsia="Arial" w:hAnsi="Arial"/>
                <w:sz w:val="18"/>
                <w:szCs w:val="18"/>
                <w:color w:val="auto"/>
                <w:vertAlign w:val="superscript"/>
              </w:rPr>
              <w:t>(1)</w:t>
            </w:r>
          </w:p>
        </w:tc>
        <w:tc>
          <w:tcPr>
            <w:tcW w:w="64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3"/>
                <w:szCs w:val="13"/>
                <w:color w:val="auto"/>
              </w:rPr>
            </w:pPr>
          </w:p>
        </w:tc>
      </w:tr>
      <w:tr>
        <w:trPr>
          <w:trHeight w:val="160"/>
        </w:trPr>
        <w:tc>
          <w:tcPr>
            <w:tcW w:w="928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9" w:lineRule="exact"/>
        <w:rPr>
          <w:sz w:val="20"/>
          <w:szCs w:val="20"/>
          <w:color w:val="auto"/>
        </w:rPr>
      </w:pPr>
    </w:p>
    <w:p>
      <w:pPr>
        <w:ind w:left="600" w:hanging="433"/>
        <w:spacing w:after="0"/>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106" w:lineRule="exact"/>
        <w:rPr>
          <w:sz w:val="20"/>
          <w:szCs w:val="20"/>
          <w:color w:val="auto"/>
        </w:rPr>
      </w:pPr>
    </w:p>
    <w:p>
      <w:pPr>
        <w:ind w:left="160" w:right="380" w:firstLine="546"/>
        <w:spacing w:after="0" w:line="254" w:lineRule="auto"/>
        <w:rPr>
          <w:sz w:val="20"/>
          <w:szCs w:val="20"/>
          <w:color w:val="auto"/>
        </w:rPr>
      </w:pPr>
      <w:r>
        <w:rPr>
          <w:rFonts w:ascii="Arial" w:cs="Arial" w:eastAsia="Arial" w:hAnsi="Arial"/>
          <w:sz w:val="14"/>
          <w:szCs w:val="14"/>
          <w:color w:val="auto"/>
        </w:rPr>
        <w:t>To the extent that the underwriters sell more than 6,875,000 shares of Class A common stock, the underwriters have the option to purchase up to an additional 1,031,250 shares of Class A common stock from us at the initial public offering price less the underwriting discount.</w:t>
      </w:r>
    </w:p>
    <w:p>
      <w:pPr>
        <w:spacing w:after="0" w:line="87" w:lineRule="exact"/>
        <w:rPr>
          <w:sz w:val="20"/>
          <w:szCs w:val="20"/>
          <w:color w:val="auto"/>
        </w:rPr>
      </w:pPr>
    </w:p>
    <w:p>
      <w:pPr>
        <w:ind w:left="160" w:firstLine="546"/>
        <w:spacing w:after="0" w:line="241" w:lineRule="auto"/>
        <w:rPr>
          <w:sz w:val="20"/>
          <w:szCs w:val="20"/>
          <w:color w:val="auto"/>
        </w:rPr>
      </w:pPr>
      <w:r>
        <w:rPr>
          <w:rFonts w:ascii="Arial" w:cs="Arial" w:eastAsia="Arial" w:hAnsi="Arial"/>
          <w:sz w:val="14"/>
          <w:szCs w:val="14"/>
          <w:color w:val="auto"/>
        </w:rPr>
        <w:t>Certain funds and accounts advised or sub-advised by T. Rowe Price Associates, Inc. have indicated a non-binding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The underwriters will receive the same discount on any shares of Class A common stock purchased by such funds and accounts advised or sub-advised by T. Rowe Price Associates, Inc. and one or more funds advised by Capital World Investors as they will on any other shares of Class A common stock sold to the public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142875</wp:posOffset>
            </wp:positionV>
            <wp:extent cx="1460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30"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6620" w:type="dxa"/>
            <w:vAlign w:val="bottom"/>
            <w:gridSpan w:val="4"/>
          </w:tcPr>
          <w:p>
            <w:pPr>
              <w:jc w:val="right"/>
              <w:ind w:right="389"/>
              <w:spacing w:after="0"/>
              <w:rPr>
                <w:sz w:val="20"/>
                <w:szCs w:val="20"/>
                <w:color w:val="auto"/>
              </w:rPr>
            </w:pPr>
            <w:r>
              <w:rPr>
                <w:rFonts w:ascii="Arial" w:cs="Arial" w:eastAsia="Arial" w:hAnsi="Arial"/>
                <w:sz w:val="14"/>
                <w:szCs w:val="14"/>
                <w:color w:val="auto"/>
              </w:rPr>
              <w:t>The underwriters expect to deliver the shares against payment in New York, New York on</w:t>
            </w:r>
          </w:p>
        </w:tc>
        <w:tc>
          <w:tcPr>
            <w:tcW w:w="540" w:type="dxa"/>
            <w:vAlign w:val="bottom"/>
          </w:tcPr>
          <w:p>
            <w:pPr>
              <w:jc w:val="right"/>
              <w:spacing w:after="0"/>
              <w:rPr>
                <w:sz w:val="20"/>
                <w:szCs w:val="20"/>
                <w:color w:val="auto"/>
              </w:rPr>
            </w:pPr>
            <w:r>
              <w:rPr>
                <w:rFonts w:ascii="Arial" w:cs="Arial" w:eastAsia="Arial" w:hAnsi="Arial"/>
                <w:sz w:val="14"/>
                <w:szCs w:val="14"/>
                <w:color w:val="auto"/>
              </w:rPr>
              <w:t>, 2021.</w:t>
            </w:r>
          </w:p>
        </w:tc>
        <w:tc>
          <w:tcPr>
            <w:tcW w:w="3760" w:type="dxa"/>
            <w:vAlign w:val="bottom"/>
          </w:tcPr>
          <w:p>
            <w:pPr>
              <w:spacing w:after="0"/>
              <w:rPr>
                <w:sz w:val="14"/>
                <w:szCs w:val="14"/>
                <w:color w:val="auto"/>
              </w:rPr>
            </w:pPr>
          </w:p>
        </w:tc>
      </w:tr>
      <w:tr>
        <w:trPr>
          <w:trHeight w:val="356"/>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Goldman Sachs &amp; Co. LLC</w:t>
            </w:r>
          </w:p>
        </w:tc>
        <w:tc>
          <w:tcPr>
            <w:tcW w:w="2300" w:type="dxa"/>
            <w:vAlign w:val="bottom"/>
            <w:gridSpan w:val="2"/>
          </w:tcPr>
          <w:p>
            <w:pPr>
              <w:jc w:val="right"/>
              <w:ind w:right="429"/>
              <w:spacing w:after="0"/>
              <w:rPr>
                <w:sz w:val="20"/>
                <w:szCs w:val="20"/>
                <w:color w:val="auto"/>
              </w:rPr>
            </w:pPr>
            <w:r>
              <w:rPr>
                <w:rFonts w:ascii="Arial" w:cs="Arial" w:eastAsia="Arial" w:hAnsi="Arial"/>
                <w:sz w:val="21"/>
                <w:szCs w:val="21"/>
                <w:b w:val="1"/>
                <w:bCs w:val="1"/>
                <w:color w:val="auto"/>
              </w:rPr>
              <w:t>J.P. Morgan</w:t>
            </w:r>
          </w:p>
        </w:tc>
        <w:tc>
          <w:tcPr>
            <w:tcW w:w="540" w:type="dxa"/>
            <w:vAlign w:val="bottom"/>
          </w:tcPr>
          <w:p>
            <w:pPr>
              <w:spacing w:after="0"/>
              <w:rPr>
                <w:sz w:val="24"/>
                <w:szCs w:val="24"/>
                <w:color w:val="auto"/>
              </w:rPr>
            </w:pPr>
          </w:p>
        </w:tc>
        <w:tc>
          <w:tcPr>
            <w:tcW w:w="3760" w:type="dxa"/>
            <w:vAlign w:val="bottom"/>
          </w:tcPr>
          <w:p>
            <w:pPr>
              <w:ind w:left="1540"/>
              <w:spacing w:after="0"/>
              <w:rPr>
                <w:sz w:val="20"/>
                <w:szCs w:val="20"/>
                <w:color w:val="auto"/>
              </w:rPr>
            </w:pPr>
            <w:r>
              <w:rPr>
                <w:rFonts w:ascii="Arial" w:cs="Arial" w:eastAsia="Arial" w:hAnsi="Arial"/>
                <w:sz w:val="21"/>
                <w:szCs w:val="21"/>
                <w:b w:val="1"/>
                <w:bCs w:val="1"/>
                <w:color w:val="auto"/>
              </w:rPr>
              <w:t>UBS Investment Bank</w:t>
            </w:r>
          </w:p>
        </w:tc>
      </w:tr>
      <w:tr>
        <w:trPr>
          <w:trHeight w:val="299"/>
        </w:trPr>
        <w:tc>
          <w:tcPr>
            <w:tcW w:w="1780" w:type="dxa"/>
            <w:vAlign w:val="bottom"/>
          </w:tcPr>
          <w:p>
            <w:pPr>
              <w:ind w:left="1020"/>
              <w:spacing w:after="0"/>
              <w:rPr>
                <w:sz w:val="20"/>
                <w:szCs w:val="20"/>
                <w:color w:val="auto"/>
              </w:rPr>
            </w:pPr>
            <w:r>
              <w:rPr>
                <w:rFonts w:ascii="Arial" w:cs="Arial" w:eastAsia="Arial" w:hAnsi="Arial"/>
                <w:sz w:val="14"/>
                <w:szCs w:val="14"/>
                <w:b w:val="1"/>
                <w:bCs w:val="1"/>
                <w:color w:val="auto"/>
              </w:rPr>
              <w:t>Citigroup</w:t>
            </w:r>
          </w:p>
        </w:tc>
        <w:tc>
          <w:tcPr>
            <w:tcW w:w="2540" w:type="dxa"/>
            <w:vAlign w:val="bottom"/>
          </w:tcPr>
          <w:p>
            <w:pPr>
              <w:ind w:left="1220"/>
              <w:spacing w:after="0"/>
              <w:rPr>
                <w:sz w:val="20"/>
                <w:szCs w:val="20"/>
                <w:color w:val="auto"/>
              </w:rPr>
            </w:pPr>
            <w:r>
              <w:rPr>
                <w:rFonts w:ascii="Arial" w:cs="Arial" w:eastAsia="Arial" w:hAnsi="Arial"/>
                <w:sz w:val="14"/>
                <w:szCs w:val="14"/>
                <w:b w:val="1"/>
                <w:bCs w:val="1"/>
                <w:color w:val="auto"/>
              </w:rPr>
              <w:t>BofA Securities</w:t>
            </w:r>
          </w:p>
        </w:tc>
        <w:tc>
          <w:tcPr>
            <w:tcW w:w="1400" w:type="dxa"/>
            <w:vAlign w:val="bottom"/>
          </w:tcPr>
          <w:p>
            <w:pPr>
              <w:spacing w:after="0"/>
              <w:rPr>
                <w:sz w:val="24"/>
                <w:szCs w:val="24"/>
                <w:color w:val="auto"/>
              </w:rPr>
            </w:pPr>
          </w:p>
        </w:tc>
        <w:tc>
          <w:tcPr>
            <w:tcW w:w="14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William Blair</w:t>
            </w:r>
          </w:p>
        </w:tc>
        <w:tc>
          <w:tcPr>
            <w:tcW w:w="3760" w:type="dxa"/>
            <w:vAlign w:val="bottom"/>
          </w:tcPr>
          <w:p>
            <w:pPr>
              <w:ind w:left="1260"/>
              <w:spacing w:after="0"/>
              <w:rPr>
                <w:sz w:val="20"/>
                <w:szCs w:val="20"/>
                <w:color w:val="auto"/>
              </w:rPr>
            </w:pPr>
            <w:r>
              <w:rPr>
                <w:rFonts w:ascii="Arial" w:cs="Arial" w:eastAsia="Arial" w:hAnsi="Arial"/>
                <w:sz w:val="14"/>
                <w:szCs w:val="14"/>
                <w:b w:val="1"/>
                <w:bCs w:val="1"/>
                <w:color w:val="auto"/>
              </w:rPr>
              <w:t>RBC Capital Markets</w:t>
            </w:r>
          </w:p>
        </w:tc>
      </w:tr>
      <w:tr>
        <w:trPr>
          <w:trHeight w:val="334"/>
        </w:trPr>
        <w:tc>
          <w:tcPr>
            <w:tcW w:w="178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4"/>
                <w:szCs w:val="14"/>
                <w:b w:val="1"/>
                <w:bCs w:val="1"/>
                <w:color w:val="auto"/>
              </w:rPr>
              <w:t>C.L. King &amp; Associates</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Loop Capital Markets</w:t>
            </w:r>
          </w:p>
        </w:tc>
      </w:tr>
      <w:tr>
        <w:trPr>
          <w:trHeight w:val="212"/>
        </w:trPr>
        <w:tc>
          <w:tcPr>
            <w:tcW w:w="1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76"/>
        </w:trPr>
        <w:tc>
          <w:tcPr>
            <w:tcW w:w="1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Arial" w:cs="Arial" w:eastAsia="Arial" w:hAnsi="Arial"/>
                <w:sz w:val="14"/>
                <w:szCs w:val="14"/>
                <w:color w:val="auto"/>
              </w:rPr>
              <w:t>Prospectus dated</w:t>
            </w:r>
          </w:p>
        </w:tc>
        <w:tc>
          <w:tcPr>
            <w:tcW w:w="900" w:type="dxa"/>
            <w:vAlign w:val="bottom"/>
          </w:tcPr>
          <w:p>
            <w:pPr>
              <w:jc w:val="right"/>
              <w:spacing w:after="0"/>
              <w:rPr>
                <w:sz w:val="20"/>
                <w:szCs w:val="20"/>
                <w:color w:val="auto"/>
              </w:rPr>
            </w:pPr>
            <w:r>
              <w:rPr>
                <w:rFonts w:ascii="Arial" w:cs="Arial" w:eastAsia="Arial" w:hAnsi="Arial"/>
                <w:sz w:val="14"/>
                <w:szCs w:val="14"/>
                <w:color w:val="auto"/>
              </w:rPr>
              <w:t>, 2021.</w:t>
            </w:r>
          </w:p>
        </w:tc>
        <w:tc>
          <w:tcPr>
            <w:tcW w:w="54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00" w:type="dxa"/>
            <w:vAlign w:val="bottom"/>
            <w:gridSpan w:val="11"/>
            <w:vMerge w:val="restart"/>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PROSPECTUS SUMMARY</w:t>
              </w:r>
            </w:hyperlink>
          </w:p>
        </w:tc>
        <w:tc>
          <w:tcPr>
            <w:tcW w:w="1080" w:type="dxa"/>
            <w:vAlign w:val="bottom"/>
            <w:gridSpan w:val="4"/>
            <w:vMerge w:val="restart"/>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200" w:type="dxa"/>
            <w:vAlign w:val="bottom"/>
            <w:tcBorders>
              <w:bottom w:val="single" w:sz="8" w:color="0000EE"/>
            </w:tcBorders>
            <w:gridSpan w:val="11"/>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20" w:type="dxa"/>
            <w:vAlign w:val="bottom"/>
            <w:tcBorders>
              <w:bottom w:val="single" w:sz="8" w:color="0000EE"/>
            </w:tcBorders>
            <w:gridSpan w:val="5"/>
          </w:tcPr>
          <w:p>
            <w:pPr>
              <w:spacing w:after="0" w:line="194"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RISK FACTORS</w:t>
              </w:r>
            </w:hyperlink>
          </w:p>
        </w:tc>
        <w:tc>
          <w:tcPr>
            <w:tcW w:w="1960" w:type="dxa"/>
            <w:vAlign w:val="bottom"/>
            <w:gridSpan w:val="10"/>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67">
              <w:r>
                <w:rPr>
                  <w:rFonts w:ascii="Arial" w:cs="Arial" w:eastAsia="Arial" w:hAnsi="Arial"/>
                  <w:sz w:val="18"/>
                  <w:szCs w:val="18"/>
                  <w:color w:val="0000EE"/>
                </w:rPr>
                <w:t>SPECIAL NOTE REGARDING FORWARD-LOOKING STATEMENTS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1"/>
        </w:trPr>
        <w:tc>
          <w:tcPr>
            <w:tcW w:w="5480" w:type="dxa"/>
            <w:vAlign w:val="bottom"/>
            <w:tcBorders>
              <w:top w:val="single" w:sz="8" w:color="0000EE"/>
            </w:tcBorders>
            <w:gridSpan w:val="20"/>
          </w:tcPr>
          <w:p>
            <w:pPr>
              <w:spacing w:after="0" w:line="181" w:lineRule="exact"/>
              <w:rPr>
                <w:rFonts w:ascii="Arial" w:cs="Arial" w:eastAsia="Arial" w:hAnsi="Arial"/>
                <w:sz w:val="18"/>
                <w:szCs w:val="18"/>
                <w:color w:val="0000EE"/>
              </w:rPr>
            </w:pPr>
            <w:hyperlink w:anchor="page69">
              <w:r>
                <w:rPr>
                  <w:rFonts w:ascii="Arial" w:cs="Arial" w:eastAsia="Arial" w:hAnsi="Arial"/>
                  <w:sz w:val="18"/>
                  <w:szCs w:val="18"/>
                  <w:color w:val="0000EE"/>
                </w:rPr>
                <w:t>MARKET, INDUSTRY AND OTHER DATA</w:t>
              </w:r>
            </w:hyperlink>
          </w:p>
        </w:tc>
        <w:tc>
          <w:tcPr>
            <w:tcW w:w="5000" w:type="dxa"/>
            <w:vAlign w:val="bottom"/>
            <w:gridSpan w:val="6"/>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1"/>
        </w:trPr>
        <w:tc>
          <w:tcPr>
            <w:tcW w:w="3280" w:type="dxa"/>
            <w:vAlign w:val="bottom"/>
            <w:tcBorders>
              <w:top w:val="single" w:sz="8" w:color="0000EE"/>
            </w:tcBorders>
            <w:gridSpan w:val="15"/>
          </w:tcPr>
          <w:p>
            <w:pPr>
              <w:spacing w:after="0" w:line="181" w:lineRule="exact"/>
              <w:rPr>
                <w:rFonts w:ascii="Arial" w:cs="Arial" w:eastAsia="Arial" w:hAnsi="Arial"/>
                <w:sz w:val="18"/>
                <w:szCs w:val="18"/>
                <w:color w:val="0000EE"/>
              </w:rPr>
            </w:pPr>
            <w:hyperlink w:anchor="page70">
              <w:r>
                <w:rPr>
                  <w:rFonts w:ascii="Arial" w:cs="Arial" w:eastAsia="Arial" w:hAnsi="Arial"/>
                  <w:sz w:val="18"/>
                  <w:szCs w:val="18"/>
                  <w:color w:val="0000EE"/>
                </w:rPr>
                <w:t>USE OF PROCEEDS</w:t>
              </w:r>
            </w:hyperlink>
          </w:p>
        </w:tc>
        <w:tc>
          <w:tcPr>
            <w:tcW w:w="60" w:type="dxa"/>
            <w:vAlign w:val="bottom"/>
            <w:tcBorders>
              <w:top w:val="single" w:sz="8" w:color="0000EE"/>
            </w:tcBorders>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1"/>
        </w:trPr>
        <w:tc>
          <w:tcPr>
            <w:tcW w:w="1720" w:type="dxa"/>
            <w:vAlign w:val="bottom"/>
            <w:tcBorders>
              <w:top w:val="single" w:sz="8" w:color="0000EE"/>
            </w:tcBorders>
            <w:gridSpan w:val="10"/>
          </w:tcPr>
          <w:p>
            <w:pPr>
              <w:spacing w:after="0" w:line="181" w:lineRule="exact"/>
              <w:rPr>
                <w:rFonts w:ascii="Arial" w:cs="Arial" w:eastAsia="Arial" w:hAnsi="Arial"/>
                <w:sz w:val="18"/>
                <w:szCs w:val="18"/>
                <w:color w:val="0000EE"/>
              </w:rPr>
            </w:pPr>
            <w:hyperlink w:anchor="page71">
              <w:r>
                <w:rPr>
                  <w:rFonts w:ascii="Arial" w:cs="Arial" w:eastAsia="Arial" w:hAnsi="Arial"/>
                  <w:sz w:val="18"/>
                  <w:szCs w:val="18"/>
                  <w:color w:val="0000EE"/>
                </w:rPr>
                <w:t>DIVIDEND POLICY</w:t>
              </w:r>
            </w:hyperlink>
          </w:p>
        </w:tc>
        <w:tc>
          <w:tcPr>
            <w:tcW w:w="15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1"/>
        </w:trPr>
        <w:tc>
          <w:tcPr>
            <w:tcW w:w="1440" w:type="dxa"/>
            <w:vAlign w:val="bottom"/>
            <w:tcBorders>
              <w:top w:val="single" w:sz="8" w:color="0000EE"/>
              <w:bottom w:val="single" w:sz="8" w:color="0000EE"/>
            </w:tcBorders>
            <w:gridSpan w:val="7"/>
          </w:tcPr>
          <w:p>
            <w:pPr>
              <w:spacing w:after="0" w:line="181"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CAPITALIZATION</w:t>
              </w:r>
            </w:hyperlink>
          </w:p>
        </w:tc>
        <w:tc>
          <w:tcPr>
            <w:tcW w:w="120" w:type="dxa"/>
            <w:vAlign w:val="bottom"/>
            <w:tcBorders>
              <w:top w:val="single" w:sz="8" w:color="0000EE"/>
            </w:tcBorders>
            <w:gridSpan w:val="2"/>
          </w:tcPr>
          <w:p>
            <w:pPr>
              <w:spacing w:after="0"/>
              <w:rPr>
                <w:sz w:val="15"/>
                <w:szCs w:val="15"/>
                <w:color w:val="auto"/>
              </w:rPr>
            </w:pPr>
          </w:p>
        </w:tc>
        <w:tc>
          <w:tcPr>
            <w:tcW w:w="172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1"/>
        </w:trPr>
        <w:tc>
          <w:tcPr>
            <w:tcW w:w="860" w:type="dxa"/>
            <w:vAlign w:val="bottom"/>
            <w:tcBorders>
              <w:bottom w:val="single" w:sz="8" w:color="0000EE"/>
            </w:tcBorders>
            <w:gridSpan w:val="2"/>
          </w:tcPr>
          <w:p>
            <w:pPr>
              <w:spacing w:after="0" w:line="181"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DILUTION</w:t>
              </w:r>
            </w:hyperlink>
          </w:p>
        </w:tc>
        <w:tc>
          <w:tcPr>
            <w:tcW w:w="2420" w:type="dxa"/>
            <w:vAlign w:val="bottom"/>
            <w:gridSpan w:val="13"/>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1"/>
        </w:trPr>
        <w:tc>
          <w:tcPr>
            <w:tcW w:w="9040" w:type="dxa"/>
            <w:vAlign w:val="bottom"/>
            <w:tcBorders>
              <w:top w:val="single" w:sz="8" w:color="0000EE"/>
            </w:tcBorders>
            <w:gridSpan w:val="24"/>
          </w:tcPr>
          <w:p>
            <w:pPr>
              <w:spacing w:after="0" w:line="181" w:lineRule="exact"/>
              <w:rPr>
                <w:rFonts w:ascii="Arial" w:cs="Arial" w:eastAsia="Arial" w:hAnsi="Arial"/>
                <w:sz w:val="18"/>
                <w:szCs w:val="18"/>
                <w:color w:val="0000EE"/>
              </w:rPr>
            </w:pPr>
            <w:hyperlink w:anchor="page102">
              <w:r>
                <w:rPr>
                  <w:rFonts w:ascii="Arial" w:cs="Arial" w:eastAsia="Arial" w:hAnsi="Arial"/>
                  <w:sz w:val="18"/>
                  <w:szCs w:val="18"/>
                  <w:color w:val="0000EE"/>
                </w:rPr>
                <w:t>LETTER FROM RANDOLPH ALTSCHULER AND LAURENCE ZURIFF, CO-FOUNDERS</w:t>
              </w:r>
            </w:hyperlink>
          </w:p>
        </w:tc>
        <w:tc>
          <w:tcPr>
            <w:tcW w:w="1440" w:type="dxa"/>
            <w:vAlign w:val="bottom"/>
            <w:gridSpan w:val="2"/>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1"/>
        </w:trPr>
        <w:tc>
          <w:tcPr>
            <w:tcW w:w="3280" w:type="dxa"/>
            <w:vAlign w:val="bottom"/>
            <w:tcBorders>
              <w:top w:val="single" w:sz="8" w:color="0000EE"/>
            </w:tcBorders>
            <w:gridSpan w:val="15"/>
          </w:tcPr>
          <w:p>
            <w:pPr>
              <w:spacing w:after="0" w:line="181" w:lineRule="exact"/>
              <w:rPr>
                <w:rFonts w:ascii="Arial" w:cs="Arial" w:eastAsia="Arial" w:hAnsi="Arial"/>
                <w:sz w:val="18"/>
                <w:szCs w:val="18"/>
                <w:color w:val="0000EE"/>
              </w:rPr>
            </w:pPr>
            <w:hyperlink w:anchor="page104">
              <w:r>
                <w:rPr>
                  <w:rFonts w:ascii="Arial" w:cs="Arial" w:eastAsia="Arial" w:hAnsi="Arial"/>
                  <w:sz w:val="18"/>
                  <w:szCs w:val="18"/>
                  <w:color w:val="0000EE"/>
                </w:rPr>
                <w:t>BUSINESS</w:t>
              </w:r>
            </w:hyperlink>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80" w:type="dxa"/>
            <w:vAlign w:val="bottom"/>
            <w:gridSpan w:val="15"/>
          </w:tcPr>
          <w:p>
            <w:pPr>
              <w:spacing w:after="0" w:line="181" w:lineRule="exact"/>
              <w:rPr>
                <w:rFonts w:ascii="Arial" w:cs="Arial" w:eastAsia="Arial" w:hAnsi="Arial"/>
                <w:sz w:val="18"/>
                <w:szCs w:val="18"/>
                <w:color w:val="0000EE"/>
              </w:rPr>
            </w:pPr>
            <w:hyperlink w:anchor="page131">
              <w:r>
                <w:rPr>
                  <w:rFonts w:ascii="Arial" w:cs="Arial" w:eastAsia="Arial" w:hAnsi="Arial"/>
                  <w:sz w:val="18"/>
                  <w:szCs w:val="18"/>
                  <w:color w:val="0000EE"/>
                </w:rPr>
                <w:t>MANAGEMENT</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500" w:type="dxa"/>
            <w:vAlign w:val="bottom"/>
            <w:tcBorders>
              <w:bottom w:val="single" w:sz="8" w:color="0000EE"/>
            </w:tcBorders>
            <w:gridSpan w:val="13"/>
          </w:tcPr>
          <w:p>
            <w:pPr>
              <w:spacing w:after="0" w:line="181"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EXECUTIVE COMPENSATION</w:t>
              </w:r>
            </w:hyperlink>
          </w:p>
        </w:tc>
        <w:tc>
          <w:tcPr>
            <w:tcW w:w="7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55">
              <w:r>
                <w:rPr>
                  <w:rFonts w:ascii="Arial" w:cs="Arial" w:eastAsia="Arial" w:hAnsi="Arial"/>
                  <w:sz w:val="18"/>
                  <w:szCs w:val="18"/>
                  <w:color w:val="0000EE"/>
                </w:rPr>
                <w:t>CERTAIN RELATIONSHIPS AND RELATED PARTY TRANSACTIONS</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0000EE"/>
              <w:bottom w:val="single" w:sz="8" w:color="0000EE"/>
            </w:tcBorders>
            <w:gridSpan w:val="12"/>
          </w:tcPr>
          <w:p>
            <w:pPr>
              <w:spacing w:after="0" w:line="181" w:lineRule="exact"/>
              <w:rPr>
                <w:rFonts w:ascii="Arial" w:cs="Arial" w:eastAsia="Arial" w:hAnsi="Arial"/>
                <w:sz w:val="18"/>
                <w:szCs w:val="18"/>
                <w:color w:val="0000EE"/>
                <w:w w:val="97"/>
              </w:rPr>
            </w:pPr>
            <w:hyperlink w:anchor="page159">
              <w:r>
                <w:rPr>
                  <w:rFonts w:ascii="Arial" w:cs="Arial" w:eastAsia="Arial" w:hAnsi="Arial"/>
                  <w:sz w:val="18"/>
                  <w:szCs w:val="18"/>
                  <w:color w:val="0000EE"/>
                  <w:w w:val="97"/>
                </w:rPr>
                <w:t>PRINCIPAL STOCKHOLDERS</w:t>
              </w:r>
            </w:hyperlink>
          </w:p>
        </w:tc>
        <w:tc>
          <w:tcPr>
            <w:tcW w:w="820" w:type="dxa"/>
            <w:vAlign w:val="bottom"/>
            <w:tcBorders>
              <w:top w:val="single" w:sz="8" w:color="0000EE"/>
            </w:tcBorders>
            <w:gridSpan w:val="3"/>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80" w:type="dxa"/>
            <w:vAlign w:val="bottom"/>
            <w:gridSpan w:val="15"/>
          </w:tcPr>
          <w:p>
            <w:pPr>
              <w:spacing w:after="0" w:line="181" w:lineRule="exact"/>
              <w:rPr>
                <w:rFonts w:ascii="Arial" w:cs="Arial" w:eastAsia="Arial" w:hAnsi="Arial"/>
                <w:sz w:val="18"/>
                <w:szCs w:val="18"/>
                <w:color w:val="0000EE"/>
              </w:rPr>
            </w:pPr>
            <w:hyperlink w:anchor="page163">
              <w:r>
                <w:rPr>
                  <w:rFonts w:ascii="Arial" w:cs="Arial" w:eastAsia="Arial" w:hAnsi="Arial"/>
                  <w:sz w:val="18"/>
                  <w:szCs w:val="18"/>
                  <w:color w:val="0000EE"/>
                </w:rPr>
                <w:t>DESCRIPTION OF CAPITAL STOCK</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80" w:type="dxa"/>
            <w:vAlign w:val="bottom"/>
            <w:tcBorders>
              <w:bottom w:val="single" w:sz="8" w:color="0000EE"/>
            </w:tcBorders>
            <w:gridSpan w:val="15"/>
          </w:tcPr>
          <w:p>
            <w:pPr>
              <w:spacing w:after="0" w:line="181" w:lineRule="exact"/>
              <w:rPr>
                <w:rFonts w:ascii="Arial" w:cs="Arial" w:eastAsia="Arial" w:hAnsi="Arial"/>
                <w:sz w:val="18"/>
                <w:szCs w:val="18"/>
                <w:color w:val="0000EE"/>
                <w:w w:val="98"/>
              </w:rPr>
            </w:pPr>
            <w:hyperlink w:anchor="page169">
              <w:r>
                <w:rPr>
                  <w:rFonts w:ascii="Arial" w:cs="Arial" w:eastAsia="Arial" w:hAnsi="Arial"/>
                  <w:sz w:val="18"/>
                  <w:szCs w:val="18"/>
                  <w:color w:val="0000EE"/>
                  <w:w w:val="98"/>
                </w:rPr>
                <w:t>SHARES ELIGIBLE FOR FUTURE SALE</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72">
              <w:r>
                <w:rPr>
                  <w:rFonts w:ascii="Arial" w:cs="Arial" w:eastAsia="Arial" w:hAnsi="Arial"/>
                  <w:sz w:val="18"/>
                  <w:szCs w:val="18"/>
                  <w:color w:val="0000EE"/>
                </w:rPr>
                <w:t>MATERIAL U.S. FEDERAL INCOME TAX CONSEQUENCES TO NON-U.S. HOLDERS OF OUR CLASS A COMMON STOCK</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Borders>
              <w:top w:val="single" w:sz="8" w:color="0000EE"/>
              <w:bottom w:val="single" w:sz="8" w:color="0000EE"/>
            </w:tcBorders>
            <w:gridSpan w:val="6"/>
          </w:tcPr>
          <w:p>
            <w:pPr>
              <w:spacing w:after="0" w:line="181" w:lineRule="exact"/>
              <w:rPr>
                <w:rFonts w:ascii="Arial" w:cs="Arial" w:eastAsia="Arial" w:hAnsi="Arial"/>
                <w:sz w:val="18"/>
                <w:szCs w:val="18"/>
                <w:color w:val="0000EE"/>
                <w:w w:val="98"/>
              </w:rPr>
            </w:pPr>
            <w:hyperlink w:anchor="page176">
              <w:r>
                <w:rPr>
                  <w:rFonts w:ascii="Arial" w:cs="Arial" w:eastAsia="Arial" w:hAnsi="Arial"/>
                  <w:sz w:val="18"/>
                  <w:szCs w:val="18"/>
                  <w:color w:val="0000EE"/>
                  <w:w w:val="98"/>
                </w:rPr>
                <w:t>UNDERWRITING</w:t>
              </w:r>
            </w:hyperlink>
          </w:p>
        </w:tc>
        <w:tc>
          <w:tcPr>
            <w:tcW w:w="1860" w:type="dxa"/>
            <w:vAlign w:val="bottom"/>
            <w:tcBorders>
              <w:top w:val="single" w:sz="8" w:color="0000EE"/>
            </w:tcBorders>
            <w:gridSpan w:val="9"/>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Borders>
              <w:bottom w:val="single" w:sz="8" w:color="0000EE"/>
            </w:tcBorders>
            <w:gridSpan w:val="8"/>
          </w:tcPr>
          <w:p>
            <w:pPr>
              <w:spacing w:after="0" w:line="181"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LEGAL MATTERS</w:t>
              </w:r>
            </w:hyperlink>
          </w:p>
        </w:tc>
        <w:tc>
          <w:tcPr>
            <w:tcW w:w="180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Borders>
              <w:bottom w:val="single" w:sz="8" w:color="0000EE"/>
            </w:tcBorders>
          </w:tcPr>
          <w:p>
            <w:pPr>
              <w:spacing w:after="0" w:line="181"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EXPERTS</w:t>
              </w:r>
            </w:hyperlink>
          </w:p>
        </w:tc>
        <w:tc>
          <w:tcPr>
            <w:tcW w:w="2440" w:type="dxa"/>
            <w:vAlign w:val="bottom"/>
            <w:gridSpan w:val="14"/>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85">
              <w:r>
                <w:rPr>
                  <w:rFonts w:ascii="Arial" w:cs="Arial" w:eastAsia="Arial" w:hAnsi="Arial"/>
                  <w:sz w:val="18"/>
                  <w:szCs w:val="18"/>
                  <w:color w:val="0000EE"/>
                </w:rPr>
                <w:t>WHERE YOU CAN FIND ADDITIONAL INFORMATION</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gridSpan w:val="1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86">
              <w:r>
                <w:rPr>
                  <w:rFonts w:ascii="Arial" w:cs="Arial" w:eastAsia="Arial" w:hAnsi="Arial"/>
                  <w:sz w:val="18"/>
                  <w:szCs w:val="18"/>
                  <w:color w:val="0000EE"/>
                </w:rPr>
                <w:t>INDEX TO CONSOLIDATED FINANCIAL STATEMENTS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68"/>
        </w:trPr>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280" w:type="dxa"/>
            <w:vAlign w:val="bottom"/>
            <w:gridSpan w:val="15"/>
          </w:tcPr>
          <w:p>
            <w:pPr>
              <w:ind w:left="560"/>
              <w:spacing w:after="0"/>
              <w:rPr>
                <w:sz w:val="20"/>
                <w:szCs w:val="20"/>
                <w:color w:val="auto"/>
              </w:rPr>
            </w:pPr>
            <w:r>
              <w:rPr>
                <w:rFonts w:ascii="Arial" w:cs="Arial" w:eastAsia="Arial" w:hAnsi="Arial"/>
                <w:sz w:val="18"/>
                <w:szCs w:val="18"/>
                <w:b w:val="1"/>
                <w:bCs w:val="1"/>
                <w:color w:val="auto"/>
              </w:rPr>
              <w:t>Through and including</w:t>
            </w:r>
          </w:p>
        </w:tc>
        <w:tc>
          <w:tcPr>
            <w:tcW w:w="7600" w:type="dxa"/>
            <w:vAlign w:val="bottom"/>
            <w:gridSpan w:val="13"/>
          </w:tcPr>
          <w:p>
            <w:pPr>
              <w:jc w:val="right"/>
              <w:ind w:right="40"/>
              <w:spacing w:after="0"/>
              <w:rPr>
                <w:sz w:val="20"/>
                <w:szCs w:val="20"/>
                <w:color w:val="auto"/>
              </w:rPr>
            </w:pPr>
            <w:r>
              <w:rPr>
                <w:rFonts w:ascii="Arial" w:cs="Arial" w:eastAsia="Arial" w:hAnsi="Arial"/>
                <w:sz w:val="18"/>
                <w:szCs w:val="18"/>
                <w:b w:val="1"/>
                <w:bCs w:val="1"/>
                <w:color w:val="auto"/>
                <w:w w:val="99"/>
              </w:rPr>
              <w:t>, 2021 (the 25</w:t>
            </w:r>
            <w:r>
              <w:rPr>
                <w:rFonts w:ascii="Arial" w:cs="Arial" w:eastAsia="Arial" w:hAnsi="Arial"/>
                <w:sz w:val="15"/>
                <w:szCs w:val="15"/>
                <w:b w:val="1"/>
                <w:bCs w:val="1"/>
                <w:color w:val="auto"/>
                <w:w w:val="99"/>
              </w:rPr>
              <w:t>th</w:t>
            </w:r>
            <w:r>
              <w:rPr>
                <w:rFonts w:ascii="Arial" w:cs="Arial" w:eastAsia="Arial" w:hAnsi="Arial"/>
                <w:sz w:val="18"/>
                <w:szCs w:val="18"/>
                <w:b w:val="1"/>
                <w:bCs w:val="1"/>
                <w:color w:val="auto"/>
                <w:w w:val="99"/>
              </w:rPr>
              <w:t xml:space="preserve"> day after the date of this prospectus), all dealers effecting transactions in</w:t>
            </w:r>
          </w:p>
        </w:tc>
        <w:tc>
          <w:tcPr>
            <w:tcW w:w="0" w:type="dxa"/>
            <w:vAlign w:val="bottom"/>
          </w:tcPr>
          <w:p>
            <w:pPr>
              <w:spacing w:after="0"/>
              <w:rPr>
                <w:sz w:val="1"/>
                <w:szCs w:val="1"/>
                <w:color w:val="auto"/>
              </w:rPr>
            </w:pPr>
          </w:p>
        </w:tc>
      </w:tr>
    </w:tbl>
    <w:p>
      <w:pPr>
        <w:ind w:left="160" w:right="360"/>
        <w:spacing w:after="0" w:line="237" w:lineRule="auto"/>
        <w:rPr>
          <w:sz w:val="20"/>
          <w:szCs w:val="20"/>
          <w:color w:val="auto"/>
        </w:rPr>
      </w:pPr>
      <w:r>
        <w:rPr>
          <w:rFonts w:ascii="Arial" w:cs="Arial" w:eastAsia="Arial" w:hAnsi="Arial"/>
          <w:sz w:val="18"/>
          <w:szCs w:val="18"/>
          <w:b w:val="1"/>
          <w:bCs w:val="1"/>
          <w:color w:val="auto"/>
        </w:rPr>
        <w:t>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213995</wp:posOffset>
            </wp:positionV>
            <wp:extent cx="1460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202"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possession and distribution of this prospectus outside of the United States.</w:t>
      </w:r>
    </w:p>
    <w:p>
      <w:pPr>
        <w:sectPr>
          <w:pgSz w:w="11900" w:h="16838" w:orient="portrait"/>
          <w:cols w:equalWidth="0" w:num="1">
            <w:col w:w="11080"/>
          </w:cols>
          <w:pgMar w:left="320" w:top="45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47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58470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12" w:lineRule="exact"/>
        <w:rPr>
          <w:sz w:val="20"/>
          <w:szCs w:val="20"/>
          <w:color w:val="auto"/>
        </w:rPr>
      </w:pPr>
    </w:p>
    <w:p>
      <w:pPr>
        <w:ind w:left="340" w:right="20" w:firstLine="527"/>
        <w:spacing w:after="0" w:line="23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“Xometry,” the “company,” “we,” “our,” “us” or similar terms refer to Xometry, Inc. and its subsidiaries. Unless otherwise indicated, references to our “common stock” include our Class A common stock and Class B common stock.</w:t>
      </w: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Mission</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mission is to accelerate innovation by providing real time, equitable access to global manufacturing capacity and demand.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to drive efficiency, sustainability and innovation by lowering the barriers to entry to the manufacturing ecosystem.</w:t>
      </w: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Company</w:t>
      </w:r>
    </w:p>
    <w:p>
      <w:pPr>
        <w:spacing w:after="0" w:line="230" w:lineRule="exact"/>
        <w:rPr>
          <w:sz w:val="20"/>
          <w:szCs w:val="20"/>
          <w:color w:val="auto"/>
        </w:rPr>
      </w:pPr>
    </w:p>
    <w:p>
      <w:pPr>
        <w:ind w:left="340" w:firstLine="527"/>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340" w:right="100" w:firstLine="527"/>
        <w:spacing w:after="0" w:line="250" w:lineRule="auto"/>
        <w:rPr>
          <w:sz w:val="20"/>
          <w:szCs w:val="20"/>
          <w:color w:val="auto"/>
        </w:rPr>
      </w:pPr>
      <w:r>
        <w:rPr>
          <w:rFonts w:ascii="Arial" w:cs="Arial" w:eastAsia="Arial" w:hAnsi="Arial"/>
          <w:sz w:val="17"/>
          <w:szCs w:val="17"/>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196"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that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6" w:lineRule="exact"/>
        <w:rPr>
          <w:sz w:val="20"/>
          <w:szCs w:val="20"/>
          <w:color w:val="auto"/>
        </w:rPr>
      </w:pPr>
    </w:p>
    <w:p>
      <w:pPr>
        <w:ind w:left="340" w:right="360" w:firstLine="527"/>
        <w:spacing w:after="0" w:line="236" w:lineRule="auto"/>
        <w:rPr>
          <w:sz w:val="20"/>
          <w:szCs w:val="20"/>
          <w:color w:val="auto"/>
        </w:rPr>
      </w:pPr>
      <w:r>
        <w:rPr>
          <w:rFonts w:ascii="Arial" w:cs="Arial" w:eastAsia="Arial" w:hAnsi="Arial"/>
          <w:sz w:val="18"/>
          <w:szCs w:val="18"/>
          <w:color w:val="auto"/>
        </w:rPr>
        <w:t>We enable buyers across industries to source a broad array of manufacturing processes to meet their needs. We generate substantially all of our revenue from the prices we charge buyers on our platform. Buyers begin by uploading an engineering schematic that contains 3D design specifications, typically a computer-aided design, or a CAD, file. Then, we price transactions through our proprietary,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912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49129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120"/>
        <w:spacing w:after="0" w:line="236" w:lineRule="auto"/>
        <w:rPr>
          <w:sz w:val="20"/>
          <w:szCs w:val="20"/>
          <w:color w:val="auto"/>
        </w:rPr>
      </w:pPr>
      <w:r>
        <w:rPr>
          <w:rFonts w:ascii="Arial" w:cs="Arial" w:eastAsia="Arial" w:hAnsi="Arial"/>
          <w:sz w:val="18"/>
          <w:szCs w:val="18"/>
          <w:color w:val="auto"/>
        </w:rPr>
        <w:t>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w:t>
      </w:r>
    </w:p>
    <w:p>
      <w:pPr>
        <w:spacing w:after="0" w:line="202"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203" w:lineRule="exact"/>
        <w:rPr>
          <w:sz w:val="20"/>
          <w:szCs w:val="20"/>
          <w:color w:val="auto"/>
        </w:rPr>
      </w:pPr>
    </w:p>
    <w:p>
      <w:pPr>
        <w:ind w:left="340" w:right="140" w:firstLine="527"/>
        <w:spacing w:after="0" w:line="239"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a seller more than anticipated to manufacture the order.</w:t>
      </w:r>
    </w:p>
    <w:p>
      <w:pPr>
        <w:spacing w:after="0" w:line="203" w:lineRule="exact"/>
        <w:rPr>
          <w:sz w:val="20"/>
          <w:szCs w:val="20"/>
          <w:color w:val="auto"/>
        </w:rPr>
      </w:pPr>
    </w:p>
    <w:p>
      <w:pPr>
        <w:ind w:left="340" w:right="380" w:firstLine="527"/>
        <w:spacing w:after="0" w:line="235"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Today, we are the largest on-demand manufacturing marketplace by revenue. We have connected over 43,000 unique buyers,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including nearly 30% of the Fortune 500, and nearly 5,000 unique sellers of all sizes. We have achieved rapid growth while improving</w:t>
      </w:r>
    </w:p>
    <w:p>
      <w:pPr>
        <w:ind w:left="340"/>
        <w:spacing w:after="0" w:line="238" w:lineRule="auto"/>
        <w:rPr>
          <w:sz w:val="20"/>
          <w:szCs w:val="20"/>
          <w:color w:val="auto"/>
        </w:rPr>
      </w:pPr>
      <w:r>
        <w:rPr>
          <w:rFonts w:ascii="Arial" w:cs="Arial" w:eastAsia="Arial" w:hAnsi="Arial"/>
          <w:sz w:val="18"/>
          <w:szCs w:val="18"/>
          <w:color w:val="auto"/>
        </w:rPr>
        <w:t>our margin profile. We generated revenue of $38.4 million in 2018, $80.2 million in 2019, and $141.4 million in 2020, representing</w:t>
      </w:r>
    </w:p>
    <w:p>
      <w:pPr>
        <w:ind w:left="340"/>
        <w:spacing w:after="0" w:line="233" w:lineRule="auto"/>
        <w:rPr>
          <w:sz w:val="20"/>
          <w:szCs w:val="20"/>
          <w:color w:val="auto"/>
        </w:rPr>
      </w:pPr>
      <w:r>
        <w:rPr>
          <w:rFonts w:ascii="Arial" w:cs="Arial" w:eastAsia="Arial" w:hAnsi="Arial"/>
          <w:sz w:val="18"/>
          <w:szCs w:val="18"/>
          <w:color w:val="auto"/>
        </w:rPr>
        <w:t>year-over-year growth of 109% in 2019 and 76% in 2020. Our gross profit was $6.5 million in 2018, $14.7 million in 2019, and</w:t>
      </w:r>
    </w:p>
    <w:p>
      <w:pPr>
        <w:ind w:left="340"/>
        <w:spacing w:after="0" w:line="232" w:lineRule="auto"/>
        <w:rPr>
          <w:sz w:val="20"/>
          <w:szCs w:val="20"/>
          <w:color w:val="auto"/>
        </w:rPr>
      </w:pPr>
      <w:r>
        <w:rPr>
          <w:rFonts w:ascii="Arial" w:cs="Arial" w:eastAsia="Arial" w:hAnsi="Arial"/>
          <w:sz w:val="18"/>
          <w:szCs w:val="18"/>
          <w:color w:val="auto"/>
        </w:rPr>
        <w:t>$33.3 million in 2020, representing a 17% gross margin in 2018, 18% gross margin in 2019, and 24% gross margin in 2020. Our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losses were $20.1 million in 2018, $31.0 million in 2019 and $31.1 million in 2020.</w:t>
      </w:r>
    </w:p>
    <w:p>
      <w:pPr>
        <w:spacing w:after="0" w:line="208" w:lineRule="exact"/>
        <w:rPr>
          <w:sz w:val="20"/>
          <w:szCs w:val="20"/>
          <w:color w:val="auto"/>
        </w:rPr>
      </w:pPr>
    </w:p>
    <w:p>
      <w:pPr>
        <w:ind w:left="340" w:right="220" w:firstLine="527"/>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year-over-year growth of 65%. Our gross profit for the quarters ended March 31, 2021 and 2020, was $ 9.8 million and $5.4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our growth strategy to scale our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32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59321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Industry Overview</w:t>
      </w:r>
    </w:p>
    <w:p>
      <w:pPr>
        <w:spacing w:after="0" w:line="234" w:lineRule="exact"/>
        <w:rPr>
          <w:sz w:val="20"/>
          <w:szCs w:val="20"/>
          <w:color w:val="auto"/>
        </w:rPr>
      </w:pPr>
    </w:p>
    <w:p>
      <w:pPr>
        <w:ind w:left="1060" w:right="200" w:hanging="190"/>
        <w:spacing w:after="0" w:line="23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Manufacturing is a massive, highly fragmented, and regionalized industry in need of solutions to drive efficiency. </w:t>
      </w:r>
      <w:r>
        <w:rPr>
          <w:rFonts w:ascii="Arial" w:cs="Arial" w:eastAsia="Arial" w:hAnsi="Arial"/>
          <w:sz w:val="18"/>
          <w:szCs w:val="18"/>
          <w:color w:val="auto"/>
        </w:rPr>
        <w:t>The global manufacturing industry is one of the largest 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w:t>
      </w:r>
    </w:p>
    <w:p>
      <w:pPr>
        <w:spacing w:after="0" w:line="87" w:lineRule="exact"/>
        <w:rPr>
          <w:rFonts w:ascii="Arial" w:cs="Arial" w:eastAsia="Arial" w:hAnsi="Arial"/>
          <w:sz w:val="18"/>
          <w:szCs w:val="18"/>
          <w:color w:val="auto"/>
        </w:rPr>
      </w:pPr>
    </w:p>
    <w:p>
      <w:pPr>
        <w:ind w:left="1060" w:right="340" w:hanging="190"/>
        <w:spacing w:after="0" w:line="243"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manufacturing opportunities is a complex, costly and time-consuming process. </w:t>
      </w:r>
      <w:r>
        <w:rPr>
          <w:rFonts w:ascii="Arial" w:cs="Arial" w:eastAsia="Arial" w:hAnsi="Arial"/>
          <w:sz w:val="18"/>
          <w:szCs w:val="18"/>
          <w:color w:val="auto"/>
        </w:rPr>
        <w:t>Even for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sophisticated buyers and sellers, the manufacturing sourcing and procurement process is complex, uncertain, costly and time-consuming. We believe that the labor-intensive sourcing process presents a significant opportunity as buyers and sellers look for more efficient ways to source demand and consummate production.</w:t>
      </w:r>
    </w:p>
    <w:p>
      <w:pPr>
        <w:spacing w:after="0" w:line="84" w:lineRule="exact"/>
        <w:rPr>
          <w:rFonts w:ascii="Arial" w:cs="Arial" w:eastAsia="Arial" w:hAnsi="Arial"/>
          <w:sz w:val="18"/>
          <w:szCs w:val="18"/>
          <w:color w:val="auto"/>
        </w:rPr>
      </w:pPr>
    </w:p>
    <w:p>
      <w:pPr>
        <w:ind w:left="1060" w:right="20" w:hanging="190"/>
        <w:spacing w:after="0" w:line="23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Resilient, localized and compliant supply chains are imperative. </w:t>
      </w:r>
      <w:r>
        <w:rPr>
          <w:rFonts w:ascii="Arial" w:cs="Arial" w:eastAsia="Arial" w:hAnsi="Arial"/>
          <w:sz w:val="18"/>
          <w:szCs w:val="18"/>
          <w:color w:val="auto"/>
        </w:rPr>
        <w:t>We believe there is a significant opportunity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around the world improve their supply chain diversification, access just-in-time production, and build supply chain resilience. 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87" w:lineRule="exact"/>
        <w:rPr>
          <w:rFonts w:ascii="Arial" w:cs="Arial" w:eastAsia="Arial" w:hAnsi="Arial"/>
          <w:sz w:val="18"/>
          <w:szCs w:val="18"/>
          <w:color w:val="auto"/>
        </w:rPr>
      </w:pPr>
    </w:p>
    <w:p>
      <w:pPr>
        <w:ind w:left="1060" w:hanging="190"/>
        <w:spacing w:after="0" w:line="23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There is increasing focus on the manufacturing industry to address ESG issues. </w:t>
      </w:r>
      <w:r>
        <w:rPr>
          <w:rFonts w:ascii="Arial" w:cs="Arial" w:eastAsia="Arial" w:hAnsi="Arial"/>
          <w:sz w:val="18"/>
          <w:szCs w:val="18"/>
          <w:color w:val="auto"/>
        </w:rPr>
        <w:t>Companies and investors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86" w:lineRule="exact"/>
        <w:rPr>
          <w:rFonts w:ascii="Arial" w:cs="Arial" w:eastAsia="Arial" w:hAnsi="Arial"/>
          <w:sz w:val="18"/>
          <w:szCs w:val="18"/>
          <w:color w:val="auto"/>
        </w:rPr>
      </w:pPr>
    </w:p>
    <w:p>
      <w:pPr>
        <w:ind w:left="1060" w:right="160" w:hanging="190"/>
        <w:spacing w:after="0" w:line="24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catalysts have led to an inflection point for industry digitization. </w:t>
      </w:r>
      <w:r>
        <w:rPr>
          <w:rFonts w:ascii="Arial" w:cs="Arial" w:eastAsia="Arial" w:hAnsi="Arial"/>
          <w:sz w:val="18"/>
          <w:szCs w:val="18"/>
          <w:color w:val="auto"/>
        </w:rPr>
        <w:t>We believe future expected labor shortages,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the proliferation of new technologies, necessitates digital solutions that increase productivity, improve financial performance and allow them to compete sustainably.</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jc w:val="both"/>
        <w:ind w:left="340" w:right="600" w:firstLine="527"/>
        <w:spacing w:after="0" w:line="257" w:lineRule="auto"/>
        <w:rPr>
          <w:sz w:val="20"/>
          <w:szCs w:val="20"/>
          <w:color w:val="auto"/>
        </w:rPr>
      </w:pPr>
      <w:r>
        <w:rPr>
          <w:rFonts w:ascii="Arial" w:cs="Arial" w:eastAsia="Arial" w:hAnsi="Arial"/>
          <w:sz w:val="17"/>
          <w:szCs w:val="17"/>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188" w:lineRule="exact"/>
        <w:rPr>
          <w:sz w:val="20"/>
          <w:szCs w:val="20"/>
          <w:color w:val="auto"/>
        </w:rPr>
      </w:pPr>
    </w:p>
    <w:p>
      <w:pPr>
        <w:ind w:left="340" w:right="100" w:firstLine="527"/>
        <w:spacing w:after="0" w:line="239"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6"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36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6136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120"/>
        <w:spacing w:after="0" w:line="236" w:lineRule="auto"/>
        <w:rPr>
          <w:sz w:val="20"/>
          <w:szCs w:val="20"/>
          <w:color w:val="auto"/>
        </w:rPr>
      </w:pPr>
      <w:r>
        <w:rPr>
          <w:rFonts w:ascii="Arial" w:cs="Arial" w:eastAsia="Arial" w:hAnsi="Arial"/>
          <w:sz w:val="18"/>
          <w:szCs w:val="18"/>
          <w:color w:val="auto"/>
        </w:rPr>
        <w:t>metal manufacturing, 3D printing (including fused deposition modeling, direct metal laser sintering, PolyJet, stereolithography, selective laser sintering, binder jetting, carbon digital light synthesis and multi jet fusion), die casting, injection molding and urethane casting. Our estimates are based on independent industry publications or other publicly available information, as well as our internal sources.</w:t>
      </w:r>
    </w:p>
    <w:p>
      <w:pPr>
        <w:spacing w:after="0" w:line="2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Platform</w:t>
      </w:r>
    </w:p>
    <w:p>
      <w:pPr>
        <w:spacing w:after="0" w:line="230" w:lineRule="exact"/>
        <w:rPr>
          <w:sz w:val="20"/>
          <w:szCs w:val="20"/>
          <w:color w:val="auto"/>
        </w:rPr>
      </w:pPr>
    </w:p>
    <w:p>
      <w:pPr>
        <w:ind w:left="340" w:right="240" w:firstLine="527"/>
        <w:spacing w:after="0" w:line="236"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2" w:lineRule="exact"/>
        <w:rPr>
          <w:sz w:val="20"/>
          <w:szCs w:val="20"/>
          <w:color w:val="auto"/>
        </w:rPr>
      </w:pPr>
    </w:p>
    <w:p>
      <w:pPr>
        <w:ind w:left="340" w:right="320" w:firstLine="527"/>
        <w:spacing w:after="0" w:line="257" w:lineRule="auto"/>
        <w:rPr>
          <w:sz w:val="20"/>
          <w:szCs w:val="20"/>
          <w:color w:val="auto"/>
        </w:rPr>
      </w:pPr>
      <w:r>
        <w:rPr>
          <w:rFonts w:ascii="Arial" w:cs="Arial" w:eastAsia="Arial" w:hAnsi="Arial"/>
          <w:sz w:val="17"/>
          <w:szCs w:val="17"/>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sellers.</w:t>
      </w:r>
    </w:p>
    <w:p>
      <w:pPr>
        <w:spacing w:after="0" w:line="188" w:lineRule="exact"/>
        <w:rPr>
          <w:sz w:val="20"/>
          <w:szCs w:val="20"/>
          <w:color w:val="auto"/>
        </w:rPr>
      </w:pPr>
    </w:p>
    <w:p>
      <w:pPr>
        <w:ind w:left="340" w:right="20" w:firstLine="527"/>
        <w:spacing w:after="0" w:line="236"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2" w:lineRule="exact"/>
        <w:rPr>
          <w:sz w:val="20"/>
          <w:szCs w:val="20"/>
          <w:color w:val="auto"/>
        </w:rPr>
      </w:pPr>
    </w:p>
    <w:p>
      <w:pPr>
        <w:ind w:left="340" w:right="280" w:firstLine="527"/>
        <w:spacing w:after="0" w:line="239"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Carbon Offset Program</w:t>
      </w:r>
    </w:p>
    <w:p>
      <w:pPr>
        <w:spacing w:after="0" w:line="230" w:lineRule="exact"/>
        <w:rPr>
          <w:sz w:val="20"/>
          <w:szCs w:val="20"/>
          <w:color w:val="auto"/>
        </w:rPr>
      </w:pPr>
    </w:p>
    <w:p>
      <w:pPr>
        <w:ind w:left="340" w:right="160" w:firstLine="527"/>
        <w:spacing w:after="0" w:line="235"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Additional Seller Offerings</w:t>
      </w:r>
    </w:p>
    <w:p>
      <w:pPr>
        <w:spacing w:after="0" w:line="234" w:lineRule="exact"/>
        <w:rPr>
          <w:sz w:val="20"/>
          <w:szCs w:val="20"/>
          <w:color w:val="auto"/>
        </w:rPr>
      </w:pPr>
    </w:p>
    <w:p>
      <w:pPr>
        <w:ind w:left="1060" w:hanging="1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w:t>
      </w:r>
    </w:p>
    <w:p>
      <w:pPr>
        <w:spacing w:after="0" w:line="88" w:lineRule="exact"/>
        <w:rPr>
          <w:rFonts w:ascii="Arial" w:cs="Arial" w:eastAsia="Arial" w:hAnsi="Arial"/>
          <w:sz w:val="18"/>
          <w:szCs w:val="18"/>
          <w:color w:val="auto"/>
        </w:rPr>
      </w:pPr>
    </w:p>
    <w:p>
      <w:pPr>
        <w:ind w:left="1060" w:right="60" w:hanging="190"/>
        <w:spacing w:after="0" w:line="24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These offerings include the Xometry Advance Card, which generally gives sellers up to 30% of their job payment in advance, and FastPay, a fee-based service through which sellers can receive accelerated payment.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6" w:right="7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38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58381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Buyers Win</w:t>
      </w:r>
    </w:p>
    <w:p>
      <w:pPr>
        <w:spacing w:after="0" w:line="234" w:lineRule="exact"/>
        <w:rPr>
          <w:sz w:val="20"/>
          <w:szCs w:val="20"/>
          <w:color w:val="auto"/>
        </w:rPr>
      </w:pPr>
    </w:p>
    <w:p>
      <w:pPr>
        <w:ind w:left="106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Instant and Competitive Pricing and Lead Times. </w:t>
      </w:r>
      <w:r>
        <w:rPr>
          <w:rFonts w:ascii="Arial" w:cs="Arial" w:eastAsia="Arial" w:hAnsi="Arial"/>
          <w:sz w:val="18"/>
          <w:szCs w:val="18"/>
          <w:color w:val="auto"/>
        </w:rPr>
        <w:t>We create value for buyers through marketplace generation fueled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88" w:lineRule="exact"/>
        <w:rPr>
          <w:rFonts w:ascii="Arial" w:cs="Arial" w:eastAsia="Arial" w:hAnsi="Arial"/>
          <w:sz w:val="18"/>
          <w:szCs w:val="18"/>
          <w:color w:val="auto"/>
        </w:rPr>
      </w:pPr>
    </w:p>
    <w:p>
      <w:pPr>
        <w:ind w:left="1060" w:right="420" w:hanging="190"/>
        <w:spacing w:after="0" w:line="24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84" w:lineRule="exact"/>
        <w:rPr>
          <w:rFonts w:ascii="Arial" w:cs="Arial" w:eastAsia="Arial" w:hAnsi="Arial"/>
          <w:sz w:val="18"/>
          <w:szCs w:val="18"/>
          <w:color w:val="auto"/>
        </w:rPr>
      </w:pPr>
    </w:p>
    <w:p>
      <w:pPr>
        <w:ind w:left="1060" w:right="12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Access to a Massive Network of Sellers. </w:t>
      </w:r>
      <w:r>
        <w:rPr>
          <w:rFonts w:ascii="Arial" w:cs="Arial" w:eastAsia="Arial" w:hAnsi="Arial"/>
          <w:sz w:val="18"/>
          <w:szCs w:val="18"/>
          <w:color w:val="auto"/>
        </w:rPr>
        <w:t>We provide buyers access to the massive, global network of sellers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88" w:lineRule="exact"/>
        <w:rPr>
          <w:rFonts w:ascii="Arial" w:cs="Arial" w:eastAsia="Arial" w:hAnsi="Arial"/>
          <w:sz w:val="18"/>
          <w:szCs w:val="18"/>
          <w:color w:val="auto"/>
        </w:rPr>
      </w:pPr>
    </w:p>
    <w:p>
      <w:pPr>
        <w:ind w:left="1060" w:right="220" w:hanging="190"/>
        <w:spacing w:after="0" w:line="24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84" w:lineRule="exact"/>
        <w:rPr>
          <w:rFonts w:ascii="Arial" w:cs="Arial" w:eastAsia="Arial" w:hAnsi="Arial"/>
          <w:sz w:val="18"/>
          <w:szCs w:val="18"/>
          <w:color w:val="auto"/>
        </w:rPr>
      </w:pPr>
    </w:p>
    <w:p>
      <w:pPr>
        <w:ind w:left="1060" w:right="480" w:hanging="190"/>
        <w:spacing w:after="0" w:line="262"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and Quality. </w:t>
      </w:r>
      <w:r>
        <w:rPr>
          <w:rFonts w:ascii="Arial" w:cs="Arial" w:eastAsia="Arial" w:hAnsi="Arial"/>
          <w:sz w:val="17"/>
          <w:szCs w:val="17"/>
          <w:color w:val="auto"/>
        </w:rPr>
        <w:t>We offer consistently high-quality products and certainty of order fulfillment for buyers.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 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69" w:lineRule="exact"/>
        <w:rPr>
          <w:rFonts w:ascii="Arial" w:cs="Arial" w:eastAsia="Arial" w:hAnsi="Arial"/>
          <w:sz w:val="17"/>
          <w:szCs w:val="17"/>
          <w:color w:val="auto"/>
        </w:rPr>
      </w:pPr>
    </w:p>
    <w:p>
      <w:pPr>
        <w:ind w:left="1060" w:right="20" w:hanging="190"/>
        <w:spacing w:after="0" w:line="24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77" w:lineRule="exact"/>
        <w:rPr>
          <w:rFonts w:ascii="Arial" w:cs="Arial" w:eastAsia="Arial" w:hAnsi="Arial"/>
          <w:sz w:val="18"/>
          <w:szCs w:val="18"/>
          <w:color w:val="auto"/>
        </w:rPr>
      </w:pPr>
    </w:p>
    <w:p>
      <w:pPr>
        <w:ind w:left="1060" w:right="14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Sellers Win</w:t>
      </w:r>
    </w:p>
    <w:p>
      <w:pPr>
        <w:spacing w:after="0" w:line="234" w:lineRule="exact"/>
        <w:rPr>
          <w:sz w:val="20"/>
          <w:szCs w:val="20"/>
          <w:color w:val="auto"/>
        </w:rPr>
      </w:pPr>
    </w:p>
    <w:p>
      <w:pPr>
        <w:ind w:left="1060" w:right="100" w:hanging="190"/>
        <w:spacing w:after="0" w:line="24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36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5736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60" w:right="240" w:hanging="190"/>
        <w:spacing w:after="0" w:line="24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accept the next repeat order in order to increase efficiency and reliability. Our ability to attract repeat buyers helps stabilize demand for sellers so they can operate their businesses more efficiently.</w:t>
      </w:r>
    </w:p>
    <w:p>
      <w:pPr>
        <w:spacing w:after="0" w:line="77" w:lineRule="exact"/>
        <w:rPr>
          <w:rFonts w:ascii="Arial" w:cs="Arial" w:eastAsia="Arial" w:hAnsi="Arial"/>
          <w:sz w:val="18"/>
          <w:szCs w:val="18"/>
          <w:color w:val="auto"/>
        </w:rPr>
      </w:pPr>
    </w:p>
    <w:p>
      <w:pPr>
        <w:ind w:left="1060" w:right="100" w:hanging="190"/>
        <w:spacing w:after="0" w:line="24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aim to be a completely digital one-stop-shop for all workflow solutions for sellers. Our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84" w:lineRule="exact"/>
        <w:rPr>
          <w:rFonts w:ascii="Arial" w:cs="Arial" w:eastAsia="Arial" w:hAnsi="Arial"/>
          <w:sz w:val="18"/>
          <w:szCs w:val="18"/>
          <w:color w:val="auto"/>
        </w:rPr>
      </w:pPr>
    </w:p>
    <w:p>
      <w:pPr>
        <w:ind w:left="1060" w:right="40" w:hanging="1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8" w:lineRule="exact"/>
        <w:rPr>
          <w:rFonts w:ascii="Arial" w:cs="Arial" w:eastAsia="Arial" w:hAnsi="Arial"/>
          <w:sz w:val="18"/>
          <w:szCs w:val="18"/>
          <w:color w:val="auto"/>
        </w:rPr>
      </w:pPr>
    </w:p>
    <w:p>
      <w:pPr>
        <w:ind w:left="1060" w:hanging="1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8" w:lineRule="exact"/>
        <w:rPr>
          <w:rFonts w:ascii="Arial" w:cs="Arial" w:eastAsia="Arial" w:hAnsi="Arial"/>
          <w:sz w:val="18"/>
          <w:szCs w:val="18"/>
          <w:color w:val="auto"/>
        </w:rPr>
      </w:pPr>
    </w:p>
    <w:p>
      <w:pPr>
        <w:ind w:left="1060" w:right="120" w:hanging="190"/>
        <w:spacing w:after="0" w:line="23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We Win</w:t>
      </w:r>
    </w:p>
    <w:p>
      <w:pPr>
        <w:spacing w:after="0" w:line="234" w:lineRule="exact"/>
        <w:rPr>
          <w:sz w:val="20"/>
          <w:szCs w:val="20"/>
          <w:color w:val="auto"/>
        </w:rPr>
      </w:pPr>
    </w:p>
    <w:p>
      <w:pPr>
        <w:ind w:left="1060" w:right="80" w:hanging="190"/>
        <w:spacing w:after="0" w:line="23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87" w:lineRule="exact"/>
        <w:rPr>
          <w:rFonts w:ascii="Arial" w:cs="Arial" w:eastAsia="Arial" w:hAnsi="Arial"/>
          <w:sz w:val="18"/>
          <w:szCs w:val="18"/>
          <w:color w:val="auto"/>
        </w:rPr>
      </w:pPr>
    </w:p>
    <w:p>
      <w:pPr>
        <w:ind w:left="1060" w:hanging="190"/>
        <w:spacing w:after="0" w:line="23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which contributes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buyers and sellers thrive.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6"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58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55581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1060" w:hanging="190"/>
        <w:spacing w:after="0" w:line="24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 we are the largest on-demand manufacturing marketplace by revenue. As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we benefit from a self-reinforcing, virtuous cycle, in which marketplace interactions contribute valuable data points and insights that improve our AI-enabled platform, increasing lifetime customer value and fueling strong unit economics.</w:t>
      </w:r>
    </w:p>
    <w:p>
      <w:pPr>
        <w:spacing w:after="0" w:line="77" w:lineRule="exact"/>
        <w:rPr>
          <w:rFonts w:ascii="Arial" w:cs="Arial" w:eastAsia="Arial" w:hAnsi="Arial"/>
          <w:sz w:val="18"/>
          <w:szCs w:val="18"/>
          <w:color w:val="auto"/>
        </w:rPr>
      </w:pPr>
    </w:p>
    <w:p>
      <w:pPr>
        <w:ind w:left="1060" w:right="40" w:hanging="190"/>
        <w:spacing w:after="0" w:line="23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us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saw a 34% year-over-year increase in accounts with at least $50,000 annual spend.</w:t>
      </w:r>
    </w:p>
    <w:p>
      <w:pPr>
        <w:spacing w:after="0" w:line="87" w:lineRule="exact"/>
        <w:rPr>
          <w:rFonts w:ascii="Arial" w:cs="Arial" w:eastAsia="Arial" w:hAnsi="Arial"/>
          <w:sz w:val="18"/>
          <w:szCs w:val="18"/>
          <w:color w:val="auto"/>
        </w:rPr>
      </w:pPr>
    </w:p>
    <w:p>
      <w:pPr>
        <w:ind w:left="1060" w:right="180" w:hanging="190"/>
        <w:spacing w:after="0" w:line="24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84" w:lineRule="exact"/>
        <w:rPr>
          <w:rFonts w:ascii="Arial" w:cs="Arial" w:eastAsia="Arial" w:hAnsi="Arial"/>
          <w:sz w:val="18"/>
          <w:szCs w:val="18"/>
          <w:color w:val="auto"/>
        </w:rPr>
      </w:pPr>
    </w:p>
    <w:p>
      <w:pPr>
        <w:ind w:left="1060" w:right="200" w:hanging="190"/>
        <w:spacing w:after="0" w:line="24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1060" w:right="40" w:hanging="190"/>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new buyers and grow wallet share with existing buyers. </w:t>
      </w:r>
      <w:r>
        <w:rPr>
          <w:rFonts w:ascii="Arial" w:cs="Arial" w:eastAsia="Arial" w:hAnsi="Arial"/>
          <w:sz w:val="18"/>
          <w:szCs w:val="18"/>
          <w:color w:val="auto"/>
        </w:rPr>
        <w:t>We intend to continue investing in acquiring new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traditional paid sales and marketing techniques as well as leveraging our strong organic referral network to drive awareness and build trust. We are also focused on increasing buyer stickiness and buyer spend within existing accounts by investing in our sales and marketing capabilities.</w:t>
      </w:r>
    </w:p>
    <w:p>
      <w:pPr>
        <w:spacing w:after="0" w:line="84" w:lineRule="exact"/>
        <w:rPr>
          <w:rFonts w:ascii="Arial" w:cs="Arial" w:eastAsia="Arial" w:hAnsi="Arial"/>
          <w:sz w:val="18"/>
          <w:szCs w:val="18"/>
          <w:color w:val="auto"/>
        </w:rPr>
      </w:pPr>
    </w:p>
    <w:p>
      <w:pPr>
        <w:ind w:left="1060" w:right="100" w:hanging="190"/>
        <w:spacing w:after="0" w:line="24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our entire platform. We are focused on attracting new sellers, recognizing the massive opportunity still in front of us and the intrinsic benefit an active, diverse seller population brings to the overall platform.</w:t>
      </w:r>
    </w:p>
    <w:p>
      <w:pPr>
        <w:spacing w:after="0" w:line="77" w:lineRule="exact"/>
        <w:rPr>
          <w:rFonts w:ascii="Arial" w:cs="Arial" w:eastAsia="Arial" w:hAnsi="Arial"/>
          <w:sz w:val="18"/>
          <w:szCs w:val="18"/>
          <w:color w:val="auto"/>
        </w:rPr>
      </w:pPr>
    </w:p>
    <w:p>
      <w:pPr>
        <w:ind w:left="1060" w:hanging="190"/>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w:t>
      </w:r>
    </w:p>
    <w:p>
      <w:pPr>
        <w:spacing w:after="0" w:line="84" w:lineRule="exact"/>
        <w:rPr>
          <w:rFonts w:ascii="Arial" w:cs="Arial" w:eastAsia="Arial" w:hAnsi="Arial"/>
          <w:sz w:val="18"/>
          <w:szCs w:val="18"/>
          <w:color w:val="auto"/>
        </w:rPr>
      </w:pPr>
    </w:p>
    <w:p>
      <w:pPr>
        <w:ind w:left="1060" w:right="200" w:hanging="190"/>
        <w:spacing w:after="0" w:line="23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and increase engagement. During the year ended December 31, 2020, 40% of active sellers used our seller services. Although revenue from our seller services was approximately five percent of our total revenue for the year ended December 31, 2020, we expect revenue from seller services to grow over time. In 2020, we introduced a new suite of financial services for sellers that offer us attractive growth opportunities. We plan to continue to market the Xometry Pay platform to U.S. sellers, enhance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spacing w:after="0" w:line="239" w:lineRule="auto"/>
        <w:rPr>
          <w:sz w:val="20"/>
          <w:szCs w:val="20"/>
          <w:color w:val="auto"/>
        </w:rPr>
      </w:pPr>
      <w:r>
        <w:rPr>
          <w:rFonts w:ascii="Arial" w:cs="Arial" w:eastAsia="Arial" w:hAnsi="Arial"/>
          <w:sz w:val="18"/>
          <w:szCs w:val="18"/>
          <w:color w:val="auto"/>
        </w:rPr>
        <w:t>features that allow quicker conversion of purchase orders to cash, and build toward a full-service digital wallet for sellers to use for payouts and purchases.</w:t>
      </w:r>
    </w:p>
    <w:p>
      <w:pPr>
        <w:spacing w:after="0" w:line="87" w:lineRule="exact"/>
        <w:rPr>
          <w:sz w:val="20"/>
          <w:szCs w:val="20"/>
          <w:color w:val="auto"/>
        </w:rPr>
      </w:pPr>
    </w:p>
    <w:p>
      <w:pPr>
        <w:ind w:left="1060" w:right="20" w:hanging="190"/>
        <w:spacing w:after="0" w:line="26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our international expansion. </w:t>
      </w:r>
      <w:r>
        <w:rPr>
          <w:rFonts w:ascii="Arial" w:cs="Arial" w:eastAsia="Arial" w:hAnsi="Arial"/>
          <w:sz w:val="17"/>
          <w:szCs w:val="17"/>
          <w:color w:val="auto"/>
        </w:rPr>
        <w:t>We believe there is significant opportunity in the global manufacturing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marketplace like Xometry.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w:t>
      </w:r>
    </w:p>
    <w:p>
      <w:pPr>
        <w:spacing w:after="0" w:line="69" w:lineRule="exact"/>
        <w:rPr>
          <w:rFonts w:ascii="Arial" w:cs="Arial" w:eastAsia="Arial" w:hAnsi="Arial"/>
          <w:sz w:val="17"/>
          <w:szCs w:val="17"/>
          <w:color w:val="auto"/>
        </w:rPr>
      </w:pPr>
    </w:p>
    <w:p>
      <w:pPr>
        <w:ind w:left="1060" w:right="100" w:hanging="190"/>
        <w:spacing w:after="0" w:line="26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for targeted investments and acquisitions to strengthen our competitive position and processes.</w:t>
      </w:r>
    </w:p>
    <w:p>
      <w:pPr>
        <w:spacing w:after="0" w:line="26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 Summary</w:t>
      </w:r>
    </w:p>
    <w:p>
      <w:pPr>
        <w:spacing w:after="0" w:line="230" w:lineRule="exact"/>
        <w:rPr>
          <w:sz w:val="20"/>
          <w:szCs w:val="20"/>
          <w:color w:val="auto"/>
        </w:rPr>
      </w:pPr>
    </w:p>
    <w:p>
      <w:pPr>
        <w:ind w:left="340" w:right="220" w:firstLine="527"/>
        <w:spacing w:after="0" w:line="237" w:lineRule="auto"/>
        <w:rPr>
          <w:sz w:val="20"/>
          <w:szCs w:val="20"/>
          <w:color w:val="auto"/>
        </w:rPr>
      </w:pPr>
      <w:r>
        <w:rPr>
          <w:rFonts w:ascii="Arial" w:cs="Arial" w:eastAsia="Arial" w:hAnsi="Arial"/>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91" w:lineRule="exact"/>
        <w:rPr>
          <w:sz w:val="20"/>
          <w:szCs w:val="20"/>
          <w:color w:val="auto"/>
        </w:rPr>
      </w:pPr>
    </w:p>
    <w:p>
      <w:pPr>
        <w:ind w:left="1060" w:right="62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have incurred net losses in the past, expect to incur net losses in the future and may never achieve or maintain profitability.</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not continue to grow on pace with historical rates.</w:t>
      </w:r>
    </w:p>
    <w:p>
      <w:pPr>
        <w:spacing w:after="0" w:line="113" w:lineRule="exact"/>
        <w:rPr>
          <w:rFonts w:ascii="Arial" w:cs="Arial" w:eastAsia="Arial" w:hAnsi="Arial"/>
          <w:sz w:val="18"/>
          <w:szCs w:val="18"/>
          <w:color w:val="auto"/>
        </w:rPr>
      </w:pPr>
    </w:p>
    <w:p>
      <w:pPr>
        <w:ind w:left="1060" w:right="54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we are unable to manage the anticipated growth of our business, our future revenue and operating results may be adversely affected.</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operating results may fluctuate from quarter to quarter, which makes our future results difficult to predict.</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growth depends on our ability to attract and retain a large community of buyers and sellers.</w:t>
      </w:r>
    </w:p>
    <w:p>
      <w:pPr>
        <w:spacing w:after="0" w:line="113" w:lineRule="exact"/>
        <w:rPr>
          <w:rFonts w:ascii="Arial" w:cs="Arial" w:eastAsia="Arial" w:hAnsi="Arial"/>
          <w:sz w:val="18"/>
          <w:szCs w:val="18"/>
          <w:i w:val="1"/>
          <w:iCs w:val="1"/>
          <w:color w:val="auto"/>
        </w:rPr>
      </w:pPr>
    </w:p>
    <w:p>
      <w:pPr>
        <w:ind w:left="1060" w:right="42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73" w:lineRule="exact"/>
        <w:rPr>
          <w:rFonts w:ascii="Arial" w:cs="Arial" w:eastAsia="Arial" w:hAnsi="Arial"/>
          <w:sz w:val="18"/>
          <w:szCs w:val="18"/>
          <w:color w:val="auto"/>
        </w:rPr>
      </w:pPr>
    </w:p>
    <w:p>
      <w:pPr>
        <w:ind w:left="1060" w:right="6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we fail to maintain and improve the quality of our platform, customer support and ancillary services available through our platform, we may not be able to attract and retain buyers and sellers.</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provide quality assurance to buyers.</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business model involves our agreeing to pricing with a buyer in advance of sourcing the opportunity to a seller.</w:t>
      </w:r>
    </w:p>
    <w:p>
      <w:pPr>
        <w:spacing w:after="0" w:line="113" w:lineRule="exact"/>
        <w:rPr>
          <w:rFonts w:ascii="Arial" w:cs="Arial" w:eastAsia="Arial" w:hAnsi="Arial"/>
          <w:sz w:val="18"/>
          <w:szCs w:val="18"/>
          <w:color w:val="auto"/>
        </w:rPr>
      </w:pPr>
    </w:p>
    <w:p>
      <w:pPr>
        <w:ind w:left="1060" w:right="54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or our third-party partners or service providers may experience a security breach, including unauthorized parties obtaining access to buyers’ confidential information.</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Failure to deal effectively with bad actors engaging on our marketplace or platform could harm our business.</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be subject to disputes between sellers and suppliers on our platform.</w:t>
      </w:r>
    </w:p>
    <w:p>
      <w:pPr>
        <w:spacing w:after="0" w:line="113" w:lineRule="exact"/>
        <w:rPr>
          <w:rFonts w:ascii="Arial" w:cs="Arial" w:eastAsia="Arial" w:hAnsi="Arial"/>
          <w:sz w:val="18"/>
          <w:szCs w:val="18"/>
          <w:color w:val="auto"/>
        </w:rPr>
      </w:pPr>
    </w:p>
    <w:p>
      <w:pPr>
        <w:ind w:left="1060" w:right="46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rely on a third-party payment processor to process payments made by buyers and payments made to sellers and suppliers.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320" w:top="456" w:right="8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15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591502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third parties to fulfill buyer orders.</w:t>
      </w:r>
    </w:p>
    <w:p>
      <w:pPr>
        <w:spacing w:after="0" w:line="113" w:lineRule="exact"/>
        <w:rPr>
          <w:rFonts w:ascii="Arial" w:cs="Arial" w:eastAsia="Arial" w:hAnsi="Arial"/>
          <w:sz w:val="18"/>
          <w:szCs w:val="18"/>
          <w:color w:val="auto"/>
        </w:rPr>
      </w:pPr>
    </w:p>
    <w:p>
      <w:pPr>
        <w:ind w:left="1060" w:right="42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face significant competition and expect to face increasing competition in many aspects of our business, which could cause our operating results to suffer.</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may not effectively expand into markets outside the United States.</w:t>
      </w:r>
    </w:p>
    <w:p>
      <w:pPr>
        <w:spacing w:after="0" w:line="113" w:lineRule="exact"/>
        <w:rPr>
          <w:rFonts w:ascii="Arial" w:cs="Arial" w:eastAsia="Arial" w:hAnsi="Arial"/>
          <w:sz w:val="18"/>
          <w:szCs w:val="18"/>
          <w:color w:val="auto"/>
        </w:rPr>
      </w:pPr>
    </w:p>
    <w:p>
      <w:pPr>
        <w:ind w:left="1060" w:right="16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ongoing COVID-19 pandemic and measures intended to prevent its spread have had a material effect on our business and results of operations.</w:t>
      </w:r>
    </w:p>
    <w:p>
      <w:pPr>
        <w:spacing w:after="0" w:line="73" w:lineRule="exact"/>
        <w:rPr>
          <w:rFonts w:ascii="Arial" w:cs="Arial" w:eastAsia="Arial" w:hAnsi="Arial"/>
          <w:sz w:val="18"/>
          <w:szCs w:val="18"/>
          <w:color w:val="auto"/>
        </w:rPr>
      </w:pPr>
    </w:p>
    <w:p>
      <w:pPr>
        <w:ind w:left="1060" w:right="140" w:hanging="190"/>
        <w:spacing w:after="0" w:line="290"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49" w:lineRule="exact"/>
        <w:rPr>
          <w:rFonts w:ascii="Arial" w:cs="Arial" w:eastAsia="Arial" w:hAnsi="Arial"/>
          <w:sz w:val="17"/>
          <w:szCs w:val="17"/>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are subject to stringent and evolving laws and regulations relating to consumer data privacy and data protection.</w:t>
      </w:r>
    </w:p>
    <w:p>
      <w:pPr>
        <w:spacing w:after="0" w:line="113" w:lineRule="exact"/>
        <w:rPr>
          <w:rFonts w:ascii="Arial" w:cs="Arial" w:eastAsia="Arial" w:hAnsi="Arial"/>
          <w:sz w:val="18"/>
          <w:szCs w:val="18"/>
          <w:color w:val="auto"/>
        </w:rPr>
      </w:pPr>
    </w:p>
    <w:p>
      <w:pPr>
        <w:ind w:left="1060" w:right="36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Our intellectual property and proprietary rights are valuable, and any inability to obtain, maintain, protect or enforce them could substantially harm our business, products, services, and brand.</w:t>
      </w:r>
    </w:p>
    <w:p>
      <w:pPr>
        <w:spacing w:after="0" w:line="73" w:lineRule="exact"/>
        <w:rPr>
          <w:rFonts w:ascii="Arial" w:cs="Arial" w:eastAsia="Arial" w:hAnsi="Arial"/>
          <w:sz w:val="18"/>
          <w:szCs w:val="18"/>
          <w:color w:val="auto"/>
        </w:rPr>
      </w:pPr>
    </w:p>
    <w:p>
      <w:pPr>
        <w:ind w:left="1060" w:right="4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could incur substantial costs and other harms as a result of any claim of infringement, misappropriation or other violation of another party’s intellectual property or proprietary rights.</w:t>
      </w:r>
    </w:p>
    <w:p>
      <w:pPr>
        <w:spacing w:after="0" w:line="73" w:lineRule="exact"/>
        <w:rPr>
          <w:rFonts w:ascii="Arial" w:cs="Arial" w:eastAsia="Arial" w:hAnsi="Arial"/>
          <w:sz w:val="18"/>
          <w:szCs w:val="18"/>
          <w:color w:val="auto"/>
        </w:rPr>
      </w:pPr>
    </w:p>
    <w:p>
      <w:pPr>
        <w:ind w:left="1060" w:right="44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27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Information</w:t>
      </w: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We were incorporated in 2013 under the name NextLine Manufacturing Corp. We changed our name to Xometry, Inc. on</w:t>
      </w:r>
    </w:p>
    <w:p>
      <w:pPr>
        <w:ind w:left="340"/>
        <w:spacing w:after="0" w:line="235" w:lineRule="auto"/>
        <w:rPr>
          <w:sz w:val="20"/>
          <w:szCs w:val="20"/>
          <w:color w:val="auto"/>
        </w:rPr>
      </w:pPr>
      <w:r>
        <w:rPr>
          <w:rFonts w:ascii="Arial" w:cs="Arial" w:eastAsia="Arial" w:hAnsi="Arial"/>
          <w:sz w:val="18"/>
          <w:szCs w:val="18"/>
          <w:color w:val="auto"/>
        </w:rPr>
        <w:t>June 29, 2015. Our principal executive offices are located at 7529 Standish Place, Suite 200, Derwood, MD 20855, and our telephone number is (240) 335-7914. Our website address is www.xometry.com. Information contained on, or that can be accessed through, our website is not incorporated by reference into this prospectus, is an inactive textual reference only, and you should not consider information on our website to be part of this prospectus or in deciding whether or not to purchase our Class A common stock offered in this offering.</w:t>
      </w:r>
    </w:p>
    <w:p>
      <w:pPr>
        <w:spacing w:after="0" w:line="201" w:lineRule="exact"/>
        <w:rPr>
          <w:sz w:val="20"/>
          <w:szCs w:val="20"/>
          <w:color w:val="auto"/>
        </w:rPr>
      </w:pPr>
    </w:p>
    <w:p>
      <w:pPr>
        <w:ind w:left="340" w:right="140" w:firstLine="527"/>
        <w:spacing w:after="0" w:line="237" w:lineRule="auto"/>
        <w:rPr>
          <w:sz w:val="20"/>
          <w:szCs w:val="20"/>
          <w:color w:val="auto"/>
        </w:rPr>
      </w:pPr>
      <w:r>
        <w:rPr>
          <w:rFonts w:ascii="Arial" w:cs="Arial" w:eastAsia="Arial" w:hAnsi="Arial"/>
          <w:sz w:val="18"/>
          <w:szCs w:val="18"/>
          <w:color w:val="auto"/>
        </w:rPr>
        <w:t>“Xometry</w:t>
      </w:r>
      <w:r>
        <w:rPr>
          <w:rFonts w:ascii="Arial" w:cs="Arial" w:eastAsia="Arial" w:hAnsi="Arial"/>
          <w:sz w:val="15"/>
          <w:szCs w:val="15"/>
          <w:color w:val="auto"/>
        </w:rPr>
        <w:t>®</w:t>
      </w:r>
      <w:r>
        <w:rPr>
          <w:rFonts w:ascii="Arial" w:cs="Arial" w:eastAsia="Arial" w:hAnsi="Arial"/>
          <w:sz w:val="18"/>
          <w:szCs w:val="18"/>
          <w:color w:val="auto"/>
        </w:rPr>
        <w:t xml:space="preserve">” and our other registered and common law trade names, trademarks and service marks are the property of Xometry, Inc. or our subsidiaries. Other trade names, trademarks and service marks used in this prospectus are the property of their respective owners.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 xml:space="preserve">TM </w:t>
      </w:r>
      <w:r>
        <w:rPr>
          <w:rFonts w:ascii="Arial" w:cs="Arial" w:eastAsia="Arial" w:hAnsi="Arial"/>
          <w:sz w:val="17"/>
          <w:szCs w:val="17"/>
          <w:color w:val="auto"/>
        </w:rPr>
        <w:t>symbols.</w:t>
      </w:r>
    </w:p>
    <w:p>
      <w:pPr>
        <w:spacing w:after="0" w:line="28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0" w:lineRule="exact"/>
        <w:rPr>
          <w:sz w:val="20"/>
          <w:szCs w:val="20"/>
          <w:color w:val="auto"/>
        </w:rPr>
      </w:pPr>
    </w:p>
    <w:p>
      <w:pPr>
        <w:ind w:left="340" w:right="100" w:firstLine="527"/>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6"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008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20085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40"/>
        <w:spacing w:after="0" w:line="235" w:lineRule="auto"/>
        <w:rPr>
          <w:sz w:val="20"/>
          <w:szCs w:val="20"/>
          <w:color w:val="auto"/>
        </w:rPr>
      </w:pPr>
      <w:r>
        <w:rPr>
          <w:rFonts w:ascii="Arial" w:cs="Arial" w:eastAsia="Arial" w:hAnsi="Arial"/>
          <w:sz w:val="18"/>
          <w:szCs w:val="18"/>
          <w:color w:val="auto"/>
        </w:rPr>
        <w:t>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04" w:lineRule="exact"/>
        <w:rPr>
          <w:sz w:val="20"/>
          <w:szCs w:val="20"/>
          <w:color w:val="auto"/>
        </w:rPr>
      </w:pPr>
    </w:p>
    <w:p>
      <w:pPr>
        <w:ind w:left="340" w:firstLine="527"/>
        <w:spacing w:after="0" w:line="235" w:lineRule="auto"/>
        <w:rPr>
          <w:sz w:val="20"/>
          <w:szCs w:val="20"/>
          <w:color w:val="auto"/>
        </w:rPr>
      </w:pPr>
      <w:r>
        <w:rPr>
          <w:rFonts w:ascii="Arial" w:cs="Arial" w:eastAsia="Arial" w:hAnsi="Arial"/>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Class A common stock held by non-affiliates is more than $700 million as of June 30 of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6"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235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52355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7"/>
          <w:szCs w:val="17"/>
          <w:color w:val="auto"/>
        </w:rPr>
        <w:t>6,875,000 shares</w:t>
      </w:r>
    </w:p>
    <w:p>
      <w:pPr>
        <w:spacing w:after="0" w:line="81"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7"/>
          <w:szCs w:val="17"/>
          <w:color w:val="auto"/>
        </w:rPr>
        <w:t>40,197,281 shares (or 41,228,531 shares if the underwriters</w:t>
      </w:r>
    </w:p>
    <w:p>
      <w:pPr>
        <w:ind w:left="5820"/>
        <w:spacing w:after="0"/>
        <w:rPr>
          <w:sz w:val="20"/>
          <w:szCs w:val="20"/>
          <w:color w:val="auto"/>
        </w:rPr>
      </w:pPr>
      <w:r>
        <w:rPr>
          <w:rFonts w:ascii="Arial" w:cs="Arial" w:eastAsia="Arial" w:hAnsi="Arial"/>
          <w:sz w:val="18"/>
          <w:szCs w:val="18"/>
          <w:color w:val="auto"/>
        </w:rPr>
        <w:t>exercise their option to purchase additional shares in full)</w:t>
      </w:r>
    </w:p>
    <w:p>
      <w:pPr>
        <w:spacing w:after="0" w:line="74"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7"/>
          <w:szCs w:val="17"/>
          <w:color w:val="auto"/>
        </w:rPr>
        <w:t>2,676,154 shares</w:t>
      </w:r>
    </w:p>
    <w:p>
      <w:pPr>
        <w:spacing w:after="0" w:line="81"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Underwriters’ option to purchase additional shares of Class A</w:t>
      </w:r>
      <w:r>
        <w:rPr>
          <w:sz w:val="20"/>
          <w:szCs w:val="20"/>
          <w:color w:val="auto"/>
        </w:rPr>
        <w:tab/>
      </w:r>
      <w:r>
        <w:rPr>
          <w:rFonts w:ascii="Arial" w:cs="Arial" w:eastAsia="Arial" w:hAnsi="Arial"/>
          <w:sz w:val="17"/>
          <w:szCs w:val="17"/>
          <w:color w:val="auto"/>
        </w:rPr>
        <w:t>1,031,250 shares</w:t>
      </w:r>
    </w:p>
    <w:p>
      <w:pPr>
        <w:ind w:left="460"/>
        <w:spacing w:after="0"/>
        <w:rPr>
          <w:sz w:val="20"/>
          <w:szCs w:val="20"/>
          <w:color w:val="auto"/>
        </w:rPr>
      </w:pPr>
      <w:r>
        <w:rPr>
          <w:rFonts w:ascii="Arial" w:cs="Arial" w:eastAsia="Arial" w:hAnsi="Arial"/>
          <w:sz w:val="18"/>
          <w:szCs w:val="18"/>
          <w:color w:val="auto"/>
        </w:rPr>
        <w:t>common stock offered by us</w:t>
      </w:r>
    </w:p>
    <w:p>
      <w:pPr>
        <w:sectPr>
          <w:pgSz w:w="11900" w:h="16838" w:orient="portrait"/>
          <w:cols w:equalWidth="0" w:num="1">
            <w:col w:w="10860"/>
          </w:cols>
          <w:pgMar w:left="320" w:top="456" w:right="719" w:bottom="1440" w:gutter="0" w:footer="0" w:header="0"/>
        </w:sectPr>
      </w:pPr>
    </w:p>
    <w:p>
      <w:pPr>
        <w:spacing w:after="0" w:line="87" w:lineRule="exact"/>
        <w:rPr>
          <w:sz w:val="20"/>
          <w:szCs w:val="20"/>
          <w:color w:val="auto"/>
        </w:rPr>
      </w:pPr>
    </w:p>
    <w:p>
      <w:pPr>
        <w:ind w:left="460" w:hanging="106"/>
        <w:spacing w:after="0" w:line="239"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42,873,435 shares (or 43,904,685 shares if the underwriters exercise their option to purchase additional shares in full)</w:t>
      </w:r>
    </w:p>
    <w:p>
      <w:pPr>
        <w:spacing w:after="0" w:line="5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estimate that our net proceeds from the sale of our Class A common stock that we are offering will be approximately $252.4 million (or approximately $290.9 million if the underwriters’ option to purchase additional shares of our Class A common stock from us is exercised in full), assuming an initial public offering price of $40.00 per share, the midpoint of the estimated price range set forth on the cover page of this prospectus, and after deducting estimated underwriting discounts and commissions and estimated offering expenses.</w:t>
      </w:r>
    </w:p>
    <w:p>
      <w:pPr>
        <w:spacing w:after="0" w:line="6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from this offering to repay our outstanding indebtedness under our Amended Loan and Security Agreement (as defined in the section titled “Management’s Discussion of Financial and Analysis of Financial Condition and Results of Operations—Liquidity and Capital Resources—Term Loan Facility”), which matures on May 1, 2022 under which $15.8 million was outstanding at an annual interest rate of 8.7% as of March 31, 2021. In addition, we may also use a</w:t>
      </w:r>
    </w:p>
    <w:p>
      <w:pPr>
        <w:spacing w:after="0" w:line="200" w:lineRule="exact"/>
        <w:rPr>
          <w:sz w:val="20"/>
          <w:szCs w:val="20"/>
          <w:color w:val="auto"/>
        </w:rPr>
      </w:pPr>
    </w:p>
    <w:p>
      <w:pPr>
        <w:sectPr>
          <w:pgSz w:w="11900" w:h="16838" w:orient="portrait"/>
          <w:cols w:equalWidth="0" w:num="2">
            <w:col w:w="5240" w:space="580"/>
            <w:col w:w="5040"/>
          </w:cols>
          <w:pgMar w:left="320" w:top="456" w:right="71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60"/>
          </w:cols>
          <w:pgMar w:left="320" w:top="456" w:right="7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90"/>
        </w:trPr>
        <w:tc>
          <w:tcPr>
            <w:tcW w:w="36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color w:val="auto"/>
              </w:rPr>
              <w:t>portion of the net proceeds from this offering to acquire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complementary businesses, products, services or technologies.</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However, we do not have agreements or commitments to enter</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into any acquisitions at this time. See the section titled “Use of</w:t>
            </w:r>
          </w:p>
        </w:tc>
      </w:tr>
      <w:tr>
        <w:trPr>
          <w:trHeight w:val="213"/>
        </w:trPr>
        <w:tc>
          <w:tcPr>
            <w:tcW w:w="36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Proceeds” for additional information.</w:t>
            </w:r>
          </w:p>
        </w:tc>
      </w:tr>
      <w:tr>
        <w:trPr>
          <w:trHeight w:val="268"/>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Voting rights</w:t>
            </w: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Following this offering, we will have two classes of common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stock: Class A common stock and Class B common stock.</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Class A common stock is entitled to one vote per share and</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Class B common stock is entitled to 20 votes per share.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addition, all shares of Class B common stock will automatically</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convert into shares of Class A common stock in certain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circumstances, including on the final conversion date, defined</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as the earlier of (a) the seventh anniversary of this offering, or</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(b) the date specified by the vote of the holders of a majority of</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the outstanding shares of Class B common stock. See the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section titled “Description of Capital Stock—Class A Common</w:t>
            </w:r>
          </w:p>
        </w:tc>
      </w:tr>
      <w:tr>
        <w:trPr>
          <w:trHeight w:val="213"/>
        </w:trPr>
        <w:tc>
          <w:tcPr>
            <w:tcW w:w="36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Stock and Class B Common Stock.”</w:t>
            </w:r>
          </w:p>
        </w:tc>
      </w:tr>
      <w:tr>
        <w:trPr>
          <w:trHeight w:val="268"/>
        </w:trPr>
        <w:tc>
          <w:tcPr>
            <w:tcW w:w="3620" w:type="dxa"/>
            <w:vAlign w:val="bottom"/>
            <w:tcBorders>
              <w:left w:val="single" w:sz="8" w:color="auto"/>
            </w:tcBorders>
          </w:tcPr>
          <w:p>
            <w:pPr>
              <w:spacing w:after="0"/>
              <w:rPr>
                <w:sz w:val="23"/>
                <w:szCs w:val="23"/>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Holders of Class A common stock and Class B common stock</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will generally vote together as a single class, unless otherwise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required by law or our amended and restated certificate of</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incorporation that will be in effect on the completion of this</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offering. Immediately following the completion of this offering, all</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shares of our Class B common stock will be held by Randolph</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Altschuler, our Chief Executive Officer and Co-Founder, and</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Laurence Zuriff, our Chief Strategy Officer and Co-Founder. The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holders of our Class B common stock will hold approximately</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57.1% (or approximately 56.5% if the underwriters’ option to</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purchase additional shares of our common stock is exercised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full) of the voting power of our capital stock following this</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offering and will have the ability to control the outcome of most</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matters submitted to our stockholders for approval, including the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election of our directors and the approval of any change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control transaction. See the sections titled “Principal</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Stockholders” and “Description of Capital Stock” for additional</w:t>
            </w:r>
          </w:p>
        </w:tc>
      </w:tr>
      <w:tr>
        <w:trPr>
          <w:trHeight w:val="213"/>
        </w:trPr>
        <w:tc>
          <w:tcPr>
            <w:tcW w:w="36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information.</w:t>
            </w:r>
          </w:p>
        </w:tc>
      </w:tr>
      <w:tr>
        <w:trPr>
          <w:trHeight w:val="268"/>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Indications of Interest</w:t>
            </w: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Certain funds and accounts advised or sub-advised by T. Rowe</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Price Associates, Inc. have indicated a non-binding interest in</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purchasing up to an aggregate of $40 million in shares of our</w:t>
            </w:r>
          </w:p>
        </w:tc>
      </w:tr>
      <w:tr>
        <w:trPr>
          <w:trHeight w:val="201"/>
        </w:trPr>
        <w:tc>
          <w:tcPr>
            <w:tcW w:w="36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2040"/>
              <w:spacing w:after="0" w:line="201" w:lineRule="exact"/>
              <w:rPr>
                <w:sz w:val="20"/>
                <w:szCs w:val="20"/>
                <w:color w:val="auto"/>
              </w:rPr>
            </w:pPr>
            <w:r>
              <w:rPr>
                <w:rFonts w:ascii="Arial" w:cs="Arial" w:eastAsia="Arial" w:hAnsi="Arial"/>
                <w:sz w:val="18"/>
                <w:szCs w:val="18"/>
                <w:color w:val="auto"/>
              </w:rPr>
              <w:t>Class A common stock being offered in this offering at the initial</w:t>
            </w:r>
          </w:p>
        </w:tc>
      </w:tr>
      <w:tr>
        <w:trPr>
          <w:trHeight w:val="213"/>
        </w:trPr>
        <w:tc>
          <w:tcPr>
            <w:tcW w:w="36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public offering price. One or</w:t>
            </w:r>
          </w:p>
        </w:tc>
      </w:tr>
      <w:tr>
        <w:trPr>
          <w:trHeight w:val="226"/>
        </w:trPr>
        <w:tc>
          <w:tcPr>
            <w:tcW w:w="3620" w:type="dxa"/>
            <w:vAlign w:val="bottom"/>
            <w:tcBorders>
              <w:left w:val="single" w:sz="8" w:color="auto"/>
              <w:bottom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spacing w:after="0"/>
              <w:rPr>
                <w:sz w:val="19"/>
                <w:szCs w:val="19"/>
                <w:color w:val="auto"/>
              </w:rPr>
            </w:pPr>
          </w:p>
        </w:tc>
      </w:tr>
      <w:tr>
        <w:trPr>
          <w:trHeight w:val="356"/>
        </w:trPr>
        <w:tc>
          <w:tcPr>
            <w:tcW w:w="3620" w:type="dxa"/>
            <w:vAlign w:val="bottom"/>
          </w:tcPr>
          <w:p>
            <w:pPr>
              <w:spacing w:after="0"/>
              <w:rPr>
                <w:sz w:val="24"/>
                <w:szCs w:val="24"/>
                <w:color w:val="auto"/>
              </w:rPr>
            </w:pPr>
          </w:p>
        </w:tc>
        <w:tc>
          <w:tcPr>
            <w:tcW w:w="7300" w:type="dxa"/>
            <w:vAlign w:val="bottom"/>
          </w:tcPr>
          <w:p>
            <w:pPr>
              <w:ind w:left="17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58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4200" cy="5558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w w:val="99"/>
              </w:rPr>
              <w:t>more funds advised by Capital World Investors have indicated a</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non-binding interest in purchasing up to an aggregate of $30</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million in shares of our Class A common stock being offered in</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this offering at the initial public offering price. These indications</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of interest have been made severally but not jointly. As these</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indications of interest are not binding agreements or</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commitments to purchase, such funds and accounts advised or</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w w:val="99"/>
              </w:rPr>
              <w:t>sub-advised by T. Rowe Price Associates, Inc. and one or more</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funds advised by Capital World Investors may determine to</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purchase more, fewer or no shares in this offering or the</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underwriters may determine to sell more, fewer or no shares to</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such funds and accounts advised or sub-advised by T. Rowe</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w w:val="98"/>
              </w:rPr>
              <w:t>Price Associates, Inc. and one or more funds advised by Capital</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World Investors. The underwriters will receive the same</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w w:val="99"/>
              </w:rPr>
              <w:t>discount on any shares of Class A common stock purchased by</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such funds and accounts advised or sub-advised by T. Rowe</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w w:val="98"/>
              </w:rPr>
              <w:t>Price Associates, Inc. and one or more funds advised by Capital</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World Investors as they will on any other shares of Class A</w:t>
            </w:r>
          </w:p>
        </w:tc>
      </w:tr>
      <w:tr>
        <w:trPr>
          <w:trHeight w:val="213"/>
        </w:trPr>
        <w:tc>
          <w:tcPr>
            <w:tcW w:w="4040" w:type="dxa"/>
            <w:vAlign w:val="bottom"/>
          </w:tcPr>
          <w:p>
            <w:pPr>
              <w:spacing w:after="0"/>
              <w:rPr>
                <w:sz w:val="18"/>
                <w:szCs w:val="18"/>
                <w:color w:val="auto"/>
              </w:rPr>
            </w:pP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common stock sold to the public in this offering.</w:t>
            </w:r>
          </w:p>
        </w:tc>
      </w:tr>
      <w:tr>
        <w:trPr>
          <w:trHeight w:val="256"/>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6480" w:type="dxa"/>
            <w:vAlign w:val="bottom"/>
            <w:gridSpan w:val="3"/>
          </w:tcPr>
          <w:p>
            <w:pPr>
              <w:ind w:left="1420"/>
              <w:spacing w:after="0"/>
              <w:rPr>
                <w:rFonts w:ascii="Arial" w:cs="Arial" w:eastAsia="Arial" w:hAnsi="Arial"/>
                <w:sz w:val="18"/>
                <w:szCs w:val="18"/>
                <w:color w:val="auto"/>
              </w:rPr>
            </w:pPr>
            <w:r>
              <w:rPr>
                <w:rFonts w:ascii="Arial" w:cs="Arial" w:eastAsia="Arial" w:hAnsi="Arial"/>
                <w:sz w:val="18"/>
                <w:szCs w:val="18"/>
                <w:color w:val="auto"/>
              </w:rPr>
              <w:t>You should carefully read the section titled “</w:t>
            </w:r>
            <w:hyperlink w:anchor="page25">
              <w:r>
                <w:rPr>
                  <w:rFonts w:ascii="Arial" w:cs="Arial" w:eastAsia="Arial" w:hAnsi="Arial"/>
                  <w:sz w:val="18"/>
                  <w:szCs w:val="18"/>
                  <w:color w:val="0000EE"/>
                </w:rPr>
                <w:t>Risk Factors</w:t>
              </w:r>
            </w:hyperlink>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4040" w:type="dxa"/>
            <w:vAlign w:val="bottom"/>
          </w:tcPr>
          <w:p>
            <w:pPr>
              <w:spacing w:after="0"/>
              <w:rPr>
                <w:sz w:val="17"/>
                <w:szCs w:val="17"/>
                <w:color w:val="auto"/>
              </w:rPr>
            </w:pP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beginning on page 18 and the other information included in this</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prospectus for a discussion of facts that you should consider</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before deciding to invest in shares of our Class A common</w:t>
            </w:r>
          </w:p>
        </w:tc>
      </w:tr>
      <w:tr>
        <w:trPr>
          <w:trHeight w:val="213"/>
        </w:trPr>
        <w:tc>
          <w:tcPr>
            <w:tcW w:w="4040" w:type="dxa"/>
            <w:vAlign w:val="bottom"/>
          </w:tcPr>
          <w:p>
            <w:pPr>
              <w:spacing w:after="0"/>
              <w:rPr>
                <w:sz w:val="18"/>
                <w:szCs w:val="18"/>
                <w:color w:val="auto"/>
              </w:rPr>
            </w:pP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stock.</w:t>
            </w:r>
          </w:p>
        </w:tc>
      </w:tr>
      <w:tr>
        <w:trPr>
          <w:trHeight w:val="281"/>
        </w:trPr>
        <w:tc>
          <w:tcPr>
            <w:tcW w:w="4040" w:type="dxa"/>
            <w:vAlign w:val="bottom"/>
          </w:tcPr>
          <w:p>
            <w:pPr>
              <w:spacing w:after="0"/>
              <w:rPr>
                <w:sz w:val="20"/>
                <w:szCs w:val="20"/>
                <w:color w:val="auto"/>
              </w:rPr>
            </w:pPr>
            <w:r>
              <w:rPr>
                <w:rFonts w:ascii="Arial" w:cs="Arial" w:eastAsia="Arial" w:hAnsi="Arial"/>
                <w:sz w:val="18"/>
                <w:szCs w:val="18"/>
                <w:color w:val="auto"/>
              </w:rPr>
              <w:t>Proposed Nasdaq trading symbol</w:t>
            </w: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“XMTR”</w:t>
            </w:r>
          </w:p>
        </w:tc>
      </w:tr>
    </w:tbl>
    <w:p>
      <w:pPr>
        <w:spacing w:after="0" w:line="215" w:lineRule="exact"/>
        <w:rPr>
          <w:sz w:val="20"/>
          <w:szCs w:val="20"/>
          <w:color w:val="auto"/>
        </w:rPr>
      </w:pPr>
    </w:p>
    <w:p>
      <w:pPr>
        <w:ind w:left="340" w:right="40" w:firstLine="527"/>
        <w:spacing w:after="0" w:line="237"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33,322,281 shares of Class A common stock and 2,676,154 shares of Class B common stock outstanding as of March 31, 2021 and excludes:</w:t>
      </w:r>
    </w:p>
    <w:p>
      <w:pPr>
        <w:spacing w:after="0" w:line="109" w:lineRule="exact"/>
        <w:rPr>
          <w:sz w:val="20"/>
          <w:szCs w:val="20"/>
          <w:color w:val="auto"/>
        </w:rPr>
      </w:pPr>
    </w:p>
    <w:p>
      <w:pPr>
        <w:ind w:left="1060" w:right="120" w:hanging="190"/>
        <w:spacing w:after="0" w:line="23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Equity Incentive Plan, or 2016 Plan, and the Nextline Manufacturing Corp. 2014 Stock Option Plan, or 2014 Plan, with a weighted-average exercise price of $3.43 per share;</w:t>
      </w:r>
    </w:p>
    <w:p>
      <w:pPr>
        <w:spacing w:after="0" w:line="108" w:lineRule="exact"/>
        <w:rPr>
          <w:rFonts w:ascii="Arial" w:cs="Arial" w:eastAsia="Arial" w:hAnsi="Arial"/>
          <w:sz w:val="18"/>
          <w:szCs w:val="18"/>
          <w:color w:val="auto"/>
        </w:rPr>
      </w:pPr>
    </w:p>
    <w:p>
      <w:pPr>
        <w:ind w:left="1060" w:right="160" w:hanging="190"/>
        <w:spacing w:after="0" w:line="23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1,308,381 shares of Class A common stock issuable upon the exercise of outstanding stock options issued after March 31, 2021 pursuant to our 2016 Plan with a weighted-average exercise price of $12.32 per share;</w:t>
      </w:r>
    </w:p>
    <w:p>
      <w:pPr>
        <w:spacing w:after="0" w:line="109" w:lineRule="exact"/>
        <w:rPr>
          <w:rFonts w:ascii="Arial" w:cs="Arial" w:eastAsia="Arial" w:hAnsi="Arial"/>
          <w:sz w:val="18"/>
          <w:szCs w:val="18"/>
          <w:color w:val="auto"/>
        </w:rPr>
      </w:pPr>
    </w:p>
    <w:p>
      <w:pPr>
        <w:ind w:left="1060" w:right="240" w:hanging="190"/>
        <w:spacing w:after="0" w:line="23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112,026 shares of Class A common stock issuable upon the exercise of warrants outstanding as of March 31, 2021 with a weighted-average exercise price of $4.37 per share;</w:t>
      </w:r>
    </w:p>
    <w:p>
      <w:pPr>
        <w:spacing w:after="0" w:line="109" w:lineRule="exact"/>
        <w:rPr>
          <w:rFonts w:ascii="Arial" w:cs="Arial" w:eastAsia="Arial" w:hAnsi="Arial"/>
          <w:sz w:val="18"/>
          <w:szCs w:val="18"/>
          <w:color w:val="auto"/>
        </w:rPr>
      </w:pPr>
    </w:p>
    <w:p>
      <w:pPr>
        <w:ind w:left="1060" w:right="60" w:hanging="190"/>
        <w:spacing w:after="0" w:line="23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Equity Incentive Plan, or 2021 Plan (which does not give effect to the contemplated director nominee</w:t>
      </w: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320" w:top="456"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7579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34200" cy="37579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440"/>
        <w:spacing w:after="0" w:line="236" w:lineRule="auto"/>
        <w:rPr>
          <w:sz w:val="20"/>
          <w:szCs w:val="20"/>
          <w:color w:val="auto"/>
        </w:rPr>
      </w:pPr>
      <w:r>
        <w:rPr>
          <w:rFonts w:ascii="Arial" w:cs="Arial" w:eastAsia="Arial" w:hAnsi="Arial"/>
          <w:sz w:val="18"/>
          <w:szCs w:val="18"/>
          <w:color w:val="auto"/>
        </w:rPr>
        <w:t>grant described under “Management—Non-Employee Director Compensation”), which will become effective upon the execution of the underwriting agreement for this offering, as well as any future increases, including annual automatic evergreen increases, in the number of shares of Class A common stock reserved for issuance under our 2021 Plan, as more fully described in the section titled “Executive Compensation—Equity Incentive Plans”; and</w:t>
      </w:r>
    </w:p>
    <w:p>
      <w:pPr>
        <w:spacing w:after="0" w:line="109" w:lineRule="exact"/>
        <w:rPr>
          <w:sz w:val="20"/>
          <w:szCs w:val="20"/>
          <w:color w:val="auto"/>
        </w:rPr>
      </w:pPr>
    </w:p>
    <w:p>
      <w:pPr>
        <w:ind w:left="1060" w:right="120" w:hanging="190"/>
        <w:spacing w:after="0" w:line="23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114" w:lineRule="exact"/>
        <w:rPr>
          <w:sz w:val="20"/>
          <w:szCs w:val="20"/>
          <w:color w:val="auto"/>
        </w:rPr>
      </w:pPr>
    </w:p>
    <w:p>
      <w:pPr>
        <w:ind w:left="1060" w:right="28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which will be in effect on the completion of this offering, and associated authorization of our Class A common stock and Class B common stock;</w:t>
      </w:r>
    </w:p>
    <w:p>
      <w:pPr>
        <w:spacing w:after="0" w:line="109" w:lineRule="exact"/>
        <w:rPr>
          <w:rFonts w:ascii="Arial" w:cs="Arial" w:eastAsia="Arial" w:hAnsi="Arial"/>
          <w:sz w:val="18"/>
          <w:szCs w:val="18"/>
          <w:color w:val="auto"/>
        </w:rPr>
      </w:pPr>
    </w:p>
    <w:p>
      <w:pPr>
        <w:ind w:left="1060" w:right="24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reclassification of our outstanding common stock into Class A common stock, which will occur immediately prior to the completion of this offering;</w:t>
      </w:r>
    </w:p>
    <w:p>
      <w:pPr>
        <w:spacing w:after="0" w:line="109" w:lineRule="exact"/>
        <w:rPr>
          <w:rFonts w:ascii="Arial" w:cs="Arial" w:eastAsia="Arial" w:hAnsi="Arial"/>
          <w:sz w:val="18"/>
          <w:szCs w:val="18"/>
          <w:color w:val="auto"/>
        </w:rPr>
      </w:pPr>
    </w:p>
    <w:p>
      <w:pPr>
        <w:ind w:left="1060" w:right="22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conversion of all of our outstanding convertible preferred stock into an equal number of shares of our Class A common stock, which will occur immediately prior to the completion of this offering;</w:t>
      </w:r>
    </w:p>
    <w:p>
      <w:pPr>
        <w:spacing w:after="0" w:line="109" w:lineRule="exact"/>
        <w:rPr>
          <w:rFonts w:ascii="Arial" w:cs="Arial" w:eastAsia="Arial" w:hAnsi="Arial"/>
          <w:sz w:val="18"/>
          <w:szCs w:val="18"/>
          <w:color w:val="auto"/>
        </w:rPr>
      </w:pPr>
    </w:p>
    <w:p>
      <w:pPr>
        <w:ind w:left="1060" w:hanging="190"/>
        <w:spacing w:after="0" w:line="23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exchange of an aggregate of 2,676,154 shares of Class A common stock held by our co-founders for an equivalent number of shares of our Class B common stock, which will occur immediately prior to the completion of this offering pursuant to the terms of an exchange agreement to be entered into with us;</w:t>
      </w:r>
    </w:p>
    <w:p>
      <w:pPr>
        <w:spacing w:after="0" w:line="108" w:lineRule="exact"/>
        <w:rPr>
          <w:rFonts w:ascii="Arial" w:cs="Arial" w:eastAsia="Arial" w:hAnsi="Arial"/>
          <w:sz w:val="18"/>
          <w:szCs w:val="18"/>
          <w:color w:val="auto"/>
        </w:rPr>
      </w:pPr>
    </w:p>
    <w:p>
      <w:pPr>
        <w:ind w:left="1060" w:right="40" w:hanging="190"/>
        <w:spacing w:after="0" w:line="23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reclassification of shares of convertible preferred stock issuable upon exercise of outstanding warrants into an equal number of shares of our Class A common stock issuable upon exercise of warrants, which will occur immediately prior to the completion of this offering; and</w:t>
      </w:r>
    </w:p>
    <w:p>
      <w:pPr>
        <w:spacing w:after="0" w:line="108" w:lineRule="exact"/>
        <w:rPr>
          <w:rFonts w:ascii="Arial" w:cs="Arial" w:eastAsia="Arial" w:hAnsi="Arial"/>
          <w:sz w:val="18"/>
          <w:szCs w:val="18"/>
          <w:color w:val="auto"/>
        </w:rPr>
      </w:pPr>
    </w:p>
    <w:p>
      <w:pPr>
        <w:ind w:left="1060" w:right="2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up to an additional 1,031,250 shares of Class A common stock from us in this offering.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320" w:top="456"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51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2" w:lineRule="exact"/>
        <w:rPr>
          <w:sz w:val="20"/>
          <w:szCs w:val="20"/>
          <w:color w:val="auto"/>
        </w:rPr>
      </w:pPr>
    </w:p>
    <w:p>
      <w:pPr>
        <w:ind w:left="340" w:firstLine="527"/>
        <w:spacing w:after="0" w:line="245" w:lineRule="auto"/>
        <w:rPr>
          <w:sz w:val="20"/>
          <w:szCs w:val="20"/>
          <w:color w:val="auto"/>
        </w:rPr>
      </w:pPr>
      <w:r>
        <w:rPr>
          <w:rFonts w:ascii="Arial" w:cs="Arial" w:eastAsia="Arial" w:hAnsi="Arial"/>
          <w:sz w:val="16"/>
          <w:szCs w:val="16"/>
          <w:color w:val="auto"/>
        </w:rPr>
        <w:t>The summary consolidated statement of operations data for the years ended December 31, 2019 and December 31, 2020 have been derived from our audited consolidated financial statements included elsewhere in this prospectus. We have derived the summary consolidated statements of operations data for the three months ended March 31, 2020 and 2021 and the consolidated balance sheet data as of March 31, 2021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management’s opinion, are necessary to state fairly the information set forth in those consolidated financial statements. Our historical results are not necessarily indicative of the results that may be expected in the future and our results for the three months ended March 31, 2021 are not necessarily indicative of the results that may be expected for the full year ending December 31, 2021 or any other period.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The summary consolidated statement of operations data is not intended to replace the consolidated financial statements and the accompanying notes and are qualified in their entirety by our consolidated financial statements and the accompanying notes included elsewhere in the prospectus.</w:t>
      </w:r>
    </w:p>
    <w:p>
      <w:pPr>
        <w:sectPr>
          <w:pgSz w:w="11900" w:h="16838" w:orient="portrait"/>
          <w:cols w:equalWidth="0" w:num="1">
            <w:col w:w="10900"/>
          </w:cols>
          <w:pgMar w:left="320" w:top="456" w:right="679" w:bottom="1440" w:gutter="0" w:footer="0" w:header="0"/>
        </w:sect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Year Ended December 31,</w:t>
      </w:r>
    </w:p>
    <w:p>
      <w:pPr>
        <w:spacing w:after="0" w:line="26" w:lineRule="exact"/>
        <w:rPr>
          <w:sz w:val="20"/>
          <w:szCs w:val="20"/>
          <w:color w:val="auto"/>
        </w:rPr>
      </w:pPr>
    </w:p>
    <w:p>
      <w:pPr>
        <w:ind w:left="5760"/>
        <w:spacing w:after="0"/>
        <w:tabs>
          <w:tab w:leader="none" w:pos="72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Quarter Ended March 31,</w:t>
      </w:r>
    </w:p>
    <w:p>
      <w:pPr>
        <w:spacing w:after="0" w:line="26"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7960" w:space="720"/>
            <w:col w:w="2220"/>
          </w:cols>
          <w:pgMar w:left="320" w:top="456" w:right="679" w:bottom="1440" w:gutter="0" w:footer="0" w:header="0"/>
          <w:type w:val="continuous"/>
        </w:sectPr>
      </w:pPr>
    </w:p>
    <w:tbl>
      <w:tblPr>
        <w:tblLayout w:type="fixed"/>
        <w:tblInd w:w="360" w:type="dxa"/>
        <w:tblCellMar>
          <w:top w:w="0" w:type="dxa"/>
          <w:left w:w="0" w:type="dxa"/>
          <w:bottom w:w="0" w:type="dxa"/>
          <w:right w:w="0" w:type="dxa"/>
        </w:tblCellMar>
      </w:tblPr>
      <w:tr>
        <w:trPr>
          <w:trHeight w:val="141"/>
        </w:trPr>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40"/>
              <w:spacing w:after="0" w:line="141" w:lineRule="exact"/>
              <w:rPr>
                <w:sz w:val="20"/>
                <w:szCs w:val="20"/>
                <w:color w:val="auto"/>
              </w:rPr>
            </w:pPr>
            <w:r>
              <w:rPr>
                <w:rFonts w:ascii="Arial" w:cs="Arial" w:eastAsia="Arial" w:hAnsi="Arial"/>
                <w:sz w:val="14"/>
                <w:szCs w:val="14"/>
                <w:b w:val="1"/>
                <w:bCs w:val="1"/>
                <w:color w:val="auto"/>
              </w:rPr>
              <w:t>(unaudited)</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80,228</w:t>
            </w:r>
          </w:p>
        </w:tc>
        <w:tc>
          <w:tcPr>
            <w:tcW w:w="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141,406</w:t>
            </w:r>
          </w:p>
        </w:tc>
        <w:tc>
          <w:tcPr>
            <w:tcW w:w="28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26,689</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43,922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65,492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108,120</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21,324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14,736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33,286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5,365</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14,599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22,567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4,730</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 and support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14,111</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ind w:left="280"/>
              <w:spacing w:after="0"/>
              <w:rPr>
                <w:sz w:val="20"/>
                <w:szCs w:val="20"/>
                <w:color w:val="auto"/>
              </w:rPr>
            </w:pPr>
            <w:r>
              <w:rPr>
                <w:rFonts w:ascii="Arial" w:cs="Arial" w:eastAsia="Arial" w:hAnsi="Arial"/>
                <w:sz w:val="14"/>
                <w:szCs w:val="14"/>
                <w:color w:val="auto"/>
              </w:rPr>
              <w:t>Product development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10,637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12,186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2,958</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12,046</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860" w:type="dxa"/>
            <w:vAlign w:val="bottom"/>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operating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45,285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62,502</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13,717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(30,549)</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(29,216)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(8,352)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(10,049)</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(241)</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(1,089)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(204)</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(780)</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Total other expenses</w:t>
            </w: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(445)</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(1,869)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(255)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(30,994)</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(31,085)</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(8,607)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Deemed dividend to preferred stockholders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(8,801)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(30,994)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(39,886)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(8,607)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60" w:type="dxa"/>
            <w:vAlign w:val="bottom"/>
          </w:tcPr>
          <w:p>
            <w:pPr>
              <w:spacing w:after="0" w:line="154" w:lineRule="exact"/>
              <w:rPr>
                <w:sz w:val="20"/>
                <w:szCs w:val="20"/>
                <w:color w:val="auto"/>
              </w:rPr>
            </w:pPr>
            <w:r>
              <w:rPr>
                <w:rFonts w:ascii="Arial" w:cs="Arial" w:eastAsia="Arial" w:hAnsi="Arial"/>
                <w:sz w:val="14"/>
                <w:szCs w:val="14"/>
                <w:color w:val="auto"/>
              </w:rPr>
              <w:t>Net loss per share attributable to common stockholders, basic and diluted</w:t>
            </w:r>
          </w:p>
        </w:tc>
        <w:tc>
          <w:tcPr>
            <w:tcW w:w="4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(4.88)</w:t>
            </w:r>
          </w:p>
        </w:tc>
        <w:tc>
          <w:tcPr>
            <w:tcW w:w="58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(5.32)</w:t>
            </w:r>
          </w:p>
        </w:tc>
        <w:tc>
          <w:tcPr>
            <w:tcW w:w="4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(1.17)</w:t>
            </w:r>
          </w:p>
        </w:tc>
        <w:tc>
          <w:tcPr>
            <w:tcW w:w="24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6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Weighted-average shares used to compute net loss per share attributable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60" w:type="dxa"/>
            <w:vAlign w:val="bottom"/>
            <w:shd w:val="clear" w:color="auto" w:fill="CCEEFF"/>
          </w:tcPr>
          <w:p>
            <w:pPr>
              <w:ind w:left="140"/>
              <w:spacing w:after="0" w:line="163" w:lineRule="exact"/>
              <w:rPr>
                <w:sz w:val="20"/>
                <w:szCs w:val="20"/>
                <w:color w:val="auto"/>
              </w:rPr>
            </w:pPr>
            <w:r>
              <w:rPr>
                <w:rFonts w:ascii="Arial" w:cs="Arial" w:eastAsia="Arial" w:hAnsi="Arial"/>
                <w:sz w:val="11"/>
                <w:szCs w:val="11"/>
                <w:color w:val="auto"/>
              </w:rPr>
              <w:t>to common stockholders, basic and diluted</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6,345,498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7,492,876</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7,354,673</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7,924,848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Pro forma earnings per share attributable to common stockholders, basic</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40"/>
              <w:spacing w:after="0" w:line="156" w:lineRule="exact"/>
              <w:rPr>
                <w:sz w:val="20"/>
                <w:szCs w:val="20"/>
                <w:color w:val="auto"/>
              </w:rPr>
            </w:pPr>
            <w:r>
              <w:rPr>
                <w:rFonts w:ascii="Arial" w:cs="Arial" w:eastAsia="Arial" w:hAnsi="Arial"/>
                <w:sz w:val="14"/>
                <w:szCs w:val="14"/>
                <w:color w:val="auto"/>
              </w:rPr>
              <w:t>and diluted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(1.17)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Weighted-average shares used to compute pro forma earnings per share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attributable to common stockholders, basic and diluted</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33,998,591</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35,683,789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6" w:right="6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38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4200" cy="583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60" w:right="160" w:hanging="412"/>
        <w:spacing w:after="0" w:line="246"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Note 11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As of March 31, 2021</w:t>
            </w:r>
          </w:p>
        </w:tc>
      </w:tr>
      <w:tr>
        <w:trPr>
          <w:trHeight w:val="137"/>
        </w:trPr>
        <w:tc>
          <w:tcPr>
            <w:tcW w:w="49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501"/>
              <w:spacing w:after="0" w:line="137" w:lineRule="exact"/>
              <w:rPr>
                <w:sz w:val="20"/>
                <w:szCs w:val="20"/>
                <w:color w:val="auto"/>
              </w:rPr>
            </w:pPr>
            <w:r>
              <w:rPr>
                <w:rFonts w:ascii="Arial" w:cs="Arial" w:eastAsia="Arial" w:hAnsi="Arial"/>
                <w:sz w:val="14"/>
                <w:szCs w:val="14"/>
                <w:b w:val="1"/>
                <w:bCs w:val="1"/>
                <w:color w:val="auto"/>
              </w:rPr>
              <w:t>Pro</w:t>
            </w:r>
          </w:p>
        </w:tc>
        <w:tc>
          <w:tcPr>
            <w:tcW w:w="12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1"/>
                <w:szCs w:val="11"/>
                <w:color w:val="auto"/>
              </w:rPr>
            </w:pPr>
          </w:p>
        </w:tc>
      </w:tr>
      <w:tr>
        <w:trPr>
          <w:trHeight w:val="177"/>
        </w:trPr>
        <w:tc>
          <w:tcPr>
            <w:tcW w:w="4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80" w:type="dxa"/>
            <w:vAlign w:val="bottom"/>
          </w:tcPr>
          <w:p>
            <w:pPr>
              <w:jc w:val="right"/>
              <w:ind w:right="289"/>
              <w:spacing w:after="0"/>
              <w:rPr>
                <w:sz w:val="20"/>
                <w:szCs w:val="20"/>
                <w:color w:val="auto"/>
              </w:rPr>
            </w:pPr>
            <w:r>
              <w:rPr>
                <w:rFonts w:ascii="Arial" w:cs="Arial" w:eastAsia="Arial" w:hAnsi="Arial"/>
                <w:sz w:val="14"/>
                <w:szCs w:val="14"/>
                <w:b w:val="1"/>
                <w:bCs w:val="1"/>
                <w:color w:val="auto"/>
              </w:rPr>
              <w:t>Actual</w:t>
            </w:r>
          </w:p>
        </w:tc>
        <w:tc>
          <w:tcPr>
            <w:tcW w:w="1380" w:type="dxa"/>
            <w:vAlign w:val="bottom"/>
          </w:tcPr>
          <w:p>
            <w:pPr>
              <w:jc w:val="right"/>
              <w:ind w:right="341"/>
              <w:spacing w:after="0" w:line="177" w:lineRule="exact"/>
              <w:rPr>
                <w:sz w:val="20"/>
                <w:szCs w:val="20"/>
                <w:color w:val="auto"/>
              </w:rPr>
            </w:pPr>
            <w:r>
              <w:rPr>
                <w:rFonts w:ascii="Arial" w:cs="Arial" w:eastAsia="Arial" w:hAnsi="Arial"/>
                <w:sz w:val="12"/>
                <w:szCs w:val="12"/>
                <w:b w:val="1"/>
                <w:bCs w:val="1"/>
                <w:color w:val="auto"/>
              </w:rPr>
              <w:t>Forma</w:t>
            </w:r>
            <w:r>
              <w:rPr>
                <w:rFonts w:ascii="Arial" w:cs="Arial" w:eastAsia="Arial" w:hAnsi="Arial"/>
                <w:sz w:val="20"/>
                <w:szCs w:val="20"/>
                <w:b w:val="1"/>
                <w:bCs w:val="1"/>
                <w:color w:val="auto"/>
                <w:vertAlign w:val="superscript"/>
              </w:rPr>
              <w:t>(1)</w:t>
            </w:r>
          </w:p>
        </w:tc>
        <w:tc>
          <w:tcPr>
            <w:tcW w:w="1260" w:type="dxa"/>
            <w:vAlign w:val="bottom"/>
            <w:gridSpan w:val="2"/>
          </w:tcPr>
          <w:p>
            <w:pPr>
              <w:jc w:val="center"/>
              <w:spacing w:after="0" w:line="177"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(2)(3)</w:t>
            </w:r>
          </w:p>
        </w:tc>
      </w:tr>
      <w:tr>
        <w:trPr>
          <w:trHeight w:val="141"/>
        </w:trPr>
        <w:tc>
          <w:tcPr>
            <w:tcW w:w="4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left="161"/>
              <w:spacing w:after="0" w:line="141"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4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jc w:val="center"/>
              <w:ind w:left="141"/>
              <w:spacing w:after="0"/>
              <w:rPr>
                <w:sz w:val="20"/>
                <w:szCs w:val="20"/>
                <w:color w:val="auto"/>
              </w:rPr>
            </w:pPr>
            <w:r>
              <w:rPr>
                <w:rFonts w:ascii="Arial" w:cs="Arial" w:eastAsia="Arial" w:hAnsi="Arial"/>
                <w:sz w:val="14"/>
                <w:szCs w:val="14"/>
                <w:b w:val="1"/>
                <w:bCs w:val="1"/>
                <w:color w:val="auto"/>
                <w:w w:val="99"/>
              </w:rPr>
              <w:t>(unaudited)</w:t>
            </w: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Balance Sheet Data:</w:t>
            </w:r>
          </w:p>
        </w:tc>
        <w:tc>
          <w:tcPr>
            <w:tcW w:w="2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490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3000" w:type="dxa"/>
            <w:vAlign w:val="bottom"/>
            <w:gridSpan w:val="2"/>
          </w:tcPr>
          <w:p>
            <w:pPr>
              <w:jc w:val="right"/>
              <w:ind w:right="89"/>
              <w:spacing w:after="0" w:line="201" w:lineRule="exact"/>
              <w:rPr>
                <w:sz w:val="20"/>
                <w:szCs w:val="20"/>
                <w:color w:val="auto"/>
              </w:rPr>
            </w:pPr>
            <w:r>
              <w:rPr>
                <w:rFonts w:ascii="Arial" w:cs="Arial" w:eastAsia="Arial" w:hAnsi="Arial"/>
                <w:sz w:val="18"/>
                <w:szCs w:val="18"/>
                <w:color w:val="auto"/>
              </w:rPr>
              <w:t>$  49,512</w:t>
            </w:r>
          </w:p>
        </w:tc>
        <w:tc>
          <w:tcPr>
            <w:tcW w:w="1380" w:type="dxa"/>
            <w:vAlign w:val="bottom"/>
          </w:tcPr>
          <w:p>
            <w:pPr>
              <w:jc w:val="right"/>
              <w:ind w:right="301"/>
              <w:spacing w:after="0" w:line="201" w:lineRule="exact"/>
              <w:rPr>
                <w:sz w:val="20"/>
                <w:szCs w:val="20"/>
                <w:color w:val="auto"/>
              </w:rPr>
            </w:pPr>
            <w:r>
              <w:rPr>
                <w:rFonts w:ascii="Arial" w:cs="Arial" w:eastAsia="Arial" w:hAnsi="Arial"/>
                <w:sz w:val="18"/>
                <w:szCs w:val="18"/>
                <w:color w:val="auto"/>
              </w:rPr>
              <w:t>$49,512</w:t>
            </w:r>
          </w:p>
        </w:tc>
        <w:tc>
          <w:tcPr>
            <w:tcW w:w="1200" w:type="dxa"/>
            <w:vAlign w:val="bottom"/>
          </w:tcPr>
          <w:p>
            <w:pPr>
              <w:jc w:val="right"/>
              <w:ind w:right="237"/>
              <w:spacing w:after="0" w:line="201" w:lineRule="exact"/>
              <w:rPr>
                <w:sz w:val="20"/>
                <w:szCs w:val="20"/>
                <w:color w:val="auto"/>
              </w:rPr>
            </w:pPr>
            <w:r>
              <w:rPr>
                <w:rFonts w:ascii="Arial" w:cs="Arial" w:eastAsia="Arial" w:hAnsi="Arial"/>
                <w:sz w:val="18"/>
                <w:szCs w:val="18"/>
                <w:color w:val="auto"/>
              </w:rPr>
              <w:t>$286,141</w:t>
            </w:r>
          </w:p>
        </w:tc>
        <w:tc>
          <w:tcPr>
            <w:tcW w:w="60" w:type="dxa"/>
            <w:vAlign w:val="bottom"/>
          </w:tcPr>
          <w:p>
            <w:pPr>
              <w:spacing w:after="0"/>
              <w:rPr>
                <w:sz w:val="17"/>
                <w:szCs w:val="17"/>
                <w:color w:val="auto"/>
              </w:rPr>
            </w:pPr>
          </w:p>
        </w:tc>
      </w:tr>
      <w:tr>
        <w:trPr>
          <w:trHeight w:val="201"/>
        </w:trPr>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assets</w:t>
            </w:r>
          </w:p>
        </w:tc>
        <w:tc>
          <w:tcPr>
            <w:tcW w:w="3000" w:type="dxa"/>
            <w:vAlign w:val="bottom"/>
            <w:gridSpan w:val="2"/>
            <w:shd w:val="clear" w:color="auto" w:fill="CCEEFF"/>
          </w:tcPr>
          <w:p>
            <w:pPr>
              <w:jc w:val="right"/>
              <w:ind w:right="89"/>
              <w:spacing w:after="0" w:line="201" w:lineRule="exact"/>
              <w:rPr>
                <w:sz w:val="20"/>
                <w:szCs w:val="20"/>
                <w:color w:val="auto"/>
              </w:rPr>
            </w:pPr>
            <w:r>
              <w:rPr>
                <w:rFonts w:ascii="Arial" w:cs="Arial" w:eastAsia="Arial" w:hAnsi="Arial"/>
                <w:sz w:val="18"/>
                <w:szCs w:val="18"/>
                <w:color w:val="auto"/>
              </w:rPr>
              <w:t>84,612</w:t>
            </w:r>
          </w:p>
        </w:tc>
        <w:tc>
          <w:tcPr>
            <w:tcW w:w="1380" w:type="dxa"/>
            <w:vAlign w:val="bottom"/>
            <w:shd w:val="clear" w:color="auto" w:fill="CCEEFF"/>
          </w:tcPr>
          <w:p>
            <w:pPr>
              <w:jc w:val="right"/>
              <w:ind w:right="301"/>
              <w:spacing w:after="0" w:line="201" w:lineRule="exact"/>
              <w:rPr>
                <w:sz w:val="20"/>
                <w:szCs w:val="20"/>
                <w:color w:val="auto"/>
              </w:rPr>
            </w:pPr>
            <w:r>
              <w:rPr>
                <w:rFonts w:ascii="Arial" w:cs="Arial" w:eastAsia="Arial" w:hAnsi="Arial"/>
                <w:sz w:val="18"/>
                <w:szCs w:val="18"/>
                <w:color w:val="auto"/>
              </w:rPr>
              <w:t>84,612</w:t>
            </w:r>
          </w:p>
        </w:tc>
        <w:tc>
          <w:tcPr>
            <w:tcW w:w="1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321,241</w:t>
            </w:r>
          </w:p>
        </w:tc>
        <w:tc>
          <w:tcPr>
            <w:tcW w:w="60" w:type="dxa"/>
            <w:vAlign w:val="bottom"/>
            <w:shd w:val="clear" w:color="auto" w:fill="CCEEFF"/>
          </w:tcPr>
          <w:p>
            <w:pPr>
              <w:spacing w:after="0"/>
              <w:rPr>
                <w:sz w:val="17"/>
                <w:szCs w:val="17"/>
                <w:color w:val="auto"/>
              </w:rPr>
            </w:pPr>
          </w:p>
        </w:tc>
      </w:tr>
      <w:tr>
        <w:trPr>
          <w:trHeight w:val="201"/>
        </w:trPr>
        <w:tc>
          <w:tcPr>
            <w:tcW w:w="4900" w:type="dxa"/>
            <w:vAlign w:val="bottom"/>
          </w:tcPr>
          <w:p>
            <w:pPr>
              <w:spacing w:after="0" w:line="201"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3000" w:type="dxa"/>
            <w:vAlign w:val="bottom"/>
            <w:gridSpan w:val="2"/>
          </w:tcPr>
          <w:p>
            <w:pPr>
              <w:jc w:val="right"/>
              <w:ind w:right="89"/>
              <w:spacing w:after="0" w:line="201" w:lineRule="exact"/>
              <w:rPr>
                <w:sz w:val="20"/>
                <w:szCs w:val="20"/>
                <w:color w:val="auto"/>
              </w:rPr>
            </w:pPr>
            <w:r>
              <w:rPr>
                <w:rFonts w:ascii="Arial" w:cs="Arial" w:eastAsia="Arial" w:hAnsi="Arial"/>
                <w:sz w:val="18"/>
                <w:szCs w:val="18"/>
                <w:color w:val="auto"/>
              </w:rPr>
              <w:t>30,319</w:t>
            </w:r>
          </w:p>
        </w:tc>
        <w:tc>
          <w:tcPr>
            <w:tcW w:w="1380" w:type="dxa"/>
            <w:vAlign w:val="bottom"/>
          </w:tcPr>
          <w:p>
            <w:pPr>
              <w:jc w:val="right"/>
              <w:ind w:right="301"/>
              <w:spacing w:after="0" w:line="201" w:lineRule="exact"/>
              <w:rPr>
                <w:sz w:val="20"/>
                <w:szCs w:val="20"/>
                <w:color w:val="auto"/>
              </w:rPr>
            </w:pPr>
            <w:r>
              <w:rPr>
                <w:rFonts w:ascii="Arial" w:cs="Arial" w:eastAsia="Arial" w:hAnsi="Arial"/>
                <w:sz w:val="18"/>
                <w:szCs w:val="18"/>
                <w:color w:val="auto"/>
              </w:rPr>
              <w:t>30,319</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282,757</w:t>
            </w:r>
          </w:p>
        </w:tc>
        <w:tc>
          <w:tcPr>
            <w:tcW w:w="60" w:type="dxa"/>
            <w:vAlign w:val="bottom"/>
          </w:tcPr>
          <w:p>
            <w:pPr>
              <w:spacing w:after="0"/>
              <w:rPr>
                <w:sz w:val="17"/>
                <w:szCs w:val="17"/>
                <w:color w:val="auto"/>
              </w:rPr>
            </w:pPr>
          </w:p>
        </w:tc>
      </w:tr>
      <w:tr>
        <w:trPr>
          <w:trHeight w:val="201"/>
        </w:trPr>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w:t>
            </w:r>
          </w:p>
        </w:tc>
        <w:tc>
          <w:tcPr>
            <w:tcW w:w="3000" w:type="dxa"/>
            <w:vAlign w:val="bottom"/>
            <w:gridSpan w:val="2"/>
            <w:shd w:val="clear" w:color="auto" w:fill="CCEEFF"/>
          </w:tcPr>
          <w:p>
            <w:pPr>
              <w:jc w:val="right"/>
              <w:ind w:right="89"/>
              <w:spacing w:after="0" w:line="201" w:lineRule="exact"/>
              <w:rPr>
                <w:sz w:val="20"/>
                <w:szCs w:val="20"/>
                <w:color w:val="auto"/>
              </w:rPr>
            </w:pPr>
            <w:r>
              <w:rPr>
                <w:rFonts w:ascii="Arial" w:cs="Arial" w:eastAsia="Arial" w:hAnsi="Arial"/>
                <w:sz w:val="18"/>
                <w:szCs w:val="18"/>
                <w:color w:val="auto"/>
              </w:rPr>
              <w:t>160,713</w:t>
            </w:r>
          </w:p>
        </w:tc>
        <w:tc>
          <w:tcPr>
            <w:tcW w:w="1380" w:type="dxa"/>
            <w:vAlign w:val="bottom"/>
            <w:shd w:val="clear" w:color="auto" w:fill="CCEEFF"/>
          </w:tcPr>
          <w:p>
            <w:pPr>
              <w:jc w:val="right"/>
              <w:ind w:right="301"/>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000" w:type="dxa"/>
            <w:vAlign w:val="bottom"/>
            <w:gridSpan w:val="2"/>
          </w:tcPr>
          <w:p>
            <w:pPr>
              <w:jc w:val="right"/>
              <w:ind w:right="29"/>
              <w:spacing w:after="0"/>
              <w:rPr>
                <w:sz w:val="20"/>
                <w:szCs w:val="20"/>
                <w:color w:val="auto"/>
              </w:rPr>
            </w:pPr>
            <w:r>
              <w:rPr>
                <w:rFonts w:ascii="Arial" w:cs="Arial" w:eastAsia="Arial" w:hAnsi="Arial"/>
                <w:sz w:val="18"/>
                <w:szCs w:val="18"/>
                <w:color w:val="auto"/>
              </w:rPr>
              <w:t>(120,369)</w:t>
            </w:r>
          </w:p>
        </w:tc>
        <w:tc>
          <w:tcPr>
            <w:tcW w:w="1380" w:type="dxa"/>
            <w:vAlign w:val="bottom"/>
          </w:tcPr>
          <w:p>
            <w:pPr>
              <w:jc w:val="right"/>
              <w:ind w:right="301"/>
              <w:spacing w:after="0"/>
              <w:rPr>
                <w:sz w:val="20"/>
                <w:szCs w:val="20"/>
                <w:color w:val="auto"/>
              </w:rPr>
            </w:pPr>
            <w:r>
              <w:rPr>
                <w:rFonts w:ascii="Arial" w:cs="Arial" w:eastAsia="Arial" w:hAnsi="Arial"/>
                <w:sz w:val="18"/>
                <w:szCs w:val="18"/>
                <w:color w:val="auto"/>
              </w:rPr>
              <w:t>40,344</w:t>
            </w:r>
          </w:p>
        </w:tc>
        <w:tc>
          <w:tcPr>
            <w:tcW w:w="1200" w:type="dxa"/>
            <w:vAlign w:val="bottom"/>
          </w:tcPr>
          <w:p>
            <w:pPr>
              <w:jc w:val="right"/>
              <w:spacing w:after="0"/>
              <w:rPr>
                <w:sz w:val="20"/>
                <w:szCs w:val="20"/>
                <w:color w:val="auto"/>
              </w:rPr>
            </w:pPr>
            <w:r>
              <w:rPr>
                <w:rFonts w:ascii="Arial" w:cs="Arial" w:eastAsia="Arial" w:hAnsi="Arial"/>
                <w:sz w:val="18"/>
                <w:szCs w:val="18"/>
                <w:color w:val="auto"/>
              </w:rPr>
              <w:t>276,973</w:t>
            </w:r>
          </w:p>
        </w:tc>
        <w:tc>
          <w:tcPr>
            <w:tcW w:w="60" w:type="dxa"/>
            <w:vAlign w:val="bottom"/>
          </w:tcPr>
          <w:p>
            <w:pPr>
              <w:spacing w:after="0"/>
              <w:rPr>
                <w:sz w:val="18"/>
                <w:szCs w:val="18"/>
                <w:color w:val="auto"/>
              </w:rPr>
            </w:pPr>
          </w:p>
        </w:tc>
      </w:tr>
    </w:tbl>
    <w:p>
      <w:pPr>
        <w:spacing w:after="0" w:line="166" w:lineRule="exact"/>
        <w:rPr>
          <w:sz w:val="20"/>
          <w:szCs w:val="20"/>
          <w:color w:val="auto"/>
        </w:rPr>
      </w:pPr>
    </w:p>
    <w:p>
      <w:pPr>
        <w:ind w:left="760" w:right="120" w:hanging="412"/>
        <w:spacing w:after="0" w:line="239"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(a) the reclassification of our outstanding common stock into Class A common stock, (b) the automatic conversion of all of our outstanding shares of convertible preferred stock into an aggregate of 27,758,941 shares of Class A common stock in connection with this offering, (c) the exchange of an aggregate of 2,676,154 shares of Class A common stock held by our co-founders for an equivalent number of shares of our Class B common stock pursuant to the terms of an exchange agreement to be entered into with us, and (d) the filing and effectiveness of our amended and restated certificate of incorporation that will be in effect on the completion of this offering.</w:t>
      </w:r>
    </w:p>
    <w:p>
      <w:pPr>
        <w:ind w:left="760" w:right="80" w:hanging="412"/>
        <w:spacing w:after="0" w:line="239"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reflects (a) the items described in footnote (1) above, (b) our receipt of estimated net proceeds from the sale of shares of Class A common stock that we are offering at an assumed initial public offering price of $40.00 per share, the midpoint of the estimated price range set forth on the cover page of this prospectus, after deducting the estimated underwriting discounts and commissions and estimated offering expenses and (c) repayment of our outstanding indebtedness under our Amended Loan and Security Agreement, as described in “Use of Proceeds.”</w:t>
      </w:r>
    </w:p>
    <w:p>
      <w:pPr>
        <w:ind w:left="760" w:right="40" w:hanging="412"/>
        <w:spacing w:after="0" w:line="239"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$1.00 increase (decrease) in the assumed initial public offering price of $40.00 per share, the midpoint of the estimated price range set forth on the cover page of this prospectus, would increase (decrease) each of cash, total assets, working capital and total stockholders’ equity by $6.4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cash and cash equivalents, total assets, working capital and total stockholders’ equity by $37.3 million, assuming the assumed initial public offering price of $40.00 per share of Class A common stock remains the same, and after deducting the estimated underwriting discounts and commissions.</w:t>
      </w:r>
    </w:p>
    <w:p>
      <w:pPr>
        <w:ind w:left="760" w:hanging="412"/>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March 31,</w:t>
            </w:r>
          </w:p>
        </w:tc>
      </w:tr>
      <w:tr>
        <w:trPr>
          <w:trHeight w:val="154"/>
        </w:trPr>
        <w:tc>
          <w:tcPr>
            <w:tcW w:w="5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Borders>
              <w:top w:val="single" w:sz="8" w:color="auto"/>
            </w:tcBorders>
          </w:tcPr>
          <w:p>
            <w:pPr>
              <w:jc w:val="right"/>
              <w:ind w:right="149"/>
              <w:spacing w:after="0" w:line="154"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00"/>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880" w:type="dxa"/>
            <w:vAlign w:val="bottom"/>
            <w:gridSpan w:val="2"/>
          </w:tcPr>
          <w:p>
            <w:pPr>
              <w:jc w:val="right"/>
              <w:ind w:right="109"/>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181"/>
        </w:trPr>
        <w:tc>
          <w:tcPr>
            <w:tcW w:w="58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Key Operational and Business Metrics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1"/>
        </w:trPr>
        <w:tc>
          <w:tcPr>
            <w:tcW w:w="5880" w:type="dxa"/>
            <w:vAlign w:val="bottom"/>
          </w:tcPr>
          <w:p>
            <w:pPr>
              <w:spacing w:after="0" w:line="201" w:lineRule="exact"/>
              <w:rPr>
                <w:sz w:val="20"/>
                <w:szCs w:val="20"/>
                <w:color w:val="auto"/>
              </w:rPr>
            </w:pPr>
            <w:r>
              <w:rPr>
                <w:rFonts w:ascii="Arial" w:cs="Arial" w:eastAsia="Arial" w:hAnsi="Arial"/>
                <w:sz w:val="18"/>
                <w:szCs w:val="18"/>
                <w:color w:val="auto"/>
              </w:rPr>
              <w:t>Active Buyers</w:t>
            </w:r>
          </w:p>
        </w:tc>
        <w:tc>
          <w:tcPr>
            <w:tcW w:w="224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11,527</w:t>
            </w:r>
          </w:p>
        </w:tc>
        <w:tc>
          <w:tcPr>
            <w:tcW w:w="1320" w:type="dxa"/>
            <w:vAlign w:val="bottom"/>
            <w:gridSpan w:val="3"/>
          </w:tcPr>
          <w:p>
            <w:pPr>
              <w:jc w:val="right"/>
              <w:ind w:right="380"/>
              <w:spacing w:after="0" w:line="201" w:lineRule="exact"/>
              <w:rPr>
                <w:sz w:val="20"/>
                <w:szCs w:val="20"/>
                <w:color w:val="auto"/>
              </w:rPr>
            </w:pPr>
            <w:r>
              <w:rPr>
                <w:rFonts w:ascii="Arial" w:cs="Arial" w:eastAsia="Arial" w:hAnsi="Arial"/>
                <w:sz w:val="18"/>
                <w:szCs w:val="18"/>
                <w:color w:val="auto"/>
              </w:rPr>
              <w:t>21,128</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24,160</w:t>
            </w:r>
          </w:p>
        </w:tc>
        <w:tc>
          <w:tcPr>
            <w:tcW w:w="22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of Revenue from Existing Accounts</w:t>
            </w:r>
          </w:p>
        </w:tc>
        <w:tc>
          <w:tcPr>
            <w:tcW w:w="224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94%</w:t>
            </w:r>
          </w:p>
        </w:tc>
        <w:tc>
          <w:tcPr>
            <w:tcW w:w="132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95%</w:t>
            </w:r>
          </w:p>
        </w:tc>
        <w:tc>
          <w:tcPr>
            <w:tcW w:w="11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95%</w:t>
            </w:r>
          </w:p>
        </w:tc>
      </w:tr>
      <w:tr>
        <w:trPr>
          <w:trHeight w:val="201"/>
        </w:trPr>
        <w:tc>
          <w:tcPr>
            <w:tcW w:w="5880" w:type="dxa"/>
            <w:vAlign w:val="bottom"/>
          </w:tcPr>
          <w:p>
            <w:pPr>
              <w:spacing w:after="0" w:line="201" w:lineRule="exact"/>
              <w:rPr>
                <w:sz w:val="20"/>
                <w:szCs w:val="20"/>
                <w:color w:val="auto"/>
              </w:rPr>
            </w:pPr>
            <w:r>
              <w:rPr>
                <w:rFonts w:ascii="Arial" w:cs="Arial" w:eastAsia="Arial" w:hAnsi="Arial"/>
                <w:sz w:val="18"/>
                <w:szCs w:val="18"/>
                <w:color w:val="auto"/>
              </w:rPr>
              <w:t>Accounts with Last Twelve-Month Spend of at least $50,000</w:t>
            </w:r>
          </w:p>
        </w:tc>
        <w:tc>
          <w:tcPr>
            <w:tcW w:w="1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266</w:t>
            </w:r>
          </w:p>
        </w:tc>
        <w:tc>
          <w:tcPr>
            <w:tcW w:w="36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389</w:t>
            </w:r>
          </w:p>
        </w:tc>
        <w:tc>
          <w:tcPr>
            <w:tcW w:w="380" w:type="dxa"/>
            <w:vAlign w:val="bottom"/>
          </w:tcPr>
          <w:p>
            <w:pPr>
              <w:spacing w:after="0"/>
              <w:rPr>
                <w:sz w:val="17"/>
                <w:szCs w:val="17"/>
                <w:color w:val="auto"/>
              </w:rPr>
            </w:pP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412</w:t>
            </w:r>
          </w:p>
        </w:tc>
        <w:tc>
          <w:tcPr>
            <w:tcW w:w="22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224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$(26,439)</w:t>
            </w:r>
          </w:p>
        </w:tc>
        <w:tc>
          <w:tcPr>
            <w:tcW w:w="132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$(23,498)</w:t>
            </w:r>
          </w:p>
        </w:tc>
        <w:tc>
          <w:tcPr>
            <w:tcW w:w="110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 (8,810)</w:t>
            </w:r>
          </w:p>
        </w:tc>
      </w:tr>
    </w:tbl>
    <w:p>
      <w:pPr>
        <w:spacing w:after="0" w:line="192" w:lineRule="exact"/>
        <w:rPr>
          <w:sz w:val="20"/>
          <w:szCs w:val="20"/>
          <w:color w:val="auto"/>
        </w:rPr>
      </w:pPr>
    </w:p>
    <w:p>
      <w:pPr>
        <w:ind w:left="760" w:right="40" w:hanging="412"/>
        <w:spacing w:after="0" w:line="239"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shown for Active Buyers and Accounts with Last Twelve-Month Spend of at least $50,000 are as of December 31, 2019 and 2020 and March 31, 2021, and Percentage of Revenue from Existing Accounts is presented for the quarters ended December 31, 2019 and 2020 and March 31, 2021. Adjusted EBITDA is presented for the years ended December 31, 2019 and 2020 and the quarter ended March 31, 2021. See the section titled “Management’s Discussion and Analysis of Financial Condition and Results of Operations—Key Operational and Business Metrics” included elsewhere in this prospectus for our definitions of these metrics.</w:t>
      </w:r>
    </w:p>
    <w:p>
      <w:pPr>
        <w:ind w:left="760" w:right="200" w:hanging="412"/>
        <w:spacing w:after="0" w:line="246"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EBITDA is a non-GAAP financial measure. We define Adjusted EBITDA as net income (loss), adjusted to exclude interest and other expense, depreciation and amortization, stock-based compensation expense and goodwill and intangible asset impairment charges. Adjusted EBITDA is a performance measure that we use to assess our operating performance and the operating leverage in our business.</w:t>
      </w: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6"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849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34200" cy="28492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760" w:right="80"/>
        <w:spacing w:after="0" w:line="242" w:lineRule="auto"/>
        <w:rPr>
          <w:sz w:val="20"/>
          <w:szCs w:val="20"/>
          <w:color w:val="auto"/>
        </w:rPr>
      </w:pPr>
      <w:r>
        <w:rPr>
          <w:rFonts w:ascii="Arial" w:cs="Arial" w:eastAsia="Arial" w:hAnsi="Arial"/>
          <w:sz w:val="14"/>
          <w:szCs w:val="14"/>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109" w:lineRule="exact"/>
        <w:rPr>
          <w:sz w:val="20"/>
          <w:szCs w:val="20"/>
          <w:color w:val="auto"/>
        </w:rPr>
      </w:pPr>
    </w:p>
    <w:p>
      <w:pPr>
        <w:ind w:left="760" w:right="360"/>
        <w:spacing w:after="0" w:line="246" w:lineRule="auto"/>
        <w:rPr>
          <w:sz w:val="20"/>
          <w:szCs w:val="20"/>
          <w:color w:val="auto"/>
        </w:rPr>
      </w:pPr>
      <w:r>
        <w:rPr>
          <w:rFonts w:ascii="Arial" w:cs="Arial" w:eastAsia="Arial" w:hAnsi="Arial"/>
          <w:sz w:val="14"/>
          <w:szCs w:val="14"/>
          <w:color w:val="auto"/>
        </w:rPr>
        <w:t>We compensate for these limitations by providing a reconciliation of Adjusted EBITDA to net loss, the most related GAAP financial measure. We encourage investors and others to review our business, results of operations, and financial information in its entirety, not to rely on any single financial measure. The following tables provide a reconciliation of net loss to Adjusted EBITDA:</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54"/>
        </w:trPr>
        <w:tc>
          <w:tcPr>
            <w:tcW w:w="50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8"/>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Adjusted EBITDA Reconciliation:</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(30,994)</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(31,085)</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(8,607)</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Add:</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020" w:type="dxa"/>
            <w:vAlign w:val="bottom"/>
          </w:tcPr>
          <w:p>
            <w:pPr>
              <w:ind w:left="280"/>
              <w:spacing w:after="0"/>
              <w:rPr>
                <w:sz w:val="20"/>
                <w:szCs w:val="20"/>
                <w:color w:val="auto"/>
              </w:rPr>
            </w:pPr>
            <w:r>
              <w:rPr>
                <w:rFonts w:ascii="Arial" w:cs="Arial" w:eastAsia="Arial" w:hAnsi="Arial"/>
                <w:sz w:val="14"/>
                <w:szCs w:val="14"/>
                <w:color w:val="auto"/>
              </w:rPr>
              <w:t>Interest and other expense</w:t>
            </w:r>
          </w:p>
        </w:tc>
        <w:tc>
          <w:tcPr>
            <w:tcW w:w="20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255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1,847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689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2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544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148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1,719</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1,592</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(26,439)</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(23,498)</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(7,515)</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6"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all or part of your original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Our Business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2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have incurred net losses since our inception in 2013. We incurred a net loss of $31.1 million in 2020 and $31.0 million in 2019, and a net loss of $10.5 million for the three months ended March 31, 2021, and we expect to incur net losses for the foreseeable future. As a result of these losses, as of March 31, 2021, we had an accumulated deficit of $122.5 million.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We have grown rapidly over the last several years, but our recent revenue growth rate and financial performance should not be considered indicative of our future performance. In 2020 and 2019, our revenue was $141.4 million and $80.2 million, respectively, representing a 76% growth rate. During the three months ended March 31, 2021 and March 31, 2020, our revenue was $43.9 million and $26.7 million, respectively, representing a growth rate of 65%. In addition, in 2020, unlike in many other industries, the COVID-19 pandemic contributed to an increase in our revenue, particularly in the third quarter of 2020. The circumstances that have accelerated the growth of our business stemming from the effects of the COVID-19 pandemic may not continue in the future. We may also experience declines in our revenue growth rate as a result of a number of factors, including slowing demand for our platform, insufficient growth in the number of buyers and sellers who transact on our marketplace, increasing competition, a decrease in the growth of our overall market, our failure to continue to capitalize on growth opportunities, failure to realize anticipated revenue growth from our seller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adversely affected.</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2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109" w:lineRule="exact"/>
        <w:rPr>
          <w:sz w:val="20"/>
          <w:szCs w:val="20"/>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buyers and sellers;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demand for and types of manufacturing processes, capabilities and materials that are sourced on our marketplace to sellers;</w:t>
      </w:r>
    </w:p>
    <w:p>
      <w:pPr>
        <w:spacing w:after="0" w:line="125" w:lineRule="exact"/>
        <w:rPr>
          <w:rFonts w:ascii="Arial" w:cs="Arial" w:eastAsia="Arial" w:hAnsi="Arial"/>
          <w:sz w:val="17"/>
          <w:szCs w:val="17"/>
          <w:color w:val="auto"/>
        </w:rPr>
      </w:pPr>
    </w:p>
    <w:p>
      <w:pPr>
        <w:ind w:left="920" w:right="120" w:hanging="218"/>
        <w:spacing w:after="0" w:line="23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large orders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holidays on purchase activity;</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prices charged to buyers transacting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3"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109" w:lineRule="exact"/>
        <w:rPr>
          <w:rFonts w:ascii="Arial" w:cs="Arial" w:eastAsia="Arial" w:hAnsi="Arial"/>
          <w:sz w:val="18"/>
          <w:szCs w:val="18"/>
          <w:color w:val="auto"/>
        </w:rPr>
      </w:pPr>
    </w:p>
    <w:p>
      <w:pPr>
        <w:ind w:left="5520" w:right="120" w:hanging="4818"/>
        <w:spacing w:after="0" w:line="410" w:lineRule="auto"/>
        <w:tabs>
          <w:tab w:leader="none" w:pos="9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business and to remain competitive; 19</w:t>
      </w:r>
    </w:p>
    <w:p>
      <w:pPr>
        <w:sectPr>
          <w:pgSz w:w="11900" w:h="16838" w:orient="portrait"/>
          <w:cols w:equalWidth="0" w:num="1">
            <w:col w:w="11020"/>
          </w:cols>
          <w:pgMar w:left="320" w:top="456" w:right="5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4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security or data privacy and associated remediation costs;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13" w:lineRule="exact"/>
        <w:rPr>
          <w:rFonts w:ascii="Arial" w:cs="Arial" w:eastAsia="Arial" w:hAnsi="Arial"/>
          <w:sz w:val="18"/>
          <w:szCs w:val="18"/>
          <w:color w:val="auto"/>
        </w:rPr>
      </w:pPr>
    </w:p>
    <w:p>
      <w:pPr>
        <w:ind w:left="920" w:right="42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109" w:lineRule="exact"/>
        <w:rPr>
          <w:rFonts w:ascii="Arial" w:cs="Arial" w:eastAsia="Arial" w:hAnsi="Arial"/>
          <w:sz w:val="18"/>
          <w:szCs w:val="18"/>
          <w:color w:val="auto"/>
        </w:rPr>
      </w:pPr>
    </w:p>
    <w:p>
      <w:pPr>
        <w:ind w:left="920" w:right="20" w:hanging="218"/>
        <w:spacing w:after="0" w:line="236"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3"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such as earthquakes, hurricanes, wildfires, and threats to public health, such as the COVID-19 pandemic.</w:t>
      </w:r>
    </w:p>
    <w:p>
      <w:pPr>
        <w:spacing w:after="0" w:line="208"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287"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b w:val="1"/>
          <w:bCs w:val="1"/>
          <w:i w:val="1"/>
          <w:iCs w:val="1"/>
          <w:color w:val="auto"/>
        </w:rPr>
        <w:t>Our growth depends on our ability to attract and retain a large community of buyers and sellers, and the loss of our buyers and sellers, or failure to attract new buyers and sellers, could materially and adversely affect our business, financial condition, and results of operations.</w:t>
      </w:r>
    </w:p>
    <w:p>
      <w:pPr>
        <w:spacing w:after="0" w:line="87"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derive substantially all of our revenue from sales to buyers transacting on our marketplace seeking sophisticated manufacturing solutions. The size and diversity of our community of buyers and sellers is critical to our success. Over the past few years, we have experienced strong growth in the number of buyers and sellers transacting on our marketplace, including the number of active buyers, but we do not know whether we will be able to achieve similar growth rates in the future. Sellers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sellers, such as engaging sellers directly, finding sellers through other online or offline platforms or marketplaces. Additionally, buyers may use in-house manufacturing processes. Use of these other options available to buyers and sellers may make our marketplace less attractive to them and could lead to decreased use of our marketplace, which could result in a decrease in revenue. In addition, a decrease in engagement from buyers, including due to a general decrease in spending or as a result of the COVID-19 pandemic, could diminish the network effects that results from expanding the number of buyers within a particular account, or decrease the attractiveness of our marketplace to sellers. If we fail to attract new buyers and sellers or our existing buyers or sellers decrease their use of or cease using our marketplace, the breadth and diversity of manufacturing processes offered on our marketplace may be reduced, or the quality of products manufactured by sellers transacting on our marketplace is not satisfactory to buyers, buyers and sellers may decrease their use of our marketplace.</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Key factors in attracting and retaining buyers include our ability to grow our brand awareness, attract and retain high-quality sellers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sellers. The prices quoted must appeal to both buyers and sellers; if the quoted prices are unattractive to either buyers or sellers, we could incur losses on certain orders, or buyers or sellers could decrease their activity or stop transacting on our marketplace. A key factor in attracting and retaining sellers, in turn, is maintaining and increasing the number and diversity of buyers transacting on our marketplace. Achieving growth in our community of buyers and sellers may require us to increasingly engage in sophisticated and costly sales and marketing efforts that may not result in growth in our community of buyers and sellers.</w:t>
      </w:r>
    </w:p>
    <w:p>
      <w:pPr>
        <w:spacing w:after="0" w:line="196"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Buyers or sellers can stop transacting on our marketplace at any time. Buyers or sellers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sellers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sellers or fail to maintain existing buyers and existing sellers, our revenue may grow more slowly than expected, or decline, and our business, financial condition, and results of operations could be materially and adversely affected.</w:t>
      </w:r>
    </w:p>
    <w:p>
      <w:pPr>
        <w:spacing w:after="0" w:line="289" w:lineRule="exact"/>
        <w:rPr>
          <w:sz w:val="20"/>
          <w:szCs w:val="20"/>
          <w:color w:val="auto"/>
        </w:rPr>
      </w:pPr>
    </w:p>
    <w:p>
      <w:pPr>
        <w:ind w:left="160" w:right="900"/>
        <w:spacing w:after="0" w:line="265"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7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may be affected by changes in buyer requirements and preferences, including as a result of decreased consumer demand for buyer products, seller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on-demand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particular, we plan to expand the network of sellers transacting on our marketplace to increase the number of sellers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20" w:firstLine="546"/>
        <w:spacing w:after="0" w:line="237" w:lineRule="auto"/>
        <w:rPr>
          <w:sz w:val="20"/>
          <w:szCs w:val="20"/>
          <w:color w:val="auto"/>
        </w:rPr>
      </w:pPr>
      <w:r>
        <w:rPr>
          <w:rFonts w:ascii="Arial" w:cs="Arial" w:eastAsia="Arial" w:hAnsi="Arial"/>
          <w:sz w:val="18"/>
          <w:szCs w:val="18"/>
          <w:color w:val="auto"/>
        </w:rPr>
        <w:t>Any failure to properly meet the needs of buyers and sellers or respond to changes in our industry on a cost-effective and timely basis, or at all, would likely have a material adverse effect on our business, financial condition, and results of operations and harm our competitive position.</w:t>
      </w:r>
    </w:p>
    <w:p>
      <w:pPr>
        <w:spacing w:after="0" w:line="2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sellers.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To satisfy both buyers and sellers,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seller products and services, like Xometry Pay and the Xometry Advance Card, improving upon and introducing new design guides and industry playbooks, expanding the availability of sellers to additional geographic and industry segments and improving the user-friendliness of our platform and our ability to provide high-quality support. Our buyers and sellers depend on our support organization to resolve issues relating to our platform. Our ability to provide effective support is largely dependent on our ability to attract and retain employees who are well versed in our platform and the needs of buyers and sellers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 In addition, with the majority of our employees working from home as a result of the COVID-19 pandemic, our information technologies and support systems may be temporarily strained.</w:t>
      </w:r>
    </w:p>
    <w:p>
      <w:pPr>
        <w:spacing w:after="0" w:line="210" w:lineRule="exact"/>
        <w:rPr>
          <w:sz w:val="20"/>
          <w:szCs w:val="20"/>
          <w:color w:val="auto"/>
        </w:rPr>
      </w:pPr>
    </w:p>
    <w:p>
      <w:pPr>
        <w:ind w:left="160" w:right="20" w:firstLine="546"/>
        <w:spacing w:after="0" w:line="249" w:lineRule="auto"/>
        <w:rPr>
          <w:sz w:val="20"/>
          <w:szCs w:val="20"/>
          <w:color w:val="auto"/>
        </w:rPr>
      </w:pPr>
      <w:r>
        <w:rPr>
          <w:rFonts w:ascii="Arial" w:cs="Arial" w:eastAsia="Arial" w:hAnsi="Arial"/>
          <w:sz w:val="17"/>
          <w:szCs w:val="17"/>
          <w:color w:val="auto"/>
        </w:rPr>
        <w:t>In addition, we need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94"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95"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customer agreement with buyers provides that we will manufacture their order in accordance with their specifications. Whether or not the order is ultimately supplied by a seller,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sellers to meet certain quality standards before offering their services on our marketplace and provide operational support to our buyers and sellers, such efforts may not prevent us from losses due to poor quality of parts manufactured for our buyers.</w:t>
      </w:r>
    </w:p>
    <w:p>
      <w:pPr>
        <w:spacing w:after="0" w:line="291"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seller with requisite manufacturing process. From time to time we may quote buyers prices that are lower than the cost we agree with a seller. If our platform is unable to find a seller to source a manufacturing opportunity from a particular buyer at below the price we quote such buyer, or at all, our results of operations may be materially and adversely affected.</w:t>
      </w:r>
    </w:p>
    <w:p>
      <w:pPr>
        <w:spacing w:after="0" w:line="287"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8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involves the collection, storage, processing, transmission and other use of proprietary, confidential and personal data of buyers and sellers and other parties, as well as the use of third-party partners and service providers who collect, store, process, transmit and otherwise use such data. In particular, our platform stores and transmits to sellers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sellers.</w:t>
      </w:r>
    </w:p>
    <w:p>
      <w:pPr>
        <w:spacing w:after="0" w:line="204"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6" w:right="5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sellers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209" w:lineRule="exact"/>
        <w:rPr>
          <w:sz w:val="20"/>
          <w:szCs w:val="20"/>
          <w:color w:val="auto"/>
        </w:rPr>
      </w:pPr>
    </w:p>
    <w:p>
      <w:pPr>
        <w:ind w:left="160" w:right="120" w:firstLine="546"/>
        <w:spacing w:after="0" w:line="233" w:lineRule="auto"/>
        <w:rPr>
          <w:sz w:val="20"/>
          <w:szCs w:val="20"/>
          <w:color w:val="auto"/>
        </w:rPr>
      </w:pPr>
      <w:r>
        <w:rPr>
          <w:rFonts w:ascii="Arial" w:cs="Arial" w:eastAsia="Arial" w:hAnsi="Arial"/>
          <w:sz w:val="18"/>
          <w:szCs w:val="18"/>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While we currently employ various antivirus and computer protection software in our operations, we cannot provide assurances that such protections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sellers engaging on our marketplace. Regulations requiring marketplaces to detect and limit illegal activities are increasing. Our measures may not always keep up with these changes.</w:t>
      </w:r>
    </w:p>
    <w:p>
      <w:pPr>
        <w:spacing w:after="0" w:line="206"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sellers on our marketplaces, particularly related to factory or other workplace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80"/>
        <w:spacing w:after="0" w:line="237" w:lineRule="auto"/>
        <w:rPr>
          <w:sz w:val="20"/>
          <w:szCs w:val="20"/>
          <w:color w:val="auto"/>
        </w:rPr>
      </w:pPr>
      <w:r>
        <w:rPr>
          <w:rFonts w:ascii="Arial" w:cs="Arial" w:eastAsia="Arial" w:hAnsi="Arial"/>
          <w:sz w:val="18"/>
          <w:szCs w:val="18"/>
          <w:color w:val="auto"/>
        </w:rPr>
        <w:t>conditions. Failure to limit the impact of actual or perceived illegal activity on our marketplaces, could subject us to penalties, fines, other enforcement actions and expenses, significant reputation harm and our business, financial condition, and results of operations could be adversely affected.</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disputes between sellers and suppliers on our platform.</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model involves, in part, connecting sellers to suppliers to purchase materials that enable sellers to fulfill orders on our marketplace. It is possible that disputes may arise between sellers and such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sellers and the suppliers with whom we pair. If these disputes are not resolved amicably, the parties might escalate to formal proceedings, such as by filing claims with a court or arbitral authority. Given our role in facilitating and supporting the relationships between sellers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288"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sellers and suppliers, and if we cannot manage our relationship with such third party and other payment-related risks, our business, financial condition, and results of operations could be adversely affected.</w:t>
      </w:r>
    </w:p>
    <w:p>
      <w:pPr>
        <w:spacing w:after="0" w:line="87"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We rely on a third-party payment processor, Stripe, to process payments made by buyers and payments made to sellers and suppliers. We also rely on Stripe for our Xometry Pay, an integrated payment processing tool for sellers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sellers or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sellers and suppliers.</w:t>
      </w:r>
    </w:p>
    <w:p>
      <w:pPr>
        <w:spacing w:after="0" w:line="200"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202" w:lineRule="exact"/>
        <w:rPr>
          <w:sz w:val="20"/>
          <w:szCs w:val="20"/>
          <w:color w:val="auto"/>
        </w:rPr>
      </w:pPr>
    </w:p>
    <w:p>
      <w:pPr>
        <w:ind w:left="160" w:right="40" w:firstLine="546"/>
        <w:spacing w:after="0" w:line="232" w:lineRule="auto"/>
        <w:rPr>
          <w:sz w:val="20"/>
          <w:szCs w:val="20"/>
          <w:color w:val="auto"/>
        </w:rPr>
      </w:pPr>
      <w:r>
        <w:rPr>
          <w:rFonts w:ascii="Arial" w:cs="Arial" w:eastAsia="Arial" w:hAnsi="Arial"/>
          <w:sz w:val="18"/>
          <w:szCs w:val="18"/>
          <w:color w:val="auto"/>
        </w:rPr>
        <w:t>Additionally, our third-party payment processor requires us to comply with payment card network operating rules, which are set and interpreted by the payment card networks. The payment card networks could adopt new operating rules or</w:t>
      </w:r>
    </w:p>
    <w:p>
      <w:pPr>
        <w:spacing w:after="0" w:line="1"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123"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card networks could refuse to allow us to process through their networks. Any of the foregoing could materially adversely impact our business, financial condition or results of operations.</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third parties to fulfill buyer orders.</w:t>
      </w:r>
    </w:p>
    <w:p>
      <w:pPr>
        <w:spacing w:after="0" w:line="12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We rely on continued and unimpeded access to postal services and shipping carriers for us or our sellers to deliver manufactured parts reliably and timely to buyers. As a result of the COVID-19 pandemic and other factors, postal services and shipping carriers have experienced increased delays in delivery of their goods. If these shipping delays continue or worsen, or if shipping rates increase significantly, our sellers may have increased costs, and/or our buyers may have a poor purchasing experience and may lose trust in our marketplace, which could negatively impact our business, financial condition, and results of operations.</w:t>
      </w:r>
    </w:p>
    <w:p>
      <w:pPr>
        <w:spacing w:after="0" w:line="289"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73"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The manufacturing market is fragmented and highly competitive. We compete for buyers with a wide variety of manufacturers. Some of our current and potential competitors include captive in-house product lines, on-demand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on-demand parts, implementation of interactive web-based and automated user interface and quoting systems and/or building scalable operating models specifically designed for efficient on-demand production. We may, from time to time, establish alliances or relationships with other competitors or potential competitors, and our competitors may also be sellers transacting on our marketplace. To the extent companies terminate such relationships and establish alliances and relationships with our competitors, our business could be harmed.</w:t>
      </w:r>
    </w:p>
    <w:p>
      <w:pPr>
        <w:spacing w:after="0" w:line="197"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6"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280" w:lineRule="exact"/>
        <w:rPr>
          <w:sz w:val="20"/>
          <w:szCs w:val="20"/>
          <w:color w:val="auto"/>
        </w:rPr>
      </w:pPr>
    </w:p>
    <w:p>
      <w:pPr>
        <w:ind w:left="160" w:right="340"/>
        <w:spacing w:after="0" w:line="249" w:lineRule="auto"/>
        <w:rPr>
          <w:sz w:val="20"/>
          <w:szCs w:val="20"/>
          <w:color w:val="auto"/>
        </w:rPr>
      </w:pPr>
      <w:r>
        <w:rPr>
          <w:rFonts w:ascii="Arial" w:cs="Arial" w:eastAsia="Arial" w:hAnsi="Arial"/>
          <w:sz w:val="18"/>
          <w:szCs w:val="18"/>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8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111" w:lineRule="exact"/>
        <w:rPr>
          <w:sz w:val="20"/>
          <w:szCs w:val="20"/>
          <w:color w:val="auto"/>
        </w:rPr>
      </w:pPr>
    </w:p>
    <w:p>
      <w:pPr>
        <w:ind w:left="920" w:right="18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training and retaining talented and capable employees outside of the United States and Europe, and maintaining our company culture across all of our offices;</w:t>
      </w:r>
    </w:p>
    <w:p>
      <w:pPr>
        <w:spacing w:after="0" w:line="109" w:lineRule="exact"/>
        <w:rPr>
          <w:rFonts w:ascii="Arial" w:cs="Arial" w:eastAsia="Arial" w:hAnsi="Arial"/>
          <w:sz w:val="18"/>
          <w:szCs w:val="18"/>
          <w:color w:val="auto"/>
        </w:rPr>
      </w:pPr>
    </w:p>
    <w:p>
      <w:pPr>
        <w:ind w:left="920" w:right="240" w:hanging="218"/>
        <w:spacing w:after="0" w:line="268"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85" w:lineRule="exact"/>
        <w:rPr>
          <w:rFonts w:ascii="Arial" w:cs="Arial" w:eastAsia="Arial" w:hAnsi="Arial"/>
          <w:sz w:val="17"/>
          <w:szCs w:val="17"/>
          <w:color w:val="auto"/>
        </w:rPr>
      </w:pPr>
    </w:p>
    <w:p>
      <w:pPr>
        <w:ind w:left="920" w:right="620" w:hanging="218"/>
        <w:spacing w:after="0" w:line="23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108"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or other proprietary rights to the same extent as does the United States;</w:t>
      </w:r>
    </w:p>
    <w:p>
      <w:pPr>
        <w:spacing w:after="0" w:line="109" w:lineRule="exact"/>
        <w:rPr>
          <w:rFonts w:ascii="Arial" w:cs="Arial" w:eastAsia="Arial" w:hAnsi="Arial"/>
          <w:sz w:val="18"/>
          <w:szCs w:val="18"/>
          <w:color w:val="auto"/>
        </w:rPr>
      </w:pPr>
    </w:p>
    <w:p>
      <w:pPr>
        <w:ind w:left="920" w:right="120" w:hanging="218"/>
        <w:spacing w:after="0" w:line="23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109" w:lineRule="exact"/>
        <w:rPr>
          <w:rFonts w:ascii="Arial" w:cs="Arial" w:eastAsia="Arial" w:hAnsi="Arial"/>
          <w:sz w:val="18"/>
          <w:szCs w:val="18"/>
          <w:color w:val="auto"/>
        </w:rPr>
      </w:pPr>
    </w:p>
    <w:p>
      <w:pPr>
        <w:ind w:left="920" w:right="24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287" w:lineRule="exact"/>
        <w:rPr>
          <w:sz w:val="20"/>
          <w:szCs w:val="20"/>
          <w:color w:val="auto"/>
        </w:rPr>
      </w:pPr>
    </w:p>
    <w:p>
      <w:pPr>
        <w:ind w:left="160" w:right="200"/>
        <w:spacing w:after="0" w:line="270" w:lineRule="auto"/>
        <w:rPr>
          <w:sz w:val="20"/>
          <w:szCs w:val="20"/>
          <w:color w:val="auto"/>
        </w:rPr>
      </w:pPr>
      <w:r>
        <w:rPr>
          <w:rFonts w:ascii="Arial" w:cs="Arial" w:eastAsia="Arial" w:hAnsi="Arial"/>
          <w:sz w:val="17"/>
          <w:szCs w:val="17"/>
          <w:b w:val="1"/>
          <w:bCs w:val="1"/>
          <w:i w:val="1"/>
          <w:iCs w:val="1"/>
          <w:color w:val="auto"/>
        </w:rPr>
        <w:t>The ongoing COVID-19 pandemic and measures intended to prevent its spread have had a material effect on our business and results of operations, and the ongoing nature of the COVID-19 pandemic and any future pandemic (including variants of the COVID-19 pandemic) may have material and adverse effects on our business, financial condition, and results of operations.</w:t>
      </w:r>
    </w:p>
    <w:p>
      <w:pPr>
        <w:spacing w:after="0" w:line="71"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Small businesses, which constitute a significant portion of our buyers and sellers, have been impacted particularly hard. The pandemic has resulted in government authorities and businesses implementing numerous measures to try to contain the virus, such as travel bans and restrictions, quarantines, shelter in place or total lock-down orders, school closures, and business limitations and shutdowns. Such measures have contributed significantly to increased unemployment and negatively impacted business spending.</w:t>
      </w:r>
    </w:p>
    <w:p>
      <w:pPr>
        <w:spacing w:after="0" w:line="19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or postponing meetings and events or holding them virtually. Although we have made every effort to comply with applicable COVID-19 measures and precautions, in light of the continually evolving situation, there is no certainty that the measures we have taken will be sufficient to mitigate the risks posed by the virus. In addition, implementing COVID-19 measures and precautions has diverted, and may continue to divert, resources and attention of our management.</w:t>
      </w:r>
    </w:p>
    <w:p>
      <w:pPr>
        <w:spacing w:after="0" w:line="206"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The extent to which the COVID-19 pandemic, any future variants of the COVID-19 pandemic, or any future pandemic unrelated to COVID-19 impacts our business, results of operations, and financial condition will depend on developments that continue to be highly uncertain and difficult to predict, including, but not limited to, the duration and spread of any pandemic, its severity, the actions to contain a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buyers and sellers, and recession or economic downturn.</w:t>
      </w:r>
    </w:p>
    <w:p>
      <w:pPr>
        <w:spacing w:after="0" w:line="206"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There are no comparable recent events that provide guidance as to the effect that the COVID-19 pandemic may have, and, as a result, the ultimate impact of the pandemic is highly uncertain and subject to change. We do not yet know the full extent of the impact on our business, our operations, or the global economy as a whole. However, the effects could have a material impact on our results of operations and heighten many of the known risks described throughout this “Risk Factors” section.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business depends on users’ access to our platform via a personal computer or mobile device and the Internet. We have started to enable sellers to access our platform via a mobile browser, which</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6"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we believe is important to the growth of our business by adding sellers to our marketplace and enabling faster seller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29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7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sellers.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202" w:lineRule="exact"/>
        <w:rPr>
          <w:sz w:val="20"/>
          <w:szCs w:val="20"/>
          <w:color w:val="auto"/>
        </w:rPr>
      </w:pPr>
    </w:p>
    <w:p>
      <w:pPr>
        <w:ind w:left="160" w:right="100" w:firstLine="546"/>
        <w:spacing w:after="0" w:line="233" w:lineRule="auto"/>
        <w:rPr>
          <w:sz w:val="20"/>
          <w:szCs w:val="20"/>
          <w:color w:val="auto"/>
        </w:rPr>
      </w:pPr>
      <w:r>
        <w:rPr>
          <w:rFonts w:ascii="Arial" w:cs="Arial" w:eastAsia="Arial" w:hAnsi="Arial"/>
          <w:sz w:val="18"/>
          <w:szCs w:val="18"/>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210"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287"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87"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203" w:lineRule="exact"/>
        <w:rPr>
          <w:sz w:val="20"/>
          <w:szCs w:val="20"/>
          <w:color w:val="auto"/>
        </w:rPr>
      </w:pPr>
    </w:p>
    <w:p>
      <w:pPr>
        <w:ind w:left="160" w:right="180" w:firstLine="546"/>
        <w:spacing w:after="0" w:line="248" w:lineRule="auto"/>
        <w:rPr>
          <w:sz w:val="20"/>
          <w:szCs w:val="20"/>
          <w:color w:val="auto"/>
        </w:rPr>
      </w:pPr>
      <w:r>
        <w:rPr>
          <w:rFonts w:ascii="Arial" w:cs="Arial" w:eastAsia="Arial" w:hAnsi="Arial"/>
          <w:sz w:val="17"/>
          <w:szCs w:val="17"/>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6"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sellers. In addition, if a breach of data security were to occur, 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or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Further, the exit of the United Kingdom, or UK, from the EU, often referred to as Brexit, has created uncertainty with regard to data protection regulation in the UK. Specifically, the UK exited the EU on January 1, 2020, subject to a transition period that ended December 31, 2020.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210"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Additionally, California passed the California Consumer Privacy Act, or CCPA, which became effective on January 1, 2020. The CCPA provides new data privacy rights for consumers and new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or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Given its nascency, we cannot yet predict the full impact of the CCPA on our business or operations, but it may require us to modify our data practices and policies and to incur substantial costs and expenses in an effort to comply. Additionally, the CCPA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201"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456"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advocacy groups or others and could result in significant liability, cause our buyers, sellers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sellers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10" w:lineRule="exact"/>
        <w:rPr>
          <w:sz w:val="20"/>
          <w:szCs w:val="20"/>
          <w:color w:val="auto"/>
        </w:rPr>
      </w:pPr>
    </w:p>
    <w:p>
      <w:pPr>
        <w:ind w:left="160" w:right="160" w:firstLine="546"/>
        <w:spacing w:after="0" w:line="234" w:lineRule="auto"/>
        <w:rPr>
          <w:sz w:val="20"/>
          <w:szCs w:val="20"/>
          <w:color w:val="auto"/>
        </w:rPr>
      </w:pPr>
      <w:r>
        <w:rPr>
          <w:rFonts w:ascii="Arial" w:cs="Arial" w:eastAsia="Arial" w:hAnsi="Arial"/>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206"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287" w:lineRule="exact"/>
        <w:rPr>
          <w:sz w:val="20"/>
          <w:szCs w:val="20"/>
          <w:color w:val="auto"/>
        </w:rPr>
      </w:pPr>
    </w:p>
    <w:p>
      <w:pPr>
        <w:ind w:left="160" w:right="760"/>
        <w:spacing w:after="0" w:line="265"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460"/>
        <w:spacing w:after="0" w:line="249" w:lineRule="auto"/>
        <w:rPr>
          <w:sz w:val="20"/>
          <w:szCs w:val="20"/>
          <w:color w:val="auto"/>
        </w:rPr>
      </w:pPr>
      <w:r>
        <w:rPr>
          <w:rFonts w:ascii="Arial" w:cs="Arial" w:eastAsia="Arial" w:hAnsi="Arial"/>
          <w:sz w:val="18"/>
          <w:szCs w:val="18"/>
          <w:b w:val="1"/>
          <w:bCs w:val="1"/>
          <w:i w:val="1"/>
          <w:iCs w:val="1"/>
          <w:color w:val="auto"/>
        </w:rPr>
        <w:t>Growth of our business will depend on a strong reputation and brand and any failure to maintain, protect, and enhance our brand would hurt our ability to retain or expand our base of buyers and sellers and our ability to increase their level of engagement.</w:t>
      </w:r>
    </w:p>
    <w:p>
      <w:pPr>
        <w:spacing w:after="0" w:line="87"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believe that building a strong reputation, identity and brand are critical to our ability to attract and retain buyers and sellers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sellers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210"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Our reputation, brand, and ability to build trust with existing and new buyers and sellers may be adversely affected by complaints and negative publicity about us, our buyers or our sellers, even if factually incorrect or based on isolated incidents. Negative perception of our platform, marketplace or company may harm our reputation, brand, and network effects, including as a result of:</w:t>
      </w:r>
    </w:p>
    <w:p>
      <w:pPr>
        <w:spacing w:after="0" w:line="109" w:lineRule="exact"/>
        <w:rPr>
          <w:sz w:val="20"/>
          <w:szCs w:val="20"/>
          <w:color w:val="auto"/>
        </w:rPr>
      </w:pPr>
    </w:p>
    <w:p>
      <w:pPr>
        <w:ind w:left="920" w:right="16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marketplace, our buyers, our sellers, or our policies and guidelines, including our pricing model;</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quote, production, lead time or shipping delays;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 or perceived manufacturing or quality control inadequacies;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fraud;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illegal, negligent, reckless, or otherwise inappropriate behavior by buyers, sellers or third parties;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pandemic or an outbreak of disease linked to us;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sellers with a sufficient level of orders or repeat business;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offer buyers or sellers competitive pricing and lead times;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a range of manufacturing processes sought by buyers;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manufacturing processes that limit environmental harm;</w:t>
      </w:r>
    </w:p>
    <w:p>
      <w:pPr>
        <w:spacing w:after="0" w:line="113" w:lineRule="exact"/>
        <w:rPr>
          <w:rFonts w:ascii="Arial" w:cs="Arial" w:eastAsia="Arial" w:hAnsi="Arial"/>
          <w:sz w:val="18"/>
          <w:szCs w:val="18"/>
          <w:color w:val="auto"/>
        </w:rPr>
      </w:pPr>
    </w:p>
    <w:p>
      <w:pPr>
        <w:ind w:left="920" w:right="380" w:hanging="218"/>
        <w:spacing w:after="0" w:line="23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over, or investigations by regulators into, our company or the industry in which we operate;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buyers’ or sellers’ lack of awareness of, or compliance with, our policies;</w:t>
      </w:r>
    </w:p>
    <w:p>
      <w:pPr>
        <w:spacing w:after="0" w:line="113" w:lineRule="exact"/>
        <w:rPr>
          <w:rFonts w:ascii="Arial" w:cs="Arial" w:eastAsia="Arial" w:hAnsi="Arial"/>
          <w:sz w:val="18"/>
          <w:szCs w:val="18"/>
          <w:color w:val="auto"/>
        </w:rPr>
      </w:pPr>
    </w:p>
    <w:p>
      <w:pPr>
        <w:ind w:left="920" w:right="4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 as discussed elsewhere in this “Risk Factors” section;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6"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enforce our policies in a manner that users perceive as effective, fair, and transparent;</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or unsatisfactory support experiences;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illegal or otherwise inappropriate behavior by our management team or other employees or contractors;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responses by buyers or sellers to new services or manufacturing processes available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register or to prevent infringement, misappropriation or other violation of our trademarks;</w:t>
      </w:r>
    </w:p>
    <w:p>
      <w:pPr>
        <w:spacing w:after="0" w:line="113" w:lineRule="exact"/>
        <w:rPr>
          <w:rFonts w:ascii="Arial" w:cs="Arial" w:eastAsia="Arial" w:hAnsi="Arial"/>
          <w:sz w:val="18"/>
          <w:szCs w:val="18"/>
          <w:color w:val="auto"/>
        </w:rPr>
      </w:pPr>
    </w:p>
    <w:p>
      <w:pPr>
        <w:ind w:left="920" w:right="48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perception of our treatment of buyers and sellers and our response to buyer or seller sentiment related to political or social causes or actions of management; or</w:t>
      </w:r>
    </w:p>
    <w:p>
      <w:pPr>
        <w:spacing w:after="0" w:line="109" w:lineRule="exact"/>
        <w:rPr>
          <w:rFonts w:ascii="Arial" w:cs="Arial" w:eastAsia="Arial" w:hAnsi="Arial"/>
          <w:sz w:val="18"/>
          <w:szCs w:val="18"/>
          <w:color w:val="auto"/>
        </w:rPr>
      </w:pPr>
    </w:p>
    <w:p>
      <w:pPr>
        <w:ind w:left="920" w:right="70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288"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7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109" w:lineRule="exact"/>
        <w:rPr>
          <w:sz w:val="20"/>
          <w:szCs w:val="20"/>
          <w:color w:val="auto"/>
        </w:rPr>
      </w:pPr>
    </w:p>
    <w:p>
      <w:pPr>
        <w:ind w:left="920" w:right="4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further our diversity efforts with respect to our leadership team and our offerings;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challenges of a rapidly evolving industry;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integration of new personnel and businesses from acquisitions.</w:t>
      </w:r>
    </w:p>
    <w:p>
      <w:pPr>
        <w:spacing w:after="0" w:line="20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If we are not able to maintain and evolve our culture, our business, financial condition, and results of operations could be adversely affected.</w:t>
      </w:r>
    </w:p>
    <w:p>
      <w:pPr>
        <w:spacing w:after="0" w:line="2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sellers and could adversely affect our business, financial condition, and results of operations.</w:t>
      </w:r>
    </w:p>
    <w:p>
      <w:pPr>
        <w:spacing w:after="0" w:line="7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ability to attract and retain buyers and sellers is dependent in part on our ability to provide high-quality support. Buyers and sellers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320" w:top="456" w:right="5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40"/>
        <w:spacing w:after="0" w:line="239" w:lineRule="auto"/>
        <w:rPr>
          <w:sz w:val="20"/>
          <w:szCs w:val="20"/>
          <w:color w:val="auto"/>
        </w:rPr>
      </w:pPr>
      <w:r>
        <w:rPr>
          <w:rFonts w:ascii="Arial" w:cs="Arial" w:eastAsia="Arial" w:hAnsi="Arial"/>
          <w:sz w:val="18"/>
          <w:szCs w:val="18"/>
          <w:color w:val="auto"/>
        </w:rPr>
        <w:t>market perception that we do not maintain high-quality support, could harm our reputation and adversely affect our ability to scale our platform, marketplace and business, our financial condition, and results of operations.</w:t>
      </w:r>
    </w:p>
    <w:p>
      <w:pPr>
        <w:spacing w:after="0" w:line="288"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b w:val="1"/>
          <w:bCs w:val="1"/>
          <w:i w:val="1"/>
          <w:iCs w:val="1"/>
          <w:color w:val="auto"/>
        </w:rPr>
        <w:t>Our business is subject to a variety of laws and regulations, both in the United States and internationally, many of which are evolving.</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sellers, are subject to additional requirements or that we are prohibited from conducting our business in or with certain jurisdictions. It is also possible that certain provisions in agreements with our service providers or between buyers and sellers may be found to be unenforceable or not compliant with applicable law.</w:t>
      </w:r>
    </w:p>
    <w:p>
      <w:pPr>
        <w:spacing w:after="0" w:line="210" w:lineRule="exact"/>
        <w:rPr>
          <w:sz w:val="20"/>
          <w:szCs w:val="20"/>
          <w:color w:val="auto"/>
        </w:rPr>
      </w:pPr>
    </w:p>
    <w:p>
      <w:pPr>
        <w:ind w:left="160" w:right="180" w:firstLine="546"/>
        <w:spacing w:after="0" w:line="234" w:lineRule="auto"/>
        <w:rPr>
          <w:sz w:val="20"/>
          <w:szCs w:val="20"/>
          <w:color w:val="auto"/>
        </w:rPr>
      </w:pPr>
      <w:r>
        <w:rPr>
          <w:rFonts w:ascii="Arial" w:cs="Arial" w:eastAsia="Arial" w:hAnsi="Arial"/>
          <w:sz w:val="18"/>
          <w:szCs w:val="18"/>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are required to pay taxes based on having certain minimum contacts in such jurisdictions. We may become subject to taxation in additional jurisdictions in the future.</w:t>
      </w:r>
    </w:p>
    <w:p>
      <w:pPr>
        <w:spacing w:after="0" w:line="29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r>
        <w:rPr>
          <w:rFonts w:ascii="Arial" w:cs="Arial" w:eastAsia="Arial" w:hAnsi="Arial"/>
          <w:sz w:val="18"/>
          <w:szCs w:val="18"/>
          <w:b w:val="1"/>
          <w:bCs w:val="1"/>
          <w:color w:val="auto"/>
        </w:rPr>
        <w:t>.</w:t>
      </w:r>
    </w:p>
    <w:p>
      <w:pPr>
        <w:spacing w:after="0" w:line="87"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do business worldwide, which requires us to comply with the laws and regulations of the U.S. government and various foreign jurisdictions. These laws and regulations place restrictions on our operations, trade practices, partners and investments.</w:t>
      </w:r>
    </w:p>
    <w:p>
      <w:pPr>
        <w:spacing w:after="0" w:line="203" w:lineRule="exact"/>
        <w:rPr>
          <w:sz w:val="20"/>
          <w:szCs w:val="20"/>
          <w:color w:val="auto"/>
        </w:rPr>
      </w:pPr>
    </w:p>
    <w:p>
      <w:pPr>
        <w:ind w:left="160" w:right="480" w:firstLine="546"/>
        <w:spacing w:after="0" w:line="246" w:lineRule="auto"/>
        <w:rPr>
          <w:sz w:val="20"/>
          <w:szCs w:val="20"/>
          <w:color w:val="auto"/>
        </w:rPr>
      </w:pPr>
      <w:r>
        <w:rPr>
          <w:rFonts w:ascii="Arial" w:cs="Arial" w:eastAsia="Arial" w:hAnsi="Arial"/>
          <w:sz w:val="17"/>
          <w:szCs w:val="17"/>
          <w:color w:val="auto"/>
        </w:rPr>
        <w:t>In particular, our operations are subject to U.S. and foreign anti-corruption and trade control laws and regulations, such as the Foreign Corrupt Practices Act, or FCPA, export controls and economic sanctions programs, including those administered by the</w:t>
      </w:r>
    </w:p>
    <w:p>
      <w:pPr>
        <w:ind w:left="160" w:right="20"/>
        <w:spacing w:after="0" w:line="236" w:lineRule="auto"/>
        <w:rPr>
          <w:sz w:val="20"/>
          <w:szCs w:val="20"/>
          <w:color w:val="auto"/>
        </w:rPr>
      </w:pPr>
      <w:r>
        <w:rPr>
          <w:rFonts w:ascii="Arial" w:cs="Arial" w:eastAsia="Arial" w:hAnsi="Arial"/>
          <w:sz w:val="18"/>
          <w:szCs w:val="18"/>
          <w:color w:val="auto"/>
        </w:rPr>
        <w:t>U.S. Treasury Department’s Office of Foreign Assets Control, or OFAC, the State Department’s Directorate of Defense Trade Controls, or DDTC, and the Bureau of Industry and Security, or BIS, of the Department of Commerce. As a result of doing business in foreign countries and with foreign customers, we are exposed to a heightened risk of violating anti-corruption and trade control laws and sanctions regulations.</w:t>
      </w:r>
    </w:p>
    <w:p>
      <w:pPr>
        <w:spacing w:after="0" w:line="202" w:lineRule="exact"/>
        <w:rPr>
          <w:sz w:val="20"/>
          <w:szCs w:val="20"/>
          <w:color w:val="auto"/>
        </w:rPr>
      </w:pPr>
    </w:p>
    <w:p>
      <w:pPr>
        <w:ind w:left="160" w:right="180" w:firstLine="546"/>
        <w:spacing w:after="0" w:line="257" w:lineRule="auto"/>
        <w:rPr>
          <w:sz w:val="20"/>
          <w:szCs w:val="20"/>
          <w:color w:val="auto"/>
        </w:rPr>
      </w:pPr>
      <w:r>
        <w:rPr>
          <w:rFonts w:ascii="Arial" w:cs="Arial" w:eastAsia="Arial" w:hAnsi="Arial"/>
          <w:sz w:val="17"/>
          <w:szCs w:val="17"/>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20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or ITAR, administered by the DDTC, the Export Administration Regulations, or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29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7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202"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210"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3" w:lineRule="auto"/>
        <w:rPr>
          <w:sz w:val="20"/>
          <w:szCs w:val="20"/>
          <w:color w:val="auto"/>
        </w:rPr>
      </w:pPr>
      <w:r>
        <w:rPr>
          <w:rFonts w:ascii="Arial" w:cs="Arial" w:eastAsia="Arial" w:hAnsi="Arial"/>
          <w:sz w:val="18"/>
          <w:szCs w:val="18"/>
          <w:color w:val="auto"/>
        </w:rPr>
        <w:t>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21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209"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20" w:firstLine="546"/>
        <w:spacing w:after="0" w:line="236"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288"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7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sellers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204"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109" w:lineRule="exact"/>
        <w:rPr>
          <w:sz w:val="20"/>
          <w:szCs w:val="20"/>
          <w:color w:val="auto"/>
        </w:rPr>
      </w:pPr>
    </w:p>
    <w:p>
      <w:pPr>
        <w:ind w:left="920" w:right="42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109" w:lineRule="exact"/>
        <w:rPr>
          <w:rFonts w:ascii="Arial" w:cs="Arial" w:eastAsia="Arial" w:hAnsi="Arial"/>
          <w:sz w:val="18"/>
          <w:szCs w:val="18"/>
          <w:color w:val="auto"/>
        </w:rPr>
      </w:pPr>
    </w:p>
    <w:p>
      <w:pPr>
        <w:ind w:left="920" w:right="60" w:hanging="218"/>
        <w:spacing w:after="0" w:line="23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108"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21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2"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288" w:lineRule="exact"/>
        <w:rPr>
          <w:sz w:val="20"/>
          <w:szCs w:val="20"/>
          <w:color w:val="auto"/>
        </w:rPr>
      </w:pPr>
    </w:p>
    <w:p>
      <w:pPr>
        <w:ind w:left="160" w:right="640"/>
        <w:spacing w:after="0" w:line="265"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sellers or of our facilities could materially and adversely affect our business, financial condition, and results of operations.</w:t>
      </w:r>
    </w:p>
    <w:p>
      <w:pPr>
        <w:spacing w:after="0" w:line="7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Sellers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any of our sellers’ facilities or manufacturing equipment are affected by a disaster, sellers may:</w:t>
      </w:r>
    </w:p>
    <w:p>
      <w:pPr>
        <w:spacing w:after="0" w:line="114" w:lineRule="exact"/>
        <w:rPr>
          <w:sz w:val="20"/>
          <w:szCs w:val="20"/>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meet the shipping deadlines of our buyers;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manufacture and ship orders;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forced to rely on third-party manufacturers or otherwise fail to fulfill orders of our buyers; or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source materials required for orders.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6"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14" w:lineRule="exact"/>
        <w:rPr>
          <w:sz w:val="20"/>
          <w:szCs w:val="20"/>
          <w:color w:val="auto"/>
        </w:rPr>
      </w:pPr>
    </w:p>
    <w:p>
      <w:pPr>
        <w:ind w:left="920" w:hanging="218"/>
        <w:spacing w:after="0" w:line="23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w:t>
      </w:r>
    </w:p>
    <w:p>
      <w:pPr>
        <w:spacing w:after="0" w:line="208"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sellers or of our facilities, we may lose buyers, damage our brand and reputation, and we may be unable to regain those buyers or fail to attract new buyers.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sellers’ facilities or manufacturing equipment may cause.</w:t>
      </w:r>
    </w:p>
    <w:p>
      <w:pPr>
        <w:spacing w:after="0" w:line="288"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7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 Further, while we carry a key man life insurance policy covering Mr. Altschuler, we do not carry any key man life insurance policies on any of our other executive officers.</w:t>
      </w:r>
    </w:p>
    <w:p>
      <w:pPr>
        <w:spacing w:after="0" w:line="202"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are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23"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not successfully or efficiently manage our transition to a public company subject to significant regulatory oversight and reporting obligations under the U.S. federal securities laws and the continuous scrutiny of securities analysts and investors. These new obligations and constituents will require significant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320" w:top="456"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attention from our senior management and could divert their attention away from the day-to-day management of our business, which could adversely affect our business, prospects, financial condition and results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12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including those set forth in the Tax Cuts and Jobs Act enacted in 2017, or the Tax Act,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202" w:lineRule="exact"/>
        <w:rPr>
          <w:sz w:val="20"/>
          <w:szCs w:val="20"/>
          <w:color w:val="auto"/>
        </w:rPr>
      </w:pPr>
    </w:p>
    <w:p>
      <w:pPr>
        <w:ind w:left="160" w:right="120" w:firstLine="546"/>
        <w:spacing w:after="0" w:line="257" w:lineRule="auto"/>
        <w:rPr>
          <w:sz w:val="20"/>
          <w:szCs w:val="20"/>
          <w:color w:val="auto"/>
        </w:rPr>
      </w:pPr>
      <w:r>
        <w:rPr>
          <w:rFonts w:ascii="Arial" w:cs="Arial" w:eastAsia="Arial" w:hAnsi="Arial"/>
          <w:sz w:val="17"/>
          <w:szCs w:val="17"/>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As of December 31, 2020, we have net operating loss (“NOL”) carryforwards for U.S. federal income tax purposes, and similar state amounts, of approximately $90.1 million available to reduce future income subject to income taxes before limitations of which $90.1 million is utilizable. U.S. federal NOL carryforwards generated prior to 2018 in the approximate amount of $26.6 million will begin to expire, if not utilized, in 2033. It is possible that we will not generate taxable income in time to use NOLs before their expiration, or at all.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w:t>
      </w:r>
    </w:p>
    <w:p>
      <w:pPr>
        <w:spacing w:after="0" w:line="204"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NOLs, these changes will not impact our balance sheet as of December 31, 2020.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2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209"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80"/>
        <w:spacing w:after="0" w:line="237" w:lineRule="auto"/>
        <w:rPr>
          <w:sz w:val="20"/>
          <w:szCs w:val="20"/>
          <w:color w:val="auto"/>
        </w:rPr>
      </w:pPr>
      <w:r>
        <w:rPr>
          <w:rFonts w:ascii="Arial" w:cs="Arial" w:eastAsia="Arial" w:hAnsi="Arial"/>
          <w:sz w:val="18"/>
          <w:szCs w:val="18"/>
          <w:color w:val="auto"/>
        </w:rPr>
        <w:t>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288"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operation of our platform depends on certain third-party service providers. In particular, 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including any disruptions in light of increased usage during the COVID-19 pandemic.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287"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73"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We believe the volume and variety of designs and manufacturing processes we process and the size and diversity of our buyers give us valuable insight into the needs of our prospective buyers and the ability of our community of sellers to meet those needs. We utilize this industry knowledge to better match buyers and sellers and to improve pricing. If the number and diversity of designs and manufacturing processes we process, or the size and diversity of our buyer or seller bases decrease, our ability to expand our business and improve pricing could be negatively impacted. In addition, even if we do continue to process a large number and variety of designs and manufacturing processes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6"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40"/>
        <w:spacing w:after="0" w:line="237" w:lineRule="auto"/>
        <w:rPr>
          <w:sz w:val="20"/>
          <w:szCs w:val="20"/>
          <w:color w:val="auto"/>
        </w:rPr>
      </w:pPr>
      <w:r>
        <w:rPr>
          <w:rFonts w:ascii="Arial" w:cs="Arial" w:eastAsia="Arial" w:hAnsi="Arial"/>
          <w:sz w:val="18"/>
          <w:szCs w:val="18"/>
          <w:color w:val="auto"/>
        </w:rPr>
        <w:t>work with significant and diverse buyer and seller bases, there are no guarantees that we will successfully identify significant business opportunities, improve the products and services available on our platform or increase the number of transactions on our platform as a result.</w:t>
      </w:r>
    </w:p>
    <w:p>
      <w:pPr>
        <w:spacing w:after="0" w:line="288"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If our present single or limited source sellers become unavailable or inadequate, our buyer relationships, results of operations and financial condition may be adversely affected.</w:t>
      </w:r>
    </w:p>
    <w:p>
      <w:pPr>
        <w:spacing w:after="0" w:line="73" w:lineRule="exact"/>
        <w:rPr>
          <w:sz w:val="20"/>
          <w:szCs w:val="20"/>
          <w:color w:val="auto"/>
        </w:rPr>
      </w:pPr>
    </w:p>
    <w:p>
      <w:pPr>
        <w:jc w:val="both"/>
        <w:ind w:left="160" w:right="40" w:firstLine="546"/>
        <w:spacing w:after="0" w:line="251" w:lineRule="auto"/>
        <w:rPr>
          <w:sz w:val="20"/>
          <w:szCs w:val="20"/>
          <w:color w:val="auto"/>
        </w:rPr>
      </w:pPr>
      <w:r>
        <w:rPr>
          <w:rFonts w:ascii="Arial" w:cs="Arial" w:eastAsia="Arial" w:hAnsi="Arial"/>
          <w:sz w:val="17"/>
          <w:szCs w:val="17"/>
          <w:color w:val="auto"/>
        </w:rPr>
        <w:t>While most manufacturing equipment and materials for our buyers’ orders are available from multiple sellers, certain of those items are only available from single or limited sources. Should any of our present single or limited source sellers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seller could adversely affect our relationship with our buyers and our results of operations and financial condition.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123" w:lineRule="exact"/>
        <w:rPr>
          <w:sz w:val="20"/>
          <w:szCs w:val="20"/>
          <w:color w:val="auto"/>
        </w:rPr>
      </w:pPr>
    </w:p>
    <w:p>
      <w:pPr>
        <w:ind w:left="160" w:right="120" w:firstLine="546"/>
        <w:spacing w:after="0" w:line="250" w:lineRule="auto"/>
        <w:rPr>
          <w:sz w:val="20"/>
          <w:szCs w:val="20"/>
          <w:color w:val="auto"/>
        </w:rPr>
      </w:pPr>
      <w:r>
        <w:rPr>
          <w:rFonts w:ascii="Arial" w:cs="Arial" w:eastAsia="Arial" w:hAnsi="Arial"/>
          <w:sz w:val="17"/>
          <w:szCs w:val="17"/>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As discussed in Note 2 to the consolidated financial statements, we changed our method of accounting for leases as of January 1, 2019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amended. It is difficult to predict the impact of future changes to accounting principles or our accounting policies, any of which could negatively affect our reported results of operations.</w:t>
      </w:r>
    </w:p>
    <w:p>
      <w:pPr>
        <w:spacing w:after="0" w:line="281"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73"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Our performance is in part subject to economic conditions and their impact on levels of consumer spending, as consumer spending impacts buyers and sellers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Further, small businesses that do not have substantial resources, like some of the buyers and sellers transacting on our marketplace, tend to be more adversely affected by poor economic conditions than large businesses. If buyers or sellers on our platform were to cease operations, temporarily or permanently, or face financial distress or other business disruption, our business, financial condition, and results of operation may be materially and adversely affected.</w:t>
      </w:r>
    </w:p>
    <w:p>
      <w:pPr>
        <w:spacing w:after="0" w:line="285"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b w:val="1"/>
          <w:bCs w:val="1"/>
          <w:i w:val="1"/>
          <w:iCs w:val="1"/>
          <w:color w:val="auto"/>
        </w:rPr>
        <w:t>The terms of our Amended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87"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are party to the Amended Loan and Security Agreement with Hercules Capital, Inc., or Hercules. Under the Amended Loan and Security Agreement, we can borrow up to $15.0 million under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6"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20"/>
        <w:spacing w:after="0" w:line="239" w:lineRule="auto"/>
        <w:rPr>
          <w:sz w:val="20"/>
          <w:szCs w:val="20"/>
          <w:color w:val="auto"/>
        </w:rPr>
      </w:pPr>
      <w:r>
        <w:rPr>
          <w:rFonts w:ascii="Arial" w:cs="Arial" w:eastAsia="Arial" w:hAnsi="Arial"/>
          <w:sz w:val="18"/>
          <w:szCs w:val="18"/>
          <w:color w:val="auto"/>
        </w:rPr>
        <w:t>a term loan, or the term loan facility, all of which became available to us immediately on the agreement date. As of March 31, 2021, we had $15.8 million of outstanding borrowings under the term loan facility. We could also incur additional indebtedness in the future.</w:t>
      </w:r>
    </w:p>
    <w:p>
      <w:pPr>
        <w:spacing w:after="0" w:line="203" w:lineRule="exact"/>
        <w:rPr>
          <w:sz w:val="20"/>
          <w:szCs w:val="20"/>
          <w:color w:val="auto"/>
        </w:rPr>
      </w:pPr>
    </w:p>
    <w:p>
      <w:pPr>
        <w:ind w:left="160" w:right="220" w:firstLine="546"/>
        <w:spacing w:after="0" w:line="253" w:lineRule="auto"/>
        <w:rPr>
          <w:sz w:val="20"/>
          <w:szCs w:val="20"/>
          <w:color w:val="auto"/>
        </w:rPr>
      </w:pPr>
      <w:r>
        <w:rPr>
          <w:rFonts w:ascii="Arial" w:cs="Arial" w:eastAsia="Arial" w:hAnsi="Arial"/>
          <w:sz w:val="17"/>
          <w:szCs w:val="17"/>
          <w:color w:val="auto"/>
        </w:rPr>
        <w:t>Our payment obligations under the Amended Loan and Security Agreement reduce cash available to fund working capital, capital expenditures, product development and general corporate needs. In addition, indebtedness under the Amended Loan and Security Agreement may bear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92"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7"/>
          <w:szCs w:val="17"/>
          <w:color w:val="auto"/>
        </w:rPr>
        <w:t>Our obligations under the Amended Loan and Security Agreement are secured by substantially all of our assets. The security interest granted over our assets could limit our ability to obtain additional debt financing. In addition, the Amended Loan and Security Agreement contains customary affirmative and negative covenants restricting our activities, including limitations on: dispositions, mergers or acquisitions; encumbering our intellectual property; incurring indebtedness or liens; paying dividends or redeeming stock or making other distributions; making certain investments; liquidating our company; entering into sale-leaseback arrangements and engaging in certain other business transactions. In addition, we are required to maintain a minimum revenue amount as set forth more fully in the Amended Loan and Security Agreement. Failure to comply with the covenants in the Amended Loan and Security Agreement, including the minimum revenue covenant, could result in the acceleration of our obligations under the Amended Loan and Security Agreement, and, if such acceleration were to occur, it would materially and adversely affect our business, financial condition and results of operations.</w:t>
      </w:r>
    </w:p>
    <w:p>
      <w:pPr>
        <w:spacing w:after="0" w:line="19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may not have sufficient funds, and may be unable to arrange for additional financing, to pay the amounts due under our debt arrangements. The obligations under the Amended Loan and Security Agreement are subject to acceleration upon the occurrence of specified events of default, including payment default, change in control, bankruptcy, insolvency, certain defaults under other material debt, certain events with respect to regulatory approvals and a material adverse change in our business, operations or other financial condition. If an event of default (other than certain events of bankruptcy or insolvency) occurs and is continuing, Hercules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The term loan facility contains an end of term fee due and payable on the maturity date of May 1, 2022, in the amount of $1.2 million, however, if the term loan is paid prior to November 1, 2021, the amount owed would be $0.9 million.</w:t>
      </w:r>
    </w:p>
    <w:p>
      <w:pPr>
        <w:spacing w:after="0" w:line="202" w:lineRule="exact"/>
        <w:rPr>
          <w:sz w:val="20"/>
          <w:szCs w:val="20"/>
          <w:color w:val="auto"/>
        </w:rPr>
      </w:pPr>
    </w:p>
    <w:p>
      <w:pPr>
        <w:ind w:left="160" w:right="420" w:firstLine="546"/>
        <w:spacing w:after="0" w:line="236" w:lineRule="auto"/>
        <w:rPr>
          <w:sz w:val="20"/>
          <w:szCs w:val="20"/>
          <w:color w:val="auto"/>
        </w:rPr>
      </w:pPr>
      <w:r>
        <w:rPr>
          <w:rFonts w:ascii="Arial" w:cs="Arial" w:eastAsia="Arial" w:hAnsi="Arial"/>
          <w:sz w:val="18"/>
          <w:szCs w:val="18"/>
          <w:color w:val="auto"/>
        </w:rPr>
        <w:t>Our outstanding indebtedness and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2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report our financial results in U.S. dollars. We collect our revenue primarily in U.S. dollars. A portion of the cost of revenue, product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such jurisdictions exceeds the rate of decline in the relative value of the applicable foreign currency, then the U.S. dollar cost of our operations in non-U.S. jurisdictions would increase and our results of operations could be materially and adversely affected. We do not currently enter into hedging transactions and our business, financial condition and results of operations could be materially and adversely affected if we are unable to effectively hedge against currency fluctuations in the future.</w:t>
      </w:r>
    </w:p>
    <w:p>
      <w:pPr>
        <w:spacing w:after="0" w:line="28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Risks Related to Ownership of Our Class A Common Stock and this Offering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2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109" w:lineRule="exact"/>
        <w:rPr>
          <w:sz w:val="20"/>
          <w:szCs w:val="20"/>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financial condition;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08"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9" w:lineRule="exact"/>
        <w:rPr>
          <w:sz w:val="20"/>
          <w:szCs w:val="20"/>
          <w:color w:val="auto"/>
        </w:rPr>
      </w:pPr>
    </w:p>
    <w:p>
      <w:pPr>
        <w:ind w:left="160" w:right="420"/>
        <w:spacing w:after="0" w:line="265"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7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6"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980"/>
        <w:spacing w:after="0" w:line="239" w:lineRule="auto"/>
        <w:rPr>
          <w:sz w:val="20"/>
          <w:szCs w:val="20"/>
          <w:color w:val="auto"/>
        </w:rPr>
      </w:pPr>
      <w:r>
        <w:rPr>
          <w:rFonts w:ascii="Arial" w:cs="Arial" w:eastAsia="Arial" w:hAnsi="Arial"/>
          <w:sz w:val="18"/>
          <w:szCs w:val="18"/>
          <w:color w:val="auto"/>
        </w:rPr>
        <w:t>ability to raise capital to continue to fund operations by selling shares and may impair our ability to acquire other companies or technologies by using our shares as consideration.</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Further, certain funds and accounts advised or sub-advised by T. Rowe Price Associates, Inc. have indicated a non -binding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If these entities are allocated all or a portion of the shares in which they have indicated an interest in this offering, and they purchase any such shares, such purchases could reduce the available public float for shares of our Class A common stock if these funds hold shares long term as existing holders of our Class A common stock.</w:t>
      </w:r>
    </w:p>
    <w:p>
      <w:pPr>
        <w:spacing w:after="0" w:line="295"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 which could affect our results of operations and cause our stock price to decline.</w:t>
      </w:r>
    </w:p>
    <w:p>
      <w:pPr>
        <w:spacing w:after="0" w:line="7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Investors will need to rely upon the judgement of our management team with respect to the use of proceeds from this offering. If we do not use the net proceeds that we receive in this offering effectively, our business, financial condition, and results of operations could be harmed, and the market price of our Class A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288"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following the offering, including sales of a substantial number of shares of our Class A common stock by our existing stockholders, could cause the market price of our common stock to decline.</w:t>
      </w:r>
    </w:p>
    <w:p>
      <w:pPr>
        <w:spacing w:after="0" w:line="87"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could have substantial unrecognized gains on the value of the equity they hold based upon the expected price of this offering, and therefore they make take steps to sell their respective shares or otherwise secure the unrecognized gains on those shares. We are unable to predict the timing of or the effect that such sales may have on the prevailing market price of our Class A common stock.</w:t>
      </w:r>
    </w:p>
    <w:p>
      <w:pPr>
        <w:spacing w:after="0" w:line="202"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or market standoff agreements that restrict their ability to transfer shares of our capital stock for 180 days from the date of this prospectus,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6"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subject to the early release provisions described in the section titled “Underwriting.” Subject to certain exceptions, these lock-up and market stand-off agreements limit the number of shares of capital stock that may be sold immediately following this offering. Goldman Sachs &amp; Co. LLC and J.P. Morgan Securities LLC may, subject to certain exceptions, in their sole discretion, permit our stockholders who are subject to these lock-up and market stand-off agreements to sell shares prior to their expiration, subject to applicable notice requirements. If not earlier released, all of the shares of common stock will become eligible for sale upon expiration of the 180-day lock-up period, except for any shares held by our affiliates as defined in Rule 144 under the Securities Act of 1933, as amended, or the Securities Act.</w:t>
      </w:r>
    </w:p>
    <w:p>
      <w:pPr>
        <w:spacing w:after="0" w:line="206"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In addition, there were 2,742,441 shares of Class A common stock issuable upon the exercise of options outstanding as of March 31, 2021. We intend to register all of the shares of Class A common stock issuable upon exercise of outstanding options or other equity incentives we may grant in the future, for public resale under the Securities Act. The shares of Class A common stock will become eligible for sale in the public market to the extent such options are exercised, subject to the lock-up and market stand-off agreements described above and compliance with applicable securities laws. Based on shares outstanding as of March 31, 2021, upon completion of this offering, holders of up to approximately 27,738,301 shares, or 69.0%, of our Class A common stock and 1,475,311 shares of our Class B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204" w:lineRule="exact"/>
        <w:rPr>
          <w:sz w:val="20"/>
          <w:szCs w:val="20"/>
          <w:color w:val="auto"/>
        </w:rPr>
      </w:pPr>
    </w:p>
    <w:p>
      <w:pPr>
        <w:jc w:val="both"/>
        <w:ind w:left="160" w:right="240" w:firstLine="546"/>
        <w:spacing w:after="0" w:line="237" w:lineRule="auto"/>
        <w:rPr>
          <w:sz w:val="20"/>
          <w:szCs w:val="20"/>
          <w:color w:val="auto"/>
        </w:rPr>
      </w:pPr>
      <w:r>
        <w:rPr>
          <w:rFonts w:ascii="Arial" w:cs="Arial" w:eastAsia="Arial" w:hAnsi="Arial"/>
          <w:sz w:val="18"/>
          <w:szCs w:val="18"/>
          <w:color w:val="auto"/>
        </w:rPr>
        <w:t>We may issue our shares of Class A common stock or securities convertible into our Class A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288"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73"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80"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73"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7"/>
          <w:szCs w:val="17"/>
          <w:color w:val="auto"/>
        </w:rPr>
        <w:t>We may, but are not obligated to, provide public guidance on our expected operating and financial results for future periods. Any such guidance will comprise forward-looking statements, subject to the risks and uncertainties described in this prospectus and in our other public filings and 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320" w:top="456"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7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9"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73" w:lineRule="exact"/>
        <w:rPr>
          <w:sz w:val="20"/>
          <w:szCs w:val="20"/>
          <w:color w:val="auto"/>
        </w:rPr>
      </w:pPr>
    </w:p>
    <w:p>
      <w:pPr>
        <w:ind w:left="160" w:right="80" w:firstLine="546"/>
        <w:spacing w:after="0" w:line="250" w:lineRule="auto"/>
        <w:rPr>
          <w:sz w:val="20"/>
          <w:szCs w:val="20"/>
          <w:color w:val="auto"/>
        </w:rPr>
      </w:pPr>
      <w:r>
        <w:rPr>
          <w:rFonts w:ascii="Arial" w:cs="Arial" w:eastAsia="Arial" w:hAnsi="Arial"/>
          <w:sz w:val="17"/>
          <w:szCs w:val="17"/>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$33.23 per share, or $32.51 per share if the underwriters exercise their option to purchase additional shares from us in full, representing the difference between our pro forma as adjusted net tangible book value per share and the assumed public offering price of $40.00 per share, the midpoint of the price range set forth on the cover page of this prospectus. See “Dilution.” If outstanding options or warrants to purchase our Class A common stock are exercised in the future, you will experience additional dilution.</w:t>
      </w:r>
    </w:p>
    <w:p>
      <w:pPr>
        <w:spacing w:after="0" w:line="28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7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Instead, we anticipate that all of our earnings, if any, in the foreseeable future will be used to provide working capital, to support our operations and to finance the growth and development of our business.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89"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7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including Xometry Pay and FastPay, as they become more widely used by sellers.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debt could restrict our operations, including our ability to pay dividends on our Class A common stock. 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202"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As of March 31, 2021, we had $49.5 million in cash and cash equivalents. While we believe the net proceeds from this offering, together with our existing cash and cash equivalents, will be sufficient to meet our anticipated cash needs for at least twelve months following the date of this prospectus,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29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b w:val="1"/>
          <w:bCs w:val="1"/>
          <w:i w:val="1"/>
          <w:iCs w:val="1"/>
          <w:color w:val="auto"/>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9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Class B common stock has twenty votes per share, whereas our Class A common stock, which is the stock we are offering in this offering, has one vote per share. Our co-founders will collectively own shares representing approximately 57.1% of the voting power of our outstanding capital stock immediately following the closing of this offering, based on the number of shares outstanding as of March 31, 2021.</w:t>
      </w:r>
    </w:p>
    <w:p>
      <w:pPr>
        <w:spacing w:after="0" w:line="202"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As a result, the holders of our Class B common stock will have the ability to control the outcome of most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206"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After the completion of this offering, any holder’s shares of Class B common stock will convert automatically into Class A common stock, on a one-to-one basis, upon: (1) the sale or transfer of such shares of Class B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 (2) the death or incapacity of the Class B common stockholder; (3) such holder’s departure from our board of directors; and (4) on the final conversion date, defined as the earlier of (a) the seventh anniversary of this offering; or (b) the date specified by vote of the holders of a majority of the outstanding shares of Class B common stock. For a description of the dual-class structure, see “Description of Capital Stock.”</w:t>
      </w:r>
    </w:p>
    <w:p>
      <w:pPr>
        <w:spacing w:after="0" w:line="204"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the listing of our Class A common stock on The Nasdaq Global Select Market, any future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40"/>
        <w:spacing w:after="0" w:line="237" w:lineRule="auto"/>
        <w:rPr>
          <w:sz w:val="20"/>
          <w:szCs w:val="20"/>
          <w:color w:val="auto"/>
        </w:rPr>
      </w:pPr>
      <w:r>
        <w:rPr>
          <w:rFonts w:ascii="Arial" w:cs="Arial" w:eastAsia="Arial" w:hAnsi="Arial"/>
          <w:sz w:val="18"/>
          <w:szCs w:val="18"/>
          <w:color w:val="auto"/>
        </w:rPr>
        <w:t>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impact our dual-class structure may have on the market price of our Class A common stock.</w:t>
      </w:r>
    </w:p>
    <w:p>
      <w:pPr>
        <w:spacing w:after="0" w:line="123" w:lineRule="exact"/>
        <w:rPr>
          <w:sz w:val="20"/>
          <w:szCs w:val="20"/>
          <w:color w:val="auto"/>
        </w:rPr>
      </w:pPr>
    </w:p>
    <w:p>
      <w:pPr>
        <w:ind w:left="160" w:firstLine="546"/>
        <w:spacing w:after="0" w:line="249" w:lineRule="auto"/>
        <w:rPr>
          <w:sz w:val="20"/>
          <w:szCs w:val="20"/>
          <w:color w:val="auto"/>
        </w:rPr>
      </w:pPr>
      <w:r>
        <w:rPr>
          <w:rFonts w:ascii="Arial" w:cs="Arial" w:eastAsia="Arial" w:hAnsi="Arial"/>
          <w:sz w:val="17"/>
          <w:szCs w:val="17"/>
          <w:color w:val="auto"/>
        </w:rPr>
        <w:t>We cannot predict whether our dual-class structure, combined with the concentrated control of our co-founders,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dual-class capital structure would make us ineligible for inclusion in any of these indices. Given the sustained flow of investment funds into passive strategies that seek to track certain indexes,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281"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7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06"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prospectus,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and compensation committees.</w:t>
      </w:r>
    </w:p>
    <w:p>
      <w:pPr>
        <w:spacing w:after="0" w:line="202"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288"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87"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109" w:lineRule="exact"/>
        <w:rPr>
          <w:sz w:val="20"/>
          <w:szCs w:val="20"/>
          <w:color w:val="auto"/>
        </w:rPr>
      </w:pPr>
    </w:p>
    <w:p>
      <w:pPr>
        <w:ind w:left="920" w:right="10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09" w:lineRule="exact"/>
        <w:rPr>
          <w:rFonts w:ascii="Arial" w:cs="Arial" w:eastAsia="Arial" w:hAnsi="Arial"/>
          <w:sz w:val="18"/>
          <w:szCs w:val="18"/>
          <w:color w:val="auto"/>
        </w:rPr>
      </w:pPr>
    </w:p>
    <w:p>
      <w:pPr>
        <w:ind w:left="920" w:right="32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09" w:lineRule="exact"/>
        <w:rPr>
          <w:rFonts w:ascii="Arial" w:cs="Arial" w:eastAsia="Arial" w:hAnsi="Arial"/>
          <w:sz w:val="18"/>
          <w:szCs w:val="18"/>
          <w:color w:val="auto"/>
        </w:rPr>
      </w:pPr>
    </w:p>
    <w:p>
      <w:pPr>
        <w:ind w:left="920" w:right="28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3" w:lineRule="exact"/>
        <w:rPr>
          <w:rFonts w:ascii="Arial" w:cs="Arial" w:eastAsia="Arial" w:hAnsi="Arial"/>
          <w:sz w:val="18"/>
          <w:szCs w:val="18"/>
          <w:color w:val="auto"/>
        </w:rPr>
      </w:pPr>
    </w:p>
    <w:p>
      <w:pPr>
        <w:ind w:left="920" w:right="48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our voting common stock;</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09" w:lineRule="exact"/>
        <w:rPr>
          <w:rFonts w:ascii="Arial" w:cs="Arial" w:eastAsia="Arial" w:hAnsi="Arial"/>
          <w:sz w:val="18"/>
          <w:szCs w:val="18"/>
          <w:color w:val="auto"/>
        </w:rPr>
      </w:pPr>
    </w:p>
    <w:p>
      <w:pPr>
        <w:ind w:left="920" w:right="840" w:hanging="218"/>
        <w:spacing w:after="0" w:line="268"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79"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93" w:lineRule="exact"/>
        <w:rPr>
          <w:sz w:val="20"/>
          <w:szCs w:val="20"/>
          <w:color w:val="auto"/>
        </w:rPr>
      </w:pPr>
    </w:p>
    <w:p>
      <w:pPr>
        <w:ind w:left="160" w:firstLine="546"/>
        <w:spacing w:after="0" w:line="246" w:lineRule="auto"/>
        <w:rPr>
          <w:sz w:val="20"/>
          <w:szCs w:val="20"/>
          <w:color w:val="auto"/>
        </w:rPr>
      </w:pPr>
      <w:r>
        <w:rPr>
          <w:rFonts w:ascii="Arial" w:cs="Arial" w:eastAsia="Arial" w:hAnsi="Arial"/>
          <w:sz w:val="17"/>
          <w:szCs w:val="17"/>
          <w:color w:val="auto"/>
        </w:rPr>
        <w:t>Our amended and restated certificate of incorporation to be effective upon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w:t>
      </w:r>
    </w:p>
    <w:p>
      <w:pPr>
        <w:spacing w:after="0" w:line="1" w:lineRule="exact"/>
        <w:rPr>
          <w:sz w:val="20"/>
          <w:szCs w:val="20"/>
          <w:color w:val="auto"/>
        </w:rPr>
      </w:pPr>
    </w:p>
    <w:p>
      <w:pPr>
        <w:ind w:left="160" w:right="20" w:firstLine="7"/>
        <w:spacing w:after="0" w:line="235" w:lineRule="auto"/>
        <w:tabs>
          <w:tab w:leader="none" w:pos="4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2"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In addition, our amended and restated certificate of incorporation will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202"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Risk Factors</w:t>
      </w:r>
    </w:p>
    <w:p>
      <w:pPr>
        <w:spacing w:after="0" w:line="208"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personnel, our business and future growth prospects would be harmed.</w:t>
      </w:r>
    </w:p>
    <w:p>
      <w:pPr>
        <w:spacing w:after="0" w:line="7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as well as other key personnel. These executives and key personnel have been primarily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responsible for determining the strategic direction of the business and executing our growth strategy and are integral to our brand, culture and reputation with buyers and sellers.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287"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7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204"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or the IRS, with respect to the Tax Act may affect us, and certain aspects of the Tax Act could be repealed or modified in future legislation. The Coronavirus Aid, Relief, and Economic Security Act, or the CARES Act, has already modified certain provisions of the Tax Act. In addition, it is uncertain if and to what extent various states will conform to the Tax Act, the CARES Act or any newly enacted federal tax legislation.</w:t>
      </w:r>
    </w:p>
    <w:p>
      <w:pPr>
        <w:spacing w:after="0" w:line="291"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71"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We qualify as an “emerging growth company” as defined in Section 2(a)(19) of the Securities Act, as modified by the JOBS Act. As such, we are eligible for and intend to take advantage of certain</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6"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46" w:lineRule="auto"/>
        <w:rPr>
          <w:sz w:val="20"/>
          <w:szCs w:val="20"/>
          <w:color w:val="auto"/>
        </w:rPr>
      </w:pPr>
      <w:r>
        <w:rPr>
          <w:rFonts w:ascii="Arial" w:cs="Arial" w:eastAsia="Arial" w:hAnsi="Arial"/>
          <w:sz w:val="17"/>
          <w:szCs w:val="17"/>
          <w:color w:val="auto"/>
        </w:rPr>
        <w:t>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w:t>
      </w:r>
    </w:p>
    <w:p>
      <w:pPr>
        <w:spacing w:after="0" w:line="2" w:lineRule="exact"/>
        <w:rPr>
          <w:sz w:val="20"/>
          <w:szCs w:val="20"/>
          <w:color w:val="auto"/>
        </w:rPr>
      </w:pPr>
    </w:p>
    <w:p>
      <w:pPr>
        <w:ind w:left="160" w:right="80" w:firstLine="7"/>
        <w:spacing w:after="0" w:line="235" w:lineRule="auto"/>
        <w:tabs>
          <w:tab w:leader="none" w:pos="4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first sale of our Class A common stock in our initial public offering.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0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emerging growth company which has opted out of using the extended transition period difficult or impossible because of the potential differences in accounting standards used.</w:t>
      </w:r>
    </w:p>
    <w:p>
      <w:pPr>
        <w:spacing w:after="0" w:line="287" w:lineRule="exact"/>
        <w:rPr>
          <w:sz w:val="20"/>
          <w:szCs w:val="20"/>
          <w:color w:val="auto"/>
        </w:rPr>
      </w:pPr>
    </w:p>
    <w:p>
      <w:pPr>
        <w:ind w:left="160" w:right="700"/>
        <w:spacing w:after="0" w:line="265"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3"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of 2002, or the Sarbanes- 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202"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209"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12" w:lineRule="exact"/>
        <w:rPr>
          <w:sz w:val="20"/>
          <w:szCs w:val="20"/>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3"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COVID-19 and the associated global economic uncertainty or other public health crises;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or other proprietary rights and any costs associated therewith;</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0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96"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6"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INDUSTRY AND OTHER DATA</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contains statistical data, estimates and forecasts that are based on independent industry publications or other publicly available information, as well as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320" w:top="456"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estimate that we will receive net proceeds from this offering of approximately $252.4 million (or approximately $290.9 million if the underwriters exercise their option to purchase additional shares of our Class A common stock in full) based on an assumed initial public offering price of $40.00 per share of Class A common stock, the midpoint of the estimated price range set forth on the cover page of this prospectus, after deducting estimated underwriting discounts and commissions and estimated offering expenses.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A $1.00 increase (decrease) in the assumed initial public offering price of $40.00 per share of Class A common stock would increase (decrease) the net proceeds to us from this offering by approximately $6.4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net proceeds to us from this offering by approximately $37.3 million, assuming the assumed initial public offering price of $40.00 per share of Class A common stock remains the same, and after deducting estimated underwriting discounts and commissions and estimated offering expenses.</w:t>
      </w:r>
    </w:p>
    <w:p>
      <w:pPr>
        <w:spacing w:after="0" w:line="206"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to repay our outstanding indebtedness under our Amended Loan and Security Agreement, which matures on May 1, 2022 and under which $15.8 million was outstanding at an annual interest rate of 8.7% as of March 31, 2021. In addition, we may also use a portion of the net proceeds from this offering to acquire complementary businesses, products, services or technologies. However, we do not have agreements or commitments to enter into any acquisitions at this time.</w:t>
      </w:r>
    </w:p>
    <w:p>
      <w:pPr>
        <w:spacing w:after="0" w:line="204"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6"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DIVIDEND POLICY</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20"/>
          </w:cols>
          <w:pgMar w:left="320" w:top="456" w:right="6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14" w:lineRule="exact"/>
        <w:rPr>
          <w:sz w:val="20"/>
          <w:szCs w:val="20"/>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3" w:lineRule="exact"/>
        <w:rPr>
          <w:rFonts w:ascii="Arial" w:cs="Arial" w:eastAsia="Arial" w:hAnsi="Arial"/>
          <w:sz w:val="18"/>
          <w:szCs w:val="18"/>
          <w:color w:val="auto"/>
        </w:rPr>
      </w:pPr>
    </w:p>
    <w:p>
      <w:pPr>
        <w:ind w:left="920" w:hanging="218"/>
        <w:spacing w:after="0" w:line="235"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basis, giving effect to (1) the reclassification of our outstanding common stock into Class A common stock, (2) the automatic conversion of all of our outstanding shares of convertible preferred stock into an aggregate of 27,758,941 shares of Class A common stock in connection with this offering, (3) the exchange of an aggregate of 2,676,154 shares of Class A common stock held by our co-founders for an equivalent number of shares of our Class B common stock pursuant to the terms of an exchange agreement to be entered into with us, and (4) the filing and effectiveness of our amended and restated certificate of incorporation which will be in effect on the completion of this offering; and</w:t>
      </w:r>
    </w:p>
    <w:p>
      <w:pPr>
        <w:spacing w:after="0" w:line="107" w:lineRule="exact"/>
        <w:rPr>
          <w:rFonts w:ascii="Arial" w:cs="Arial" w:eastAsia="Arial" w:hAnsi="Arial"/>
          <w:sz w:val="18"/>
          <w:szCs w:val="18"/>
          <w:color w:val="auto"/>
        </w:rPr>
      </w:pPr>
    </w:p>
    <w:p>
      <w:pPr>
        <w:ind w:left="920" w:right="160" w:hanging="218"/>
        <w:spacing w:after="0" w:line="235"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(1) the pro forma adjustments set forth above, (2) our receipt of estimated net proceeds from the sale of shares of Class A common stock that we are offering at an assumed initial public offering price of $40.00 per share, the midpoint of the price range set forth on the cover page of this prospectus, after deducting the estimated underwriting discounts and commissions and estimated offering expenses and (3) repayment of our outstanding indebtedness under our Amended Loan and Security Agreement, as described in “Use of Proceeds.”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6"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As of March 31, 2021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94"/>
              <w:spacing w:after="0" w:line="141"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41"/>
        </w:trPr>
        <w:tc>
          <w:tcPr>
            <w:tcW w:w="66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960" w:type="dxa"/>
            <w:vAlign w:val="bottom"/>
            <w:tcBorders>
              <w:top w:val="single" w:sz="8" w:color="auto"/>
            </w:tcBorders>
            <w:gridSpan w:val="9"/>
          </w:tcPr>
          <w:p>
            <w:pPr>
              <w:jc w:val="right"/>
              <w:ind w:right="234"/>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49,512</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49,512</w:t>
            </w:r>
          </w:p>
        </w:tc>
        <w:tc>
          <w:tcPr>
            <w:tcW w:w="2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286,141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Convertible preferred stock, $0.000001 par value, 27,970,966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180"/>
              <w:spacing w:after="0" w:line="201" w:lineRule="exact"/>
              <w:rPr>
                <w:sz w:val="20"/>
                <w:szCs w:val="20"/>
                <w:color w:val="auto"/>
              </w:rPr>
            </w:pPr>
            <w:r>
              <w:rPr>
                <w:rFonts w:ascii="Arial" w:cs="Arial" w:eastAsia="Arial" w:hAnsi="Arial"/>
                <w:sz w:val="18"/>
                <w:szCs w:val="18"/>
                <w:color w:val="auto"/>
              </w:rPr>
              <w:t>authorized, 27,758,941 shares issued and outstanding, actual, and no</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180"/>
              <w:spacing w:after="0" w:line="201" w:lineRule="exact"/>
              <w:rPr>
                <w:sz w:val="20"/>
                <w:szCs w:val="20"/>
                <w:color w:val="auto"/>
              </w:rPr>
            </w:pPr>
            <w:r>
              <w:rPr>
                <w:rFonts w:ascii="Arial" w:cs="Arial" w:eastAsia="Arial" w:hAnsi="Arial"/>
                <w:sz w:val="18"/>
                <w:szCs w:val="18"/>
                <w:color w:val="auto"/>
              </w:rPr>
              <w:t>shares authorized, issued and outstanding, pro forma and pro forma as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180"/>
              <w:spacing w:after="0" w:line="201" w:lineRule="exact"/>
              <w:rPr>
                <w:sz w:val="20"/>
                <w:szCs w:val="20"/>
                <w:color w:val="auto"/>
              </w:rPr>
            </w:pPr>
            <w:r>
              <w:rPr>
                <w:rFonts w:ascii="Arial" w:cs="Arial" w:eastAsia="Arial" w:hAnsi="Arial"/>
                <w:sz w:val="18"/>
                <w:szCs w:val="18"/>
                <w:color w:val="auto"/>
              </w:rPr>
              <w:t>adjusted</w:t>
            </w:r>
          </w:p>
        </w:tc>
        <w:tc>
          <w:tcPr>
            <w:tcW w:w="18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160,713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60" w:type="dxa"/>
            <w:vAlign w:val="bottom"/>
          </w:tcPr>
          <w:p>
            <w:pPr>
              <w:ind w:left="360"/>
              <w:spacing w:after="0" w:line="200" w:lineRule="exact"/>
              <w:rPr>
                <w:sz w:val="20"/>
                <w:szCs w:val="20"/>
                <w:color w:val="auto"/>
              </w:rPr>
            </w:pPr>
            <w:r>
              <w:rPr>
                <w:rFonts w:ascii="Arial" w:cs="Arial" w:eastAsia="Arial" w:hAnsi="Arial"/>
                <w:sz w:val="18"/>
                <w:szCs w:val="18"/>
                <w:color w:val="auto"/>
              </w:rPr>
              <w:t>Preferred stock, $0.000001 par value, no shares authorized, issued, and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540"/>
              <w:spacing w:after="0" w:line="201" w:lineRule="exact"/>
              <w:rPr>
                <w:sz w:val="20"/>
                <w:szCs w:val="20"/>
                <w:color w:val="auto"/>
              </w:rPr>
            </w:pPr>
            <w:r>
              <w:rPr>
                <w:rFonts w:ascii="Arial" w:cs="Arial" w:eastAsia="Arial" w:hAnsi="Arial"/>
                <w:sz w:val="18"/>
                <w:szCs w:val="18"/>
                <w:color w:val="auto"/>
              </w:rPr>
              <w:t>outstanding, actual, and 50,000,000 shares authorized, no shares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540"/>
              <w:spacing w:after="0" w:line="201" w:lineRule="exact"/>
              <w:rPr>
                <w:sz w:val="20"/>
                <w:szCs w:val="20"/>
                <w:color w:val="auto"/>
              </w:rPr>
            </w:pPr>
            <w:r>
              <w:rPr>
                <w:rFonts w:ascii="Arial" w:cs="Arial" w:eastAsia="Arial" w:hAnsi="Arial"/>
                <w:sz w:val="18"/>
                <w:szCs w:val="18"/>
                <w:color w:val="auto"/>
              </w:rPr>
              <w:t>issued and outstanding, pro forma and pro forma as adjusted</w:t>
            </w:r>
          </w:p>
        </w:tc>
        <w:tc>
          <w:tcPr>
            <w:tcW w:w="18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666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Common stock, $0.000001 par value, 42,000,000 authorized,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8,239,494 shares issued and outstanding, actual, no shares authorized,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issued and outstanding, pro forma and pro forma as adjusted</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6660" w:type="dxa"/>
            <w:vAlign w:val="bottom"/>
          </w:tcPr>
          <w:p>
            <w:pPr>
              <w:ind w:left="360"/>
              <w:spacing w:after="0" w:line="200" w:lineRule="exact"/>
              <w:rPr>
                <w:sz w:val="20"/>
                <w:szCs w:val="20"/>
                <w:color w:val="auto"/>
              </w:rPr>
            </w:pPr>
            <w:r>
              <w:rPr>
                <w:rFonts w:ascii="Arial" w:cs="Arial" w:eastAsia="Arial" w:hAnsi="Arial"/>
                <w:sz w:val="18"/>
                <w:szCs w:val="18"/>
                <w:color w:val="auto"/>
              </w:rPr>
              <w:t>Class A common stock, $0.000001 par value, no shares authorized,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540"/>
              <w:spacing w:after="0" w:line="201" w:lineRule="exact"/>
              <w:rPr>
                <w:sz w:val="20"/>
                <w:szCs w:val="20"/>
                <w:color w:val="auto"/>
              </w:rPr>
            </w:pPr>
            <w:r>
              <w:rPr>
                <w:rFonts w:ascii="Arial" w:cs="Arial" w:eastAsia="Arial" w:hAnsi="Arial"/>
                <w:sz w:val="18"/>
                <w:szCs w:val="18"/>
                <w:color w:val="auto"/>
              </w:rPr>
              <w:t>issued and outstanding, actual, 750,000,000 shares authorized and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540"/>
              <w:spacing w:after="0" w:line="201" w:lineRule="exact"/>
              <w:rPr>
                <w:sz w:val="20"/>
                <w:szCs w:val="20"/>
                <w:color w:val="auto"/>
              </w:rPr>
            </w:pPr>
            <w:r>
              <w:rPr>
                <w:rFonts w:ascii="Arial" w:cs="Arial" w:eastAsia="Arial" w:hAnsi="Arial"/>
                <w:sz w:val="18"/>
                <w:szCs w:val="18"/>
                <w:color w:val="auto"/>
              </w:rPr>
              <w:t>33,322,281 shares issued and outstanding, pro forma, 750,000,000</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540"/>
              <w:spacing w:after="0" w:line="201" w:lineRule="exact"/>
              <w:rPr>
                <w:sz w:val="20"/>
                <w:szCs w:val="20"/>
                <w:color w:val="auto"/>
              </w:rPr>
            </w:pPr>
            <w:r>
              <w:rPr>
                <w:rFonts w:ascii="Arial" w:cs="Arial" w:eastAsia="Arial" w:hAnsi="Arial"/>
                <w:sz w:val="18"/>
                <w:szCs w:val="18"/>
                <w:color w:val="auto"/>
              </w:rPr>
              <w:t>shares authorized and 40,197,281 shares issued and outstanding, pro</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Pr>
          <w:p>
            <w:pPr>
              <w:ind w:left="540"/>
              <w:spacing w:after="0" w:line="201" w:lineRule="exact"/>
              <w:rPr>
                <w:sz w:val="20"/>
                <w:szCs w:val="20"/>
                <w:color w:val="auto"/>
              </w:rPr>
            </w:pPr>
            <w:r>
              <w:rPr>
                <w:rFonts w:ascii="Arial" w:cs="Arial" w:eastAsia="Arial" w:hAnsi="Arial"/>
                <w:sz w:val="18"/>
                <w:szCs w:val="18"/>
                <w:color w:val="auto"/>
              </w:rPr>
              <w:t>forma as adjusted</w:t>
            </w:r>
          </w:p>
        </w:tc>
        <w:tc>
          <w:tcPr>
            <w:tcW w:w="18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666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Class B common stock, $0.000001 par value, no shares authorized,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issued and outstanding, actual, 5,000,000 shares authorized and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2,676,154 shares issued and outstanding, pro forma and pro forma as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adjusted</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660" w:type="dxa"/>
            <w:vAlign w:val="bottom"/>
          </w:tcPr>
          <w:p>
            <w:pPr>
              <w:ind w:left="360"/>
              <w:spacing w:after="0" w:line="201"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1,854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162,567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399,196</w:t>
            </w: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1"/>
        </w:trPr>
        <w:tc>
          <w:tcPr>
            <w:tcW w:w="6660" w:type="dxa"/>
            <w:vAlign w:val="bottom"/>
          </w:tcPr>
          <w:p>
            <w:pPr>
              <w:ind w:left="360"/>
              <w:spacing w:after="0" w:line="201" w:lineRule="exact"/>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(122,463)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(122,463)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(122,463)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stockholders’ deficit</w:t>
            </w:r>
          </w:p>
        </w:tc>
        <w:tc>
          <w:tcPr>
            <w:tcW w:w="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(120,369)</w:t>
            </w:r>
          </w:p>
        </w:tc>
        <w:tc>
          <w:tcPr>
            <w:tcW w:w="4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40,344</w:t>
            </w:r>
          </w:p>
        </w:tc>
        <w:tc>
          <w:tcPr>
            <w:tcW w:w="2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276,973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6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40,344</w:t>
            </w:r>
          </w:p>
        </w:tc>
        <w:tc>
          <w:tcPr>
            <w:tcW w:w="2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40,344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276,973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$ 40.00 per share of Class A common stock, the midpoint of the estimated price range set forth on the cover page of this prospectus, would increase (decrease) each of our pro forma as adjusted cash and cash equivalents, additional paid-in capital, total stockholders’ equity and total capitalization by approximately $6.4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and cash equivalents, additional paid-in capital, total stockholders’ equity and total capitalization by approximately $37.3 million, assuming the assumed initial public offering price of $40.00 per</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 of Class A common stock remains the same, and after deducting estimated underwriting discounts and commissions.</w:t>
      </w:r>
    </w:p>
    <w:p>
      <w:pPr>
        <w:spacing w:after="0" w:line="208"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33,322,281 shares of Class A common stock and 2,676,154 shares of Class B common stock outstanding as of March 31, 2021 and excludes:</w:t>
      </w:r>
    </w:p>
    <w:p>
      <w:pPr>
        <w:spacing w:after="0" w:line="109" w:lineRule="exact"/>
        <w:rPr>
          <w:sz w:val="20"/>
          <w:szCs w:val="20"/>
          <w:color w:val="auto"/>
        </w:rPr>
      </w:pPr>
    </w:p>
    <w:p>
      <w:pPr>
        <w:ind w:left="920" w:right="180" w:hanging="218"/>
        <w:spacing w:after="0" w:line="239"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Plan and 2014 Plan with a weighted-average exercise price of $3.43 per share;</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1,308,381 shares of Class A common stock issuable on the exercise of outstanding stock options issued after March 31, 2021 pursuant to our 2016 Plan with a weighted-average exercise price of $12.32 per share;</w:t>
      </w:r>
    </w:p>
    <w:p>
      <w:pPr>
        <w:spacing w:after="0" w:line="109" w:lineRule="exact"/>
        <w:rPr>
          <w:rFonts w:ascii="Arial" w:cs="Arial" w:eastAsia="Arial" w:hAnsi="Arial"/>
          <w:sz w:val="18"/>
          <w:szCs w:val="18"/>
          <w:color w:val="auto"/>
        </w:rPr>
      </w:pPr>
    </w:p>
    <w:p>
      <w:pPr>
        <w:ind w:left="920" w:right="680" w:hanging="218"/>
        <w:spacing w:after="0" w:line="239"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112,026 shares of Class A common stock issuable on the exercise of warrants outstanding as of March 31, 2021 with a weighted-average exercise price of $4.37 per share;</w:t>
      </w:r>
    </w:p>
    <w:p>
      <w:pPr>
        <w:spacing w:after="0" w:line="109" w:lineRule="exact"/>
        <w:rPr>
          <w:rFonts w:ascii="Arial" w:cs="Arial" w:eastAsia="Arial" w:hAnsi="Arial"/>
          <w:sz w:val="18"/>
          <w:szCs w:val="18"/>
          <w:color w:val="auto"/>
        </w:rPr>
      </w:pPr>
    </w:p>
    <w:p>
      <w:pPr>
        <w:ind w:left="920" w:hanging="218"/>
        <w:spacing w:after="0" w:line="235"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Plan (which does not give effect to the contemplated director nominee grant described under “Management—Non-Employee Director Compensation”), which will become effective upon the execution of the underwriting agreement for this offering, as well as any future increases, including annual automatic evergreen increases, in the number of shares of Class A common stock reserved for issuance under our 2021 Plan, as more fully described in the section titled “Executive Compensation—Equity Incentive Plans”; and</w:t>
      </w:r>
    </w:p>
    <w:p>
      <w:pPr>
        <w:spacing w:after="0" w:line="110" w:lineRule="exact"/>
        <w:rPr>
          <w:rFonts w:ascii="Arial" w:cs="Arial" w:eastAsia="Arial" w:hAnsi="Arial"/>
          <w:sz w:val="18"/>
          <w:szCs w:val="18"/>
          <w:color w:val="auto"/>
        </w:rPr>
      </w:pPr>
    </w:p>
    <w:p>
      <w:pPr>
        <w:ind w:left="920" w:right="220" w:hanging="218"/>
        <w:spacing w:after="0" w:line="268" w:lineRule="auto"/>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1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320" w:top="456" w:right="5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30"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of Class A common stock immediately after this offering.</w:t>
      </w:r>
    </w:p>
    <w:p>
      <w:pPr>
        <w:spacing w:after="0" w:line="20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Our historical net tangible book value (deficit) as of March 31, 2021 was $(122.8) million, or $(14.90) per share. Our pro forma net tangible book value as of March 31, 2021 was $37.9 million, or $1.05 per share. Pro forma net tangible book value per share represents the amount of our total tangible assets less our total liabilities, divided by the number of our shares of Class A common stock and Class B common stock outstanding as of March 31, 2021, after giving effect to the automatic conversion of all outstanding shares of preferred stock into an aggregate of 27,758,941 shares of Class A common stock in connection with this offering and the exchange of an aggregate of 2,676,154 shares of Class A common stock held by our co-founders for an equivalent number of shares of Class B common stock pursuant to the terms of an exchange agreement to be entered into with us.</w:t>
      </w:r>
    </w:p>
    <w:p>
      <w:pPr>
        <w:spacing w:after="0" w:line="206" w:lineRule="exact"/>
        <w:rPr>
          <w:sz w:val="20"/>
          <w:szCs w:val="20"/>
          <w:color w:val="auto"/>
        </w:rPr>
      </w:pPr>
    </w:p>
    <w:p>
      <w:pPr>
        <w:ind w:left="160" w:right="220" w:firstLine="546"/>
        <w:spacing w:after="0" w:line="234" w:lineRule="auto"/>
        <w:rPr>
          <w:sz w:val="20"/>
          <w:szCs w:val="20"/>
          <w:color w:val="auto"/>
        </w:rPr>
      </w:pPr>
      <w:r>
        <w:rPr>
          <w:rFonts w:ascii="Arial" w:cs="Arial" w:eastAsia="Arial" w:hAnsi="Arial"/>
          <w:sz w:val="18"/>
          <w:szCs w:val="18"/>
          <w:color w:val="auto"/>
        </w:rPr>
        <w:t>After giving effect to the sale by us of 6,875,000 shares of Class A common stock in this offering at an assumed initial public offering price of $40.00 per share, the midpoint of the estimated price range set forth on the cover page of this prospectus, and after deducting estimated underwriting discounts and commissions and estimated offering expenses, our pro forma as adjusted net tangible book value as of March 31, 2021 would have been $290.4 million, or $6.77 per share. This amount represents an immediate increase in pro forma as adjusted net tangible book value of $5.72 per share to our existing stockholders and an immediate dilution in pro forma as adjusted net tangible book value of $33.23 per share to new investors purchasing Class A common stock in this offering. We determine dilution by subtracting the pro forma as adjusted net tangible book value per share after this offering from the amount of cash that a new investor paid for a share of Class A common stock. The following table illustrates this dilution on a per share basis: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 w:type="dxa"/>
            <w:vAlign w:val="bottom"/>
            <w:shd w:val="clear" w:color="auto" w:fill="CCEEFF"/>
          </w:tcPr>
          <w:p>
            <w:pPr>
              <w:spacing w:after="0"/>
              <w:rPr>
                <w:sz w:val="17"/>
                <w:szCs w:val="17"/>
                <w:color w:val="auto"/>
              </w:rPr>
            </w:pPr>
          </w:p>
        </w:tc>
        <w:tc>
          <w:tcPr>
            <w:tcW w:w="1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r>
        <w:trPr>
          <w:trHeight w:val="201"/>
        </w:trPr>
        <w:tc>
          <w:tcPr>
            <w:tcW w:w="20" w:type="dxa"/>
            <w:vAlign w:val="bottom"/>
          </w:tcPr>
          <w:p>
            <w:pPr>
              <w:spacing w:after="0"/>
              <w:rPr>
                <w:sz w:val="17"/>
                <w:szCs w:val="17"/>
                <w:color w:val="auto"/>
              </w:rPr>
            </w:pPr>
          </w:p>
        </w:tc>
        <w:tc>
          <w:tcPr>
            <w:tcW w:w="9220" w:type="dxa"/>
            <w:vAlign w:val="bottom"/>
          </w:tcPr>
          <w:p>
            <w:pPr>
              <w:ind w:left="340"/>
              <w:spacing w:after="0" w:line="201" w:lineRule="exact"/>
              <w:rPr>
                <w:sz w:val="20"/>
                <w:szCs w:val="20"/>
                <w:color w:val="auto"/>
              </w:rPr>
            </w:pPr>
            <w:r>
              <w:rPr>
                <w:rFonts w:ascii="Arial" w:cs="Arial" w:eastAsia="Arial" w:hAnsi="Arial"/>
                <w:sz w:val="18"/>
                <w:szCs w:val="18"/>
                <w:color w:val="auto"/>
              </w:rPr>
              <w:t>Historical net tangible book (deficit) per share</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4"/>
              </w:rPr>
              <w:t>(14.90)</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per share attributed to pro forma adjustments described above</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15.95</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922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Increase in pro forma as adjusted net tangible book value per share attributable to new investors purchasing</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2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shares in this offering</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5.72</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924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9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20" w:type="dxa"/>
            <w:vAlign w:val="bottom"/>
            <w:shd w:val="clear" w:color="auto" w:fill="CCEEFF"/>
          </w:tcPr>
          <w:p>
            <w:pPr>
              <w:spacing w:after="0"/>
              <w:rPr>
                <w:sz w:val="17"/>
                <w:szCs w:val="17"/>
                <w:color w:val="auto"/>
              </w:rPr>
            </w:pPr>
          </w:p>
        </w:tc>
        <w:tc>
          <w:tcPr>
            <w:tcW w:w="156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33.23</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 of this offering.</w:t>
      </w:r>
    </w:p>
    <w:p>
      <w:pPr>
        <w:spacing w:after="0" w:line="203" w:lineRule="exact"/>
        <w:rPr>
          <w:sz w:val="20"/>
          <w:szCs w:val="20"/>
          <w:color w:val="auto"/>
        </w:rPr>
      </w:pPr>
    </w:p>
    <w:p>
      <w:pPr>
        <w:ind w:left="160" w:right="100" w:firstLine="546"/>
        <w:spacing w:after="0" w:line="233" w:lineRule="auto"/>
        <w:rPr>
          <w:sz w:val="20"/>
          <w:szCs w:val="20"/>
          <w:color w:val="auto"/>
        </w:rPr>
      </w:pPr>
      <w:r>
        <w:rPr>
          <w:rFonts w:ascii="Arial" w:cs="Arial" w:eastAsia="Arial" w:hAnsi="Arial"/>
          <w:sz w:val="18"/>
          <w:szCs w:val="18"/>
          <w:color w:val="auto"/>
        </w:rPr>
        <w:t>A $1.00 increase (decrease) in the assumed initial public offering price of $ 40.00 per share of Class A common stock, the midpoint of the estimated price range set forth on the cover page of this prospectus, would increase (decrease) our pro forma as adjusted net tangible book value per share after this offering by $ 0.15 per share and increase (decrease) the dilution to new investors by $0.85 per share, in each case assuming the number of shares of Class A common stock offered by us, as set forth on the cover page of this prospectus, remains the same, and after deducting estimated underwriting discounts and commissions. Similarly, each increase of 1,000,000 shares in the number of shares of Class A common stock offered by us would increase our pro forma as adjusted net tangible book value by approximately $ 0.70 per share and decrease the dilution to new investors by approximately $0.70 per share, and each decrease of 1,000,000 shares in the number of Class A common stock offered by us would decrease our pro forma as adjusted net tangible book value by approximately $0.73 per share and increase the dilution to new investors by approximately $ 0.73 per share, in each case assuming the assumed initial public offering price of $40.00 per share of Class A common stock remains the same, and after deducting estimated underwriting discounts and commissions and estimated offering expenses.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80" w:firstLine="546"/>
        <w:spacing w:after="0" w:line="237" w:lineRule="auto"/>
        <w:rPr>
          <w:sz w:val="20"/>
          <w:szCs w:val="20"/>
          <w:color w:val="auto"/>
        </w:rPr>
      </w:pPr>
      <w:r>
        <w:rPr>
          <w:rFonts w:ascii="Arial" w:cs="Arial" w:eastAsia="Arial" w:hAnsi="Arial"/>
          <w:sz w:val="18"/>
          <w:szCs w:val="18"/>
          <w:color w:val="auto"/>
        </w:rPr>
        <w:t>If the underwriters exercise their option to purchase additional shares of Class A common stock in full, the pro forma as adjusted net tangible book value per share, as adjusted to give effect to this offering, would be $7.49 per share, and the dilution in pro forma as adjusted net tangible book value per share to investors in this offering would be $32.51 per share.</w:t>
      </w:r>
    </w:p>
    <w:p>
      <w:pPr>
        <w:spacing w:after="0" w:line="20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The following table summarizes, as of March 31, 2021, on a pro forma as adjusted basis as described above, the number of shares of our common stock, the total consideration and the average price per share (1) paid to us by existing stockholders, and (2) to be paid by new investors acquiring our Class A common stock in this offering at an assumed initial public offering price of $ 40.00 per share, the midpoint of the estimated price range set forth on the cover page of this prospectus, before deducting estimated underwriting discounts and commissions and estimated offering expenses.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Average Price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tcPr>
          <w:p>
            <w:pPr>
              <w:spacing w:after="0"/>
              <w:rPr>
                <w:sz w:val="15"/>
                <w:szCs w:val="15"/>
                <w:color w:val="auto"/>
              </w:rPr>
            </w:pPr>
          </w:p>
        </w:tc>
        <w:tc>
          <w:tcPr>
            <w:tcW w:w="19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Per Share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940" w:type="dxa"/>
            <w:vAlign w:val="bottom"/>
          </w:tcPr>
          <w:p>
            <w:pPr>
              <w:jc w:val="right"/>
              <w:ind w:right="138"/>
              <w:spacing w:after="0" w:line="154" w:lineRule="exact"/>
              <w:rPr>
                <w:sz w:val="20"/>
                <w:szCs w:val="20"/>
                <w:color w:val="auto"/>
              </w:rPr>
            </w:pPr>
            <w:r>
              <w:rPr>
                <w:rFonts w:ascii="Arial" w:cs="Arial" w:eastAsia="Arial" w:hAnsi="Arial"/>
                <w:sz w:val="14"/>
                <w:szCs w:val="14"/>
                <w:color w:val="auto"/>
              </w:rPr>
              <w:t>Number</w:t>
            </w:r>
          </w:p>
        </w:tc>
        <w:tc>
          <w:tcPr>
            <w:tcW w:w="360" w:type="dxa"/>
            <w:vAlign w:val="bottom"/>
          </w:tcPr>
          <w:p>
            <w:pPr>
              <w:spacing w:after="0"/>
              <w:rPr>
                <w:sz w:val="13"/>
                <w:szCs w:val="13"/>
                <w:color w:val="auto"/>
              </w:rPr>
            </w:pPr>
          </w:p>
        </w:tc>
        <w:tc>
          <w:tcPr>
            <w:tcW w:w="500" w:type="dxa"/>
            <w:vAlign w:val="bottom"/>
          </w:tcPr>
          <w:p>
            <w:pPr>
              <w:spacing w:after="0" w:line="154" w:lineRule="exact"/>
              <w:rPr>
                <w:sz w:val="20"/>
                <w:szCs w:val="20"/>
                <w:color w:val="auto"/>
              </w:rPr>
            </w:pPr>
            <w:r>
              <w:rPr>
                <w:rFonts w:ascii="Arial" w:cs="Arial" w:eastAsia="Arial" w:hAnsi="Arial"/>
                <w:sz w:val="14"/>
                <w:szCs w:val="14"/>
                <w:color w:val="auto"/>
                <w:w w:val="99"/>
              </w:rPr>
              <w:t>Percent</w:t>
            </w:r>
          </w:p>
        </w:tc>
        <w:tc>
          <w:tcPr>
            <w:tcW w:w="500" w:type="dxa"/>
            <w:vAlign w:val="bottom"/>
          </w:tcPr>
          <w:p>
            <w:pPr>
              <w:spacing w:after="0"/>
              <w:rPr>
                <w:sz w:val="13"/>
                <w:szCs w:val="13"/>
                <w:color w:val="auto"/>
              </w:rPr>
            </w:pPr>
          </w:p>
        </w:tc>
        <w:tc>
          <w:tcPr>
            <w:tcW w:w="1120" w:type="dxa"/>
            <w:vAlign w:val="bottom"/>
          </w:tcPr>
          <w:p>
            <w:pPr>
              <w:jc w:val="right"/>
              <w:ind w:right="218"/>
              <w:spacing w:after="0" w:line="154"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3"/>
                <w:szCs w:val="13"/>
                <w:color w:val="auto"/>
              </w:rPr>
            </w:pPr>
          </w:p>
        </w:tc>
        <w:tc>
          <w:tcPr>
            <w:tcW w:w="84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w w:val="99"/>
              </w:rPr>
              <w:t>Percent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00" w:type="dxa"/>
            <w:vAlign w:val="bottom"/>
            <w:vMerge w:val="continue"/>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35,998,435</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8"/>
                <w:szCs w:val="18"/>
                <w:color w:val="auto"/>
              </w:rPr>
              <w:t>84.0%</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150,882,071</w:t>
            </w:r>
          </w:p>
        </w:tc>
        <w:tc>
          <w:tcPr>
            <w:tcW w:w="360" w:type="dxa"/>
            <w:vAlign w:val="bottom"/>
            <w:vMerge w:val="continue"/>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8"/>
                <w:szCs w:val="18"/>
                <w:color w:val="auto"/>
              </w:rPr>
              <w:t>35.4%</w:t>
            </w:r>
          </w:p>
        </w:tc>
        <w:tc>
          <w:tcPr>
            <w:tcW w:w="3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New investors</w:t>
            </w:r>
          </w:p>
        </w:tc>
        <w:tc>
          <w:tcPr>
            <w:tcW w:w="13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6,875,000</w:t>
            </w:r>
          </w:p>
        </w:tc>
        <w:tc>
          <w:tcPr>
            <w:tcW w:w="100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16.0</w:t>
            </w:r>
          </w:p>
        </w:tc>
        <w:tc>
          <w:tcPr>
            <w:tcW w:w="14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275,000,000</w:t>
            </w: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64.6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Totals</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42,873,435</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425,882,071</w:t>
            </w:r>
          </w:p>
        </w:tc>
        <w:tc>
          <w:tcPr>
            <w:tcW w:w="8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Each $1.00 increase (decrease) in the assumed initial public offering price of $40.00 per share, the midpoint of the estimated price range set forth on the cover page of this prospectus, would increase (decrease) the total consideration paid by new investors and total consideration paid by all stockholders by approximately $6.4 million, assuming that the number of shares of Class A common stock offered by us, as set forth on the cover page of this prospectus, remains the same and after deducting estimated underwriting discounts and commissions.</w:t>
      </w:r>
    </w:p>
    <w:p>
      <w:pPr>
        <w:spacing w:after="0" w:line="204"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33,322,281 shares of Class A common stock and 2,676,154 shares of Class B common stock outstanding as of March 31, 2021 and excludes:</w:t>
      </w:r>
    </w:p>
    <w:p>
      <w:pPr>
        <w:spacing w:after="0" w:line="109" w:lineRule="exact"/>
        <w:rPr>
          <w:sz w:val="20"/>
          <w:szCs w:val="20"/>
          <w:color w:val="auto"/>
        </w:rPr>
      </w:pPr>
    </w:p>
    <w:p>
      <w:pPr>
        <w:ind w:left="920" w:right="280" w:hanging="218"/>
        <w:spacing w:after="0" w:line="239"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Plan and 2014 Plan with a weighted-average exercise price of $3.43 per share;</w:t>
      </w:r>
    </w:p>
    <w:p>
      <w:pPr>
        <w:spacing w:after="0" w:line="109" w:lineRule="exact"/>
        <w:rPr>
          <w:rFonts w:ascii="Arial" w:cs="Arial" w:eastAsia="Arial" w:hAnsi="Arial"/>
          <w:sz w:val="18"/>
          <w:szCs w:val="18"/>
          <w:color w:val="auto"/>
        </w:rPr>
      </w:pPr>
    </w:p>
    <w:p>
      <w:pPr>
        <w:ind w:left="920" w:right="240" w:hanging="218"/>
        <w:spacing w:after="0" w:line="239"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1,308,381 shares of Class A common stock issuable on the exercise of outstanding stock options issued after March 31, 2021 pursuant to our 2016 Plan with a weighted-average exercise price of $12.32 per share;</w:t>
      </w:r>
    </w:p>
    <w:p>
      <w:pPr>
        <w:spacing w:after="0" w:line="109" w:lineRule="exact"/>
        <w:rPr>
          <w:rFonts w:ascii="Arial" w:cs="Arial" w:eastAsia="Arial" w:hAnsi="Arial"/>
          <w:sz w:val="18"/>
          <w:szCs w:val="18"/>
          <w:color w:val="auto"/>
        </w:rPr>
      </w:pPr>
    </w:p>
    <w:p>
      <w:pPr>
        <w:ind w:left="920" w:right="780" w:hanging="218"/>
        <w:spacing w:after="0" w:line="239"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112,026 shares of Class A common stock issuable on the exercise of warrants outstanding as of March 31, 2021 with a weighted-average exercise price of $4.37 per share;</w:t>
      </w:r>
    </w:p>
    <w:p>
      <w:pPr>
        <w:spacing w:after="0" w:line="109" w:lineRule="exact"/>
        <w:rPr>
          <w:rFonts w:ascii="Arial" w:cs="Arial" w:eastAsia="Arial" w:hAnsi="Arial"/>
          <w:sz w:val="18"/>
          <w:szCs w:val="18"/>
          <w:color w:val="auto"/>
        </w:rPr>
      </w:pPr>
    </w:p>
    <w:p>
      <w:pPr>
        <w:ind w:left="920" w:right="100" w:hanging="218"/>
        <w:spacing w:after="0" w:line="235"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Plan (which does not give effect to the contemplated director nominee grant described under “Management—Non-Employee Director Compensation”), which will become effective upon the execution of the underwriting agreement for this offering, as well as any future increases, including annual automatic evergreen increases, in the number of shares of Class A common stock reserved for issuance under our 2021 Plan, as more fully described in the section titled “Executive Compensation—Equity Incentive Plans”; and</w:t>
      </w:r>
    </w:p>
    <w:p>
      <w:pPr>
        <w:spacing w:after="0" w:line="110" w:lineRule="exact"/>
        <w:rPr>
          <w:rFonts w:ascii="Arial" w:cs="Arial" w:eastAsia="Arial" w:hAnsi="Arial"/>
          <w:sz w:val="18"/>
          <w:szCs w:val="18"/>
          <w:color w:val="auto"/>
        </w:rPr>
      </w:pPr>
    </w:p>
    <w:p>
      <w:pPr>
        <w:ind w:left="920" w:right="320" w:hanging="218"/>
        <w:spacing w:after="0" w:line="268"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179"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 If all outstanding options under our 2016 Plan and 2014 Option Plan as of March 31, 2021 were exercised or settled, then our existing stockholders, including the holders of these options, would own 84.9% and our new investors would own 15.1% of the total number of shares of our common stock outstanding on the completion of this offering.</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2"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i w:val="1"/>
          <w:iCs w:val="1"/>
          <w:color w:val="auto"/>
        </w:rPr>
        <w:t>The following discussion and analysis summarizes the significant factors affecting the operating results, financial condition, liquidity, and cash flows of our company as of and for the periods presented below. The following discussion and analysis should be read in conjunction with our financial statements and the related notes thereto included elsewhere in this prospectus.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“Risk Factors” and “Special Note Regarding Forward-Looking Statements.”</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Overview</w:t>
      </w:r>
    </w:p>
    <w:p>
      <w:pPr>
        <w:spacing w:after="0" w:line="230"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financial services or the purchase of supplies.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Our revenue is generated by the sale of part(s) and assemblies to our customers. The sellers on our platform offer a diversified mix of manufacturing processes. These manufacturing processes include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Aerospace and Defense, Healthcare, Automotive, Consumer Goods, Industrial, Robotics, Government, and Education.</w:t>
      </w:r>
    </w:p>
    <w:p>
      <w:pPr>
        <w:spacing w:after="0" w:line="206" w:lineRule="exact"/>
        <w:rPr>
          <w:sz w:val="20"/>
          <w:szCs w:val="20"/>
          <w:color w:val="auto"/>
        </w:rPr>
      </w:pPr>
    </w:p>
    <w:p>
      <w:pPr>
        <w:jc w:val="both"/>
        <w:ind w:left="160" w:right="280" w:firstLine="546"/>
        <w:spacing w:after="0" w:line="236"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w:t>
      </w:r>
    </w:p>
    <w:p>
      <w:pPr>
        <w:spacing w:after="0" w:line="20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Geographically, substantially all of our revenue has been generated from sales to buyers and sellers in the United States, with over 95% of our revenue in each of 2019 and 2020 generated from buyers and sellers located in the United States. However, in 2020, we had sales to customers in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51 countries. As we add accounts, buyers and sellers in additional countries, the geographic mix of our revenue could change over time. We have expanded our European base of operations, headquartered in Germany, and have made significant investments in growing our network of European buyers and sellers. In addition, we currently have a small team in China that is managing our manufacturing network in that region. We expect to make significant investments in growing that team, as the Asia-Pacific region is an important opportunity for the growth of our marketplace.</w:t>
      </w:r>
    </w:p>
    <w:p>
      <w:pPr>
        <w:spacing w:after="0" w:line="204"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 For the year ended December 31, 2020, we had one significant account, ClearMask, which accounted for approximately 11% of our revenue. Our revenue is well diversified across our buyers, with no other account contributing more than 10% of revenue in the year ended December 31, 2020 or 2019.</w:t>
      </w:r>
    </w:p>
    <w:p>
      <w:pPr>
        <w:spacing w:after="0" w:line="206" w:lineRule="exact"/>
        <w:rPr>
          <w:sz w:val="20"/>
          <w:szCs w:val="20"/>
          <w:color w:val="auto"/>
        </w:rPr>
      </w:pPr>
    </w:p>
    <w:p>
      <w:pPr>
        <w:ind w:left="160" w:right="660" w:firstLine="546"/>
        <w:spacing w:after="0" w:line="239" w:lineRule="auto"/>
        <w:rPr>
          <w:sz w:val="20"/>
          <w:szCs w:val="20"/>
          <w:color w:val="auto"/>
        </w:rPr>
      </w:pPr>
      <w:r>
        <w:rPr>
          <w:rFonts w:ascii="Arial" w:cs="Arial" w:eastAsia="Arial" w:hAnsi="Arial"/>
          <w:sz w:val="18"/>
          <w:szCs w:val="18"/>
          <w:color w:val="auto"/>
        </w:rPr>
        <w:t>During the quarters ended March 31, 2021 and 2020, no one customer accounted for more than 10% of our revenue. As of March 31, 2021, one customer accounted for approximately 10% of our accounts receivable.</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generated revenue of $38.4 million in 2018, $80.2 million in 2019, and $141.4 million in 2020, representing year-over-year growth of 109% in 2019 and 76% in 2020. Our revenue growth has been driven primarily by increased buyer activity on our platform. Our gross profit was $6.5 million in 2018, $14.7 million in 2019, and $33.3 million in 2020, representing an 17% gross margin in 2018, 18% gross margin in 2019, and 24% gross margin in 2020. Our net losses were $20.1 million in 2018, $31.0 million in 2019 and $31.1 million in 2020.</w:t>
      </w:r>
    </w:p>
    <w:p>
      <w:pPr>
        <w:spacing w:after="0" w:line="204"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year-over-year growth of 65%. Our gross profit for the quarters ended March 31, 2021 and 2020, was $ 9.8 million and $5.4 million, respectively, representing a 22% gross margin for the quarter ended March 31, 2021, as compared to a 20% gross margin for the quarter ended March 31, 2020. Our net loss for the quarters ended March 31, 2021 and 2020, was $10.5 million and $8.6 million, respectively.</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History</w:t>
      </w:r>
    </w:p>
    <w:p>
      <w:pPr>
        <w:spacing w:after="0" w:line="230"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Xometry was founded in 2013 in Gaithersburg, Maryland to solve what we believe are two core problems in the manufacturing industry. For buyers around the world, sourcing the optimal manufacturing solution for their needs is time-consuming, costly and opaque. For sellers, significant human and capital resources are dedicated to sourcing and developing business and improving cash flow and workflow management. By building and deploying our AI technology and emphasizing our unyielding commitment to an excellent experience for our buyers and sellers, we have been able to substantially grow the number of buyers and sellers on our platform and our related revenue.</w:t>
      </w:r>
    </w:p>
    <w:p>
      <w:pPr>
        <w:spacing w:after="0" w:line="202"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received our first angel investment in 2013 and completed our first transaction in January 2014, which was a 3D printed part. Since then, we focused on expanding our platform to include new manufacturing processes like sheet metal and injection molding in 2017 and geographies like Europe in 2019. We achieved business performance milestones including our first month of greater than $1.0 million in revenue in March 2017 and our first year of greater than $100.0 million revenue in 2020.</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6"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420" w:firstLine="546"/>
        <w:spacing w:after="0" w:line="237" w:lineRule="auto"/>
        <w:rPr>
          <w:sz w:val="20"/>
          <w:szCs w:val="20"/>
          <w:color w:val="auto"/>
        </w:rPr>
      </w:pPr>
      <w:r>
        <w:rPr>
          <w:rFonts w:ascii="Arial" w:cs="Arial" w:eastAsia="Arial" w:hAnsi="Arial"/>
          <w:sz w:val="18"/>
          <w:szCs w:val="18"/>
          <w:color w:val="auto"/>
        </w:rPr>
        <w:t>Since our first transaction in January 2014, our platform has experienced significant growth. From inception through March 31, 2021, we have enabled the production of more than 6.0 million parts on our marketplace. In addition, we have achieved a number of significant milestones since inception,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-6350</wp:posOffset>
            </wp:positionV>
            <wp:extent cx="5137785" cy="2692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37785"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generate the majority of our revenue from the prices we charge our buyers on our platform. Beginning with an engineering schematic that contains 3D design specifications, typically a computer-aided design, or a CAD file, uploaded by the buyer, transactions are instantly priced by our AI-enabled instant quoting engine based on volume, manufacturing process and material. Once we commit to fulfill the buyer’s manufacturing order, we utilize our platform to offer the opportunity to one or more of our sellers.</w:t>
      </w:r>
    </w:p>
    <w:p>
      <w:pPr>
        <w:spacing w:after="0" w:line="202"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the seller more than anticipated to manufacture the order. We record the gross amount of revenue from our buyers because of the following conditions of the sale: (i) we have the obligation to provide the products purchased on our platform to buyers, (ii) we have discretion with respect to establishing the price of the product and the price we pay our sellers, (iii) we have discretion to determine how to fulfil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 to Market</w:t>
      </w:r>
    </w:p>
    <w:p>
      <w:pPr>
        <w:spacing w:after="0" w:line="123" w:lineRule="exact"/>
        <w:rPr>
          <w:sz w:val="20"/>
          <w:szCs w:val="20"/>
          <w:color w:val="auto"/>
        </w:rPr>
      </w:pPr>
    </w:p>
    <w:p>
      <w:pPr>
        <w:jc w:val="both"/>
        <w:ind w:left="160" w:right="300" w:firstLine="546"/>
        <w:spacing w:after="0" w:line="257" w:lineRule="auto"/>
        <w:rPr>
          <w:sz w:val="20"/>
          <w:szCs w:val="20"/>
          <w:color w:val="auto"/>
        </w:rPr>
      </w:pPr>
      <w:r>
        <w:rPr>
          <w:rFonts w:ascii="Arial" w:cs="Arial" w:eastAsia="Arial" w:hAnsi="Arial"/>
          <w:sz w:val="17"/>
          <w:szCs w:val="17"/>
          <w:color w:val="auto"/>
        </w:rPr>
        <w:t>We primarily drive our account acquisition through digital marketing strategies. We drive buyer acquisition through our “land and expand” strategy, where we focus on bringing in new accounts and working directly with potential buyers inside those organizations to educate them on our breadth of capabilities. These buyers then may recommend our platform to other potential buyers within their</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organizations who design other end products and who may use an entirely different set of manufacturing processes, deepening our reach and stickiness with an account.</w:t>
      </w:r>
    </w:p>
    <w:p>
      <w:pPr>
        <w:spacing w:after="0" w:line="203" w:lineRule="exact"/>
        <w:rPr>
          <w:sz w:val="20"/>
          <w:szCs w:val="20"/>
          <w:color w:val="auto"/>
        </w:rPr>
      </w:pPr>
    </w:p>
    <w:p>
      <w:pPr>
        <w:ind w:left="160" w:right="200" w:firstLine="546"/>
        <w:spacing w:after="0" w:line="235" w:lineRule="auto"/>
        <w:rPr>
          <w:sz w:val="20"/>
          <w:szCs w:val="20"/>
          <w:color w:val="auto"/>
        </w:rPr>
      </w:pPr>
      <w:r>
        <w:rPr>
          <w:rFonts w:ascii="Arial" w:cs="Arial" w:eastAsia="Arial" w:hAnsi="Arial"/>
          <w:sz w:val="18"/>
          <w:szCs w:val="18"/>
          <w:color w:val="auto"/>
        </w:rPr>
        <w:t>Our organic buyer growth results from the embedded network effect of our marketplace model and our continued growth in brand awareness. We continue to diversify and strengthen our marketing capabilities and invest in data science technologies to enable us to acquire more accounts and buyers as well as increase the lifetime value of buyers that utilize our marketplace. In addition, while the majority of our marketing dollars historically have been spent on account and buyer acquisition, we intend to continue to expand our marketing strategies to include seller acquisition.</w:t>
      </w:r>
    </w:p>
    <w:p>
      <w:pPr>
        <w:spacing w:after="0" w:line="204"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The majority of our new buyers in both 2020 and 2019 came from our digital marketing efforts, direct sales initiatives and organic and direct sources, such as referrals by existing buyers, word-of-mouth and direct visits to our website. We view our ability to efficiently acquire buyers at scale as a differentiated competitive advantage and continuously seek to diversify our user acquisition investments through a variety of channels in a disciplined manner.</w:t>
      </w:r>
    </w:p>
    <w:p>
      <w:pPr>
        <w:spacing w:after="0" w:line="28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Ability to Cost-effectively Attract, Retain and Engage Buyers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order to grow our business, we must cost-effectively attract and retain buyers and increase their engagement with our platform over time. Our AI-driven ordering process enables efficient platform pricing though the continuous learning of our AI technology. As our AI technology learns buyer needs and preferences, it becomes more precise and efficient, driving greater buyer engagement on the platform. We believe this increases customer stickiness and fuels an efficient go-to-market model. As we continue to add new offerings, we expect buyer loyalty and spend to continue to increase. We also generate highly attractive buyer economics. While we are continuously focused on adding new active buyers to our platform, we are also focused on increasing their purchase frequency and volume after their initial purchase, while lowering retention expenditure. Our growth depends in significant part on our success in adding new buyers and increasing the spending of our buyers.</w:t>
      </w:r>
    </w:p>
    <w:p>
      <w:pPr>
        <w:spacing w:after="0" w:line="204" w:lineRule="exact"/>
        <w:rPr>
          <w:sz w:val="20"/>
          <w:szCs w:val="20"/>
          <w:color w:val="auto"/>
        </w:rPr>
      </w:pPr>
    </w:p>
    <w:p>
      <w:pPr>
        <w:ind w:left="160" w:right="220" w:firstLine="546"/>
        <w:spacing w:after="0" w:line="237" w:lineRule="auto"/>
        <w:rPr>
          <w:sz w:val="20"/>
          <w:szCs w:val="20"/>
          <w:color w:val="auto"/>
        </w:rPr>
      </w:pPr>
      <w:r>
        <w:rPr>
          <w:rFonts w:ascii="Arial" w:cs="Arial" w:eastAsia="Arial" w:hAnsi="Arial"/>
          <w:sz w:val="18"/>
          <w:szCs w:val="18"/>
          <w:color w:val="auto"/>
        </w:rPr>
        <w:t>In determining how successful our buyer acquisition and retention strategy is, we closely monitor the initial customer acquisition cost, or CAC, and the lifetime value of a buyer, or LTV. These performance indicators enable us to assess the strength of our short-term and long-term buyer unit economics.</w:t>
      </w:r>
    </w:p>
    <w:p>
      <w:pPr>
        <w:spacing w:after="0" w:line="91" w:lineRule="exact"/>
        <w:rPr>
          <w:sz w:val="20"/>
          <w:szCs w:val="20"/>
          <w:color w:val="auto"/>
        </w:rPr>
      </w:pPr>
    </w:p>
    <w:p>
      <w:pPr>
        <w:ind w:left="920" w:right="120" w:hanging="218"/>
        <w:spacing w:after="0" w:line="242"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CAC </w:t>
      </w:r>
      <w:r>
        <w:rPr>
          <w:rFonts w:ascii="Arial" w:cs="Arial" w:eastAsia="Arial" w:hAnsi="Arial"/>
          <w:sz w:val="18"/>
          <w:szCs w:val="18"/>
          <w:color w:val="auto"/>
        </w:rPr>
        <w:t>means the costs of our digital marketing strategies, branding costs and other advertising costs, certain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expenses, and compensation expenses, including stock-based compensation, to our sales and marketing employees, which we refer to in the aggregate as our sales and marketing expenses for the relevant time period, divided by the number of new buyers acquired during the same period.</w:t>
      </w:r>
    </w:p>
    <w:p>
      <w:pPr>
        <w:spacing w:after="0" w:line="87" w:lineRule="exact"/>
        <w:rPr>
          <w:rFonts w:ascii="Arial" w:cs="Arial" w:eastAsia="Arial" w:hAnsi="Arial"/>
          <w:sz w:val="18"/>
          <w:szCs w:val="18"/>
          <w:color w:val="auto"/>
        </w:rPr>
      </w:pPr>
    </w:p>
    <w:p>
      <w:pPr>
        <w:ind w:left="920" w:hanging="218"/>
        <w:spacing w:after="0" w:line="236"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LTV </w:t>
      </w:r>
      <w:r>
        <w:rPr>
          <w:rFonts w:ascii="Arial" w:cs="Arial" w:eastAsia="Arial" w:hAnsi="Arial"/>
          <w:sz w:val="18"/>
          <w:szCs w:val="18"/>
          <w:color w:val="auto"/>
        </w:rPr>
        <w:t>means the estimated cumulative lifetime gross profit attributable to a particular buyer cohort divided by the number of buyers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during the cohort period. Each buyer cohort is defined as all buyers who were acquired during a specific period. To estimate the cumulative lifetime gross profit, we use a Markov chain Monte Carlo statistical analysis that samples thousands of typical lifetime histories in order to model mean lifetimes, expected order counts and order values. We also utilize neural networks to estimate customer-specific distribution parameters. The simulations provide the distribution of outcomes for each customer, including mean lifetimes, expected revenue and churn, which are used to calculate the cumulative lifetime gross profit. The assumptions underlying our calculation of LTV represent estimates, which involve inherent uncertainties and the application of judgment. In addition, because we estimate LTV over the lifetime of a buyer cohort, rather than a defined period of time, our assumptions with respect to lifetime buyer activity are subject to the risk that we may</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6"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spacing w:after="0" w:line="239" w:lineRule="auto"/>
        <w:rPr>
          <w:sz w:val="20"/>
          <w:szCs w:val="20"/>
          <w:color w:val="auto"/>
        </w:rPr>
      </w:pPr>
      <w:r>
        <w:rPr>
          <w:rFonts w:ascii="Arial" w:cs="Arial" w:eastAsia="Arial" w:hAnsi="Arial"/>
          <w:sz w:val="18"/>
          <w:szCs w:val="18"/>
          <w:color w:val="auto"/>
        </w:rPr>
        <w:t>overestimate the value of a buyer for a particular period. As a result, if factors or expected outcomes change, or our assumptions or estimates prove incorrect, our LTV could be materially different.</w:t>
      </w:r>
    </w:p>
    <w:p>
      <w:pPr>
        <w:spacing w:after="0" w:line="203"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The LTV/CAC ratio illustrates the average LTV buyers are expected to generate as a multiple of CAC. The U.S. LTV/CAC ratio for the year ended December 31, 2020 was 6.1x, compared to 5.3x for the year ended December 31, 2019. Our U.S. CAC payback period, which is the average number of months required to fully recoup the CAC in the relevant reporting period, was 2.1 months for the year ended December 31, 2020, compared to 3.5 months for the year ended December 31, 2019.</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Existing Accounts</w:t>
      </w:r>
    </w:p>
    <w:p>
      <w:pPr>
        <w:spacing w:after="0" w:line="12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Our business has historically benefited from strong revenue growth from account cohorts over time. To track our growth and the underlying dynamics of our business, we closely monitor and analyze the revenue attributable to buyer activity of our annual account cohorts. We define an annual account cohort based on the year when the account first purchased a part on our marketplace. We have observed significant buyer revenue growth across our annual account cohorts, demonstrating that once an account utilizes our marketplace, they typically increase their spend by increasing the number of buyers within an account using our marketplace, increasing the number of parts ordered, and utilizing additional manufacturing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145415</wp:posOffset>
            </wp:positionV>
            <wp:extent cx="4500880" cy="22847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00880"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Continued Growth in Our Broad Base of Sellers</w:t>
      </w:r>
    </w:p>
    <w:p>
      <w:pPr>
        <w:spacing w:after="0" w:line="123"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We must maintain and grow our broad selection of sellers and add to our diverse array of manufacturing processes in order to continue to grow our business and maximize the efficiency of our network.</w:t>
      </w:r>
    </w:p>
    <w:p>
      <w:pPr>
        <w:spacing w:after="0" w:line="203"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We rely on our network of sellers to provide the sophisticated manufacturing processes that we offer to our buyers. We believe the value proposition for sellers, in particular increasing utilization of their manufacturing operations, is compelling. If we fail to attract new sellers to our platform and retain existing sellers, the attractiveness of our platform to buyers would decrease and we would not be able to grow our revenue.</w:t>
      </w:r>
    </w:p>
    <w:p>
      <w:pPr>
        <w:spacing w:after="0" w:line="202"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In order to increase our efficiency, we intend to continue to expand our large and growing network of sellers. The number of active sellers, which we define as sellers that have used our platform at least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6" w:lineRule="auto"/>
        <w:rPr>
          <w:sz w:val="20"/>
          <w:szCs w:val="20"/>
          <w:color w:val="auto"/>
        </w:rPr>
      </w:pPr>
      <w:r>
        <w:rPr>
          <w:rFonts w:ascii="Arial" w:cs="Arial" w:eastAsia="Arial" w:hAnsi="Arial"/>
          <w:sz w:val="18"/>
          <w:szCs w:val="18"/>
          <w:color w:val="auto"/>
        </w:rPr>
        <w:t>once during the last twelve months to manufacture a product or buy tools or supplies, has grown from 774 for the year ended December 31, 2019 to 1,410 for the year ended December 31, 2020. As we add to our seller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Investments in Technology and Expansion of Our Platform</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have invested, and intend to continue to invest, in developing technology, tools, features, and products that provide targeted and useful solutions for our buyers and sellers.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Offering of Seller Financial Products and Services</w:t>
      </w:r>
    </w:p>
    <w:p>
      <w:pPr>
        <w:spacing w:after="0" w:line="12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In 2019, we launched seller services, beginning with Xometry Supplies, which enables our sellers to access experienced suppliers who sell competitively priced goods from leading brands. In mid-2020, we launched a suite of financial products and services to help our sellers manage cash flow at all stages of job production. These services help sellers manage their business more efficiently, even on jobs that they source outside of our platform. The percentage of our active sellers who have purchased supplies or accessed one of our financial services products through our platform was 40% for the year ended December 31, 2020. Our revenue from recently launched seller services offerings has not been a material driver of our overall revenue to date; however, we expect revenue from seller services to grow over time. We believe that increased revenue from seller services will have a favorable impact on our gross margin.</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International Operations</w:t>
      </w:r>
    </w:p>
    <w:p>
      <w:pPr>
        <w:spacing w:after="0" w:line="123" w:lineRule="exact"/>
        <w:rPr>
          <w:sz w:val="20"/>
          <w:szCs w:val="20"/>
          <w:color w:val="auto"/>
        </w:rPr>
      </w:pPr>
    </w:p>
    <w:p>
      <w:pPr>
        <w:ind w:left="160" w:right="60" w:firstLine="546"/>
        <w:spacing w:after="0" w:line="251" w:lineRule="auto"/>
        <w:rPr>
          <w:sz w:val="20"/>
          <w:szCs w:val="20"/>
          <w:color w:val="auto"/>
        </w:rPr>
      </w:pPr>
      <w:r>
        <w:rPr>
          <w:rFonts w:ascii="Arial" w:cs="Arial" w:eastAsia="Arial" w:hAnsi="Arial"/>
          <w:sz w:val="17"/>
          <w:szCs w:val="17"/>
          <w:color w:val="auto"/>
        </w:rPr>
        <w:t>In 2019, we launched Xometry in Europe. We believe there is significant opportunity in the global manufacturing ecosystem for our marketplace.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current outbreak of COVID-19 has globally resulted in loss of life, business closures impacting our buyers and sellers, restrictions on travel, and closures of certain aspects of our operations. The extent to which the COVID-19 pandemic will impact our business in the future is highly uncertain and cannot be predicted at this time. 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 and we may not have sufficient protection or recovery plans to continue to deal with the COVID-19 pandemic. Even after the COVID-19 pandemic subsides, it may have a continued and lasting impact on the global economy, including our business.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80" w:firstLine="546"/>
        <w:spacing w:after="0" w:line="268" w:lineRule="auto"/>
        <w:rPr>
          <w:sz w:val="20"/>
          <w:szCs w:val="20"/>
          <w:color w:val="auto"/>
        </w:rPr>
      </w:pPr>
      <w:r>
        <w:rPr>
          <w:rFonts w:ascii="Arial" w:cs="Arial" w:eastAsia="Arial" w:hAnsi="Arial"/>
          <w:sz w:val="17"/>
          <w:szCs w:val="17"/>
          <w:color w:val="auto"/>
        </w:rPr>
        <w:t>In addition,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79"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COVID-19 pandemic to date has not significantly adversely impacted the growth of our business. We experienced a significant increase in revenue in the third quarter of 2020 due to increased demand for certain pandemic-related supplies, including personal protective equipment and parts for pharmaceutical manufacturing machinery. We believe the COVID-19 pandemic has validated our platform, highlighting the need for resilient supply chains, and reshaping the way buyers source their manufacturing needs.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30" w:lineRule="exact"/>
        <w:rPr>
          <w:sz w:val="20"/>
          <w:szCs w:val="20"/>
          <w:color w:val="auto"/>
        </w:rPr>
      </w:pPr>
    </w:p>
    <w:p>
      <w:pPr>
        <w:jc w:val="both"/>
        <w:ind w:left="160" w:right="220" w:firstLine="546"/>
        <w:spacing w:after="0" w:line="237"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prospectus, we use the following key operational and business metrics to help us evaluate our business, measure our performance, identify trends affecting our business, formulate business plans and develop forecasts, and make strategic decisions: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Active Buyers</w:t>
      </w:r>
    </w:p>
    <w:p>
      <w:pPr>
        <w:spacing w:after="0" w:line="123"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20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24,160 as of March 31, 2021, up 83% from 13,195 as of March 31,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154940</wp:posOffset>
            </wp:positionV>
            <wp:extent cx="5137785" cy="15284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3778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For the quarter ended March 31, 2021,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154940</wp:posOffset>
            </wp:positionV>
            <wp:extent cx="5137785" cy="15963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412 as of March 31, 2021, up 34% from 307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146685</wp:posOffset>
            </wp:positionV>
            <wp:extent cx="5137785" cy="15963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define Adjusted EBITDA as net income (loss), adjusted to exclude interest and other expense, depreciation and amortization, stock-based compensation expense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202"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For the year ended December 31, 2020, Adjusted EBITDA improved to $(23.5) million, compared to Adjusted EBITDA of $ (26.4) million in 2019. For the year ended December 31, 2020, Adjusted EBITDA increased to (17)% of revenue, as compared to (33)% of revenue in 2019, driven by increased operating efficiencies as we grew our revenue faster than our supporting expenses and increased margin as we grew our gross profit faster than our revenue.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46" w:lineRule="auto"/>
        <w:rPr>
          <w:sz w:val="20"/>
          <w:szCs w:val="20"/>
          <w:color w:val="auto"/>
        </w:rPr>
      </w:pPr>
      <w:r>
        <w:rPr>
          <w:rFonts w:ascii="Arial" w:cs="Arial" w:eastAsia="Arial" w:hAnsi="Arial"/>
          <w:sz w:val="17"/>
          <w:szCs w:val="17"/>
          <w:color w:val="auto"/>
        </w:rPr>
        <w:t>For the quarter ended March 31, 2021, Adjusted EBITDA declined to $(8.8) million, compared to Adjusted EBITDA of $(7.5) million for the same quarter in 2020. For the quarter ended March 31, 2021, Adjusted EBITDA improved to (20)% of revenue, as compared to</w:t>
      </w:r>
    </w:p>
    <w:p>
      <w:pPr>
        <w:ind w:left="160"/>
        <w:spacing w:after="0" w:line="239" w:lineRule="auto"/>
        <w:rPr>
          <w:sz w:val="20"/>
          <w:szCs w:val="20"/>
          <w:color w:val="auto"/>
        </w:rPr>
      </w:pPr>
      <w:r>
        <w:rPr>
          <w:rFonts w:ascii="Arial" w:cs="Arial" w:eastAsia="Arial" w:hAnsi="Arial"/>
          <w:sz w:val="18"/>
          <w:szCs w:val="18"/>
          <w:color w:val="auto"/>
        </w:rPr>
        <w:t>(28)% of revenue for the same quarter in 2020, driven by increased operating efficiencies as we continued to grow our revenue faster than our supporting expenses and improved our margin as we increased our gross profit.</w:t>
      </w:r>
    </w:p>
    <w:p>
      <w:pPr>
        <w:spacing w:after="0" w:line="203"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 See the section titled “Summary Consolidated Financial Data” for additional information and for reconciliations of Adjusted EBITDA to net loss, the most directly comparable GAAP measure.</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60" w:right="260" w:firstLine="546"/>
        <w:spacing w:after="0" w:line="235" w:lineRule="auto"/>
        <w:rPr>
          <w:sz w:val="20"/>
          <w:szCs w:val="20"/>
          <w:color w:val="auto"/>
        </w:rPr>
      </w:pPr>
      <w:r>
        <w:rPr>
          <w:rFonts w:ascii="Arial" w:cs="Arial" w:eastAsia="Arial" w:hAnsi="Arial"/>
          <w:sz w:val="18"/>
          <w:szCs w:val="18"/>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an immaterial portion of our revenue from our offerings to sellers, which includes seller services and financial products.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Cost of revenue primarily consists of the cost to us of the products that are manufactured by our sellers for delivery to buyers on our platform, internal production costs, shipping costs and certain internal depreciation. We expect cost of revenue to increase in absolute dollars to the extent our revenue increases and transaction volume increases. As we add sellers to our platform and are able to expand our network liquidity effect, we expect cost of revenue to decline as a percent of revenue over time.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w:t>
      </w:r>
    </w:p>
    <w:p>
      <w:pPr>
        <w:spacing w:after="0" w:line="123"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3" w:lineRule="exact"/>
        <w:rPr>
          <w:sz w:val="20"/>
          <w:szCs w:val="20"/>
          <w:color w:val="auto"/>
        </w:rPr>
      </w:pPr>
    </w:p>
    <w:p>
      <w:pPr>
        <w:ind w:left="160" w:right="980" w:firstLine="546"/>
        <w:spacing w:after="0" w:line="239" w:lineRule="auto"/>
        <w:rPr>
          <w:sz w:val="20"/>
          <w:szCs w:val="20"/>
          <w:color w:val="auto"/>
        </w:rPr>
      </w:pPr>
      <w:r>
        <w:rPr>
          <w:rFonts w:ascii="Arial" w:cs="Arial" w:eastAsia="Arial" w:hAnsi="Arial"/>
          <w:sz w:val="18"/>
          <w:szCs w:val="18"/>
          <w:color w:val="auto"/>
        </w:rPr>
        <w:t>Our operating expenses consist of sales and marketing, operations and support, product development and general and administrative functions.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 We expect our general and administrative expenses to increase. Following the completion of this offering, we expect to incur additional general and administrative expenses as a result of operating as a public company, including as a result of increased legal, accounting and directors’ and officers’ insurance expenses.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left="160" w:right="300" w:firstLine="546"/>
        <w:spacing w:after="0" w:line="237" w:lineRule="auto"/>
        <w:rPr>
          <w:sz w:val="20"/>
          <w:szCs w:val="20"/>
          <w:color w:val="auto"/>
        </w:rPr>
      </w:pPr>
      <w:r>
        <w:rPr>
          <w:rFonts w:ascii="Arial" w:cs="Arial" w:eastAsia="Arial" w:hAnsi="Arial"/>
          <w:sz w:val="18"/>
          <w:szCs w:val="18"/>
          <w:color w:val="auto"/>
        </w:rPr>
        <w:t>Interest expense, net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expenses consist primarily of sales tax collected from customers and remitted to governmental authorities.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for the years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98"/>
              <w:spacing w:after="0" w:line="154"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17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Revenue</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$ 80,228</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w w:val="95"/>
              </w:rPr>
              <w:t>$ 141,406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Cost of revenue</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65,492</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108,120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Gross profit</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14,736</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33,286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Operating expenses: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Sales and marketing</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14,599</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22,567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Operations and support</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10,314</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14,111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Product development</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10,637</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12,186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General and administrative</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8,016</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12,046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Impairment of goodwill and other intangible assets</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1,719</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660"/>
              <w:spacing w:after="0"/>
              <w:rPr>
                <w:sz w:val="20"/>
                <w:szCs w:val="20"/>
                <w:color w:val="auto"/>
              </w:rPr>
            </w:pPr>
            <w:r>
              <w:rPr>
                <w:rFonts w:ascii="Arial" w:cs="Arial" w:eastAsia="Arial" w:hAnsi="Arial"/>
                <w:sz w:val="17"/>
                <w:szCs w:val="17"/>
                <w:color w:val="auto"/>
              </w:rPr>
              <w:t>Total operating expenses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vMerge w:val="continue"/>
          </w:tcPr>
          <w:p>
            <w:pPr>
              <w:spacing w:after="0"/>
              <w:rPr>
                <w:sz w:val="16"/>
                <w:szCs w:val="16"/>
                <w:color w:val="auto"/>
              </w:rPr>
            </w:pPr>
          </w:p>
        </w:tc>
        <w:tc>
          <w:tcPr>
            <w:tcW w:w="10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45,285</w:t>
            </w: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62,502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from operations</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(30,549)</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(29,216)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Interest expense, net</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(241)</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Other expenses</w:t>
            </w:r>
          </w:p>
        </w:tc>
        <w:tc>
          <w:tcPr>
            <w:tcW w:w="102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(204)</w:t>
            </w:r>
          </w:p>
        </w:tc>
        <w:tc>
          <w:tcPr>
            <w:tcW w:w="8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rPr>
              <w:t>Total other expenses</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(445)</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(30,994)</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(31,085)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Deemed dividend to preferred stockholders</w:t>
            </w:r>
          </w:p>
        </w:tc>
        <w:tc>
          <w:tcPr>
            <w:tcW w:w="700" w:type="dxa"/>
            <w:vAlign w:val="bottom"/>
            <w:shd w:val="clear" w:color="auto" w:fill="CCEEFF"/>
          </w:tcPr>
          <w:p>
            <w:pPr>
              <w:jc w:val="right"/>
              <w:ind w:right="18"/>
              <w:spacing w:after="0" w:line="187"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(8,801)</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w w:val="95"/>
              </w:rPr>
              <w:t>$ (30,994)</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 (39,886)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years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7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tcBorders>
              <w:bottom w:val="single" w:sz="8" w:color="CCEEFF"/>
            </w:tcBorders>
          </w:tcPr>
          <w:p>
            <w:pPr>
              <w:spacing w:after="0"/>
              <w:rPr>
                <w:sz w:val="13"/>
                <w:szCs w:val="13"/>
                <w:color w:val="auto"/>
              </w:rPr>
            </w:pPr>
          </w:p>
        </w:tc>
        <w:tc>
          <w:tcPr>
            <w:tcW w:w="46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Revenue</w:t>
            </w:r>
          </w:p>
        </w:tc>
        <w:tc>
          <w:tcPr>
            <w:tcW w:w="46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0"/>
              <w:spacing w:after="0" w:line="180" w:lineRule="exact"/>
              <w:rPr>
                <w:sz w:val="20"/>
                <w:szCs w:val="20"/>
                <w:color w:val="auto"/>
              </w:rPr>
            </w:pPr>
            <w:r>
              <w:rPr>
                <w:rFonts w:ascii="Arial" w:cs="Arial" w:eastAsia="Arial" w:hAnsi="Arial"/>
                <w:sz w:val="17"/>
                <w:szCs w:val="17"/>
                <w:color w:val="auto"/>
              </w:rPr>
              <w:t>100.0%</w:t>
            </w:r>
          </w:p>
        </w:tc>
        <w:tc>
          <w:tcPr>
            <w:tcW w:w="74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spacing w:after="0" w:line="187" w:lineRule="exact"/>
              <w:rPr>
                <w:sz w:val="20"/>
                <w:szCs w:val="20"/>
                <w:color w:val="auto"/>
              </w:rPr>
            </w:pPr>
            <w:r>
              <w:rPr>
                <w:rFonts w:ascii="Arial" w:cs="Arial" w:eastAsia="Arial" w:hAnsi="Arial"/>
                <w:sz w:val="17"/>
                <w:szCs w:val="17"/>
                <w:color w:val="auto"/>
              </w:rPr>
              <w:t>Cost of revenue</w:t>
            </w:r>
          </w:p>
        </w:tc>
        <w:tc>
          <w:tcPr>
            <w:tcW w:w="4620" w:type="dxa"/>
            <w:vAlign w:val="bottom"/>
          </w:tcPr>
          <w:p>
            <w:pPr>
              <w:spacing w:after="0"/>
              <w:rPr>
                <w:sz w:val="16"/>
                <w:szCs w:val="16"/>
                <w:color w:val="auto"/>
              </w:rPr>
            </w:pPr>
          </w:p>
        </w:tc>
        <w:tc>
          <w:tcPr>
            <w:tcW w:w="104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81.6</w:t>
            </w:r>
          </w:p>
        </w:tc>
        <w:tc>
          <w:tcPr>
            <w:tcW w:w="74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Gross profit</w:t>
            </w:r>
          </w:p>
        </w:tc>
        <w:tc>
          <w:tcPr>
            <w:tcW w:w="46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18.4</w:t>
            </w:r>
          </w:p>
        </w:tc>
        <w:tc>
          <w:tcPr>
            <w:tcW w:w="74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94"/>
        </w:trPr>
        <w:tc>
          <w:tcPr>
            <w:tcW w:w="4520" w:type="dxa"/>
            <w:vAlign w:val="bottom"/>
            <w:gridSpan w:val="2"/>
          </w:tcPr>
          <w:p>
            <w:pPr>
              <w:spacing w:after="0" w:line="194" w:lineRule="exact"/>
              <w:rPr>
                <w:sz w:val="20"/>
                <w:szCs w:val="20"/>
                <w:color w:val="auto"/>
              </w:rPr>
            </w:pPr>
            <w:r>
              <w:rPr>
                <w:rFonts w:ascii="Arial" w:cs="Arial" w:eastAsia="Arial" w:hAnsi="Arial"/>
                <w:sz w:val="17"/>
                <w:szCs w:val="17"/>
                <w:color w:val="auto"/>
              </w:rPr>
              <w:t>Operating expenses:</w:t>
            </w:r>
          </w:p>
        </w:tc>
        <w:tc>
          <w:tcPr>
            <w:tcW w:w="46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Sales and marketing</w:t>
            </w:r>
          </w:p>
        </w:tc>
        <w:tc>
          <w:tcPr>
            <w:tcW w:w="5660" w:type="dxa"/>
            <w:vAlign w:val="bottom"/>
            <w:gridSpan w:val="3"/>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18.2</w:t>
            </w:r>
          </w:p>
        </w:tc>
        <w:tc>
          <w:tcPr>
            <w:tcW w:w="74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Operations and support</w:t>
            </w:r>
          </w:p>
        </w:tc>
        <w:tc>
          <w:tcPr>
            <w:tcW w:w="5660" w:type="dxa"/>
            <w:vAlign w:val="bottom"/>
            <w:gridSpan w:val="3"/>
          </w:tcPr>
          <w:p>
            <w:pPr>
              <w:jc w:val="right"/>
              <w:ind w:right="560"/>
              <w:spacing w:after="0" w:line="187" w:lineRule="exact"/>
              <w:rPr>
                <w:sz w:val="20"/>
                <w:szCs w:val="20"/>
                <w:color w:val="auto"/>
              </w:rPr>
            </w:pPr>
            <w:r>
              <w:rPr>
                <w:rFonts w:ascii="Arial" w:cs="Arial" w:eastAsia="Arial" w:hAnsi="Arial"/>
                <w:sz w:val="17"/>
                <w:szCs w:val="17"/>
                <w:color w:val="auto"/>
              </w:rPr>
              <w:t>12.9</w:t>
            </w:r>
          </w:p>
        </w:tc>
        <w:tc>
          <w:tcPr>
            <w:tcW w:w="74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Product development</w:t>
            </w:r>
          </w:p>
        </w:tc>
        <w:tc>
          <w:tcPr>
            <w:tcW w:w="5660" w:type="dxa"/>
            <w:vAlign w:val="bottom"/>
            <w:gridSpan w:val="3"/>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13.3</w:t>
            </w:r>
          </w:p>
        </w:tc>
        <w:tc>
          <w:tcPr>
            <w:tcW w:w="4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8.6</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General and administrative</w:t>
            </w:r>
          </w:p>
        </w:tc>
        <w:tc>
          <w:tcPr>
            <w:tcW w:w="5660" w:type="dxa"/>
            <w:vAlign w:val="bottom"/>
            <w:gridSpan w:val="3"/>
          </w:tcPr>
          <w:p>
            <w:pPr>
              <w:jc w:val="right"/>
              <w:ind w:right="560"/>
              <w:spacing w:after="0" w:line="187" w:lineRule="exact"/>
              <w:rPr>
                <w:sz w:val="20"/>
                <w:szCs w:val="20"/>
                <w:color w:val="auto"/>
              </w:rPr>
            </w:pPr>
            <w:r>
              <w:rPr>
                <w:rFonts w:ascii="Arial" w:cs="Arial" w:eastAsia="Arial" w:hAnsi="Arial"/>
                <w:sz w:val="17"/>
                <w:szCs w:val="17"/>
                <w:color w:val="auto"/>
              </w:rPr>
              <w:t>10.0</w:t>
            </w:r>
          </w:p>
        </w:tc>
        <w:tc>
          <w:tcPr>
            <w:tcW w:w="480" w:type="dxa"/>
            <w:vAlign w:val="bottom"/>
          </w:tcPr>
          <w:p>
            <w:pPr>
              <w:jc w:val="right"/>
              <w:spacing w:after="0" w:line="187" w:lineRule="exact"/>
              <w:rPr>
                <w:sz w:val="20"/>
                <w:szCs w:val="20"/>
                <w:color w:val="auto"/>
              </w:rPr>
            </w:pPr>
            <w:r>
              <w:rPr>
                <w:rFonts w:ascii="Arial" w:cs="Arial" w:eastAsia="Arial" w:hAnsi="Arial"/>
                <w:sz w:val="17"/>
                <w:szCs w:val="17"/>
                <w:color w:val="auto"/>
              </w:rPr>
              <w:t>8.5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Impairment of goodwill and intangible assets</w:t>
            </w:r>
          </w:p>
        </w:tc>
        <w:tc>
          <w:tcPr>
            <w:tcW w:w="46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2.1</w:t>
            </w:r>
          </w:p>
        </w:tc>
        <w:tc>
          <w:tcPr>
            <w:tcW w:w="5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6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5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from operations</w:t>
            </w:r>
          </w:p>
        </w:tc>
        <w:tc>
          <w:tcPr>
            <w:tcW w:w="5660" w:type="dxa"/>
            <w:vAlign w:val="bottom"/>
            <w:gridSpan w:val="3"/>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(38.1)</w:t>
            </w: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4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Interest expense, net</w:t>
            </w:r>
          </w:p>
        </w:tc>
        <w:tc>
          <w:tcPr>
            <w:tcW w:w="5660" w:type="dxa"/>
            <w:vAlign w:val="bottom"/>
            <w:gridSpan w:val="3"/>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(0.3)</w:t>
            </w: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Other expenses</w:t>
            </w:r>
          </w:p>
        </w:tc>
        <w:tc>
          <w:tcPr>
            <w:tcW w:w="4620" w:type="dxa"/>
            <w:vAlign w:val="bottom"/>
          </w:tcPr>
          <w:p>
            <w:pPr>
              <w:spacing w:after="0"/>
              <w:rPr>
                <w:sz w:val="16"/>
                <w:szCs w:val="16"/>
                <w:color w:val="auto"/>
              </w:rPr>
            </w:pPr>
          </w:p>
        </w:tc>
        <w:tc>
          <w:tcPr>
            <w:tcW w:w="104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(0.3)</w:t>
            </w:r>
          </w:p>
        </w:tc>
        <w:tc>
          <w:tcPr>
            <w:tcW w:w="74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5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other expenses</w:t>
            </w:r>
          </w:p>
        </w:tc>
        <w:tc>
          <w:tcPr>
            <w:tcW w:w="46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(0.6)</w:t>
            </w:r>
          </w:p>
        </w:tc>
        <w:tc>
          <w:tcPr>
            <w:tcW w:w="7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4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20" w:type="dxa"/>
            <w:vAlign w:val="bottom"/>
            <w:gridSpan w:val="2"/>
            <w:vMerge w:val="continue"/>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(38.7)</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Deemed dividend to preferred stockholders</w:t>
            </w:r>
          </w:p>
        </w:tc>
        <w:tc>
          <w:tcPr>
            <w:tcW w:w="46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8"/>
              <w:spacing w:after="0" w:line="187"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20" w:type="dxa"/>
            <w:vAlign w:val="bottom"/>
            <w:gridSpan w:val="2"/>
            <w:vMerge w:val="continue"/>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(38.7)%</w:t>
            </w:r>
          </w:p>
        </w:tc>
        <w:tc>
          <w:tcPr>
            <w:tcW w:w="7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620" w:type="dxa"/>
            <w:vAlign w:val="bottom"/>
            <w:vMerge w:val="restart"/>
          </w:tcPr>
          <w:p>
            <w:pPr>
              <w:jc w:val="right"/>
              <w:ind w:right="3495"/>
              <w:spacing w:after="0"/>
              <w:rPr>
                <w:sz w:val="20"/>
                <w:szCs w:val="20"/>
                <w:color w:val="auto"/>
              </w:rPr>
            </w:pPr>
            <w:r>
              <w:rPr>
                <w:rFonts w:ascii="Arial" w:cs="Arial" w:eastAsia="Arial" w:hAnsi="Arial"/>
                <w:sz w:val="18"/>
                <w:szCs w:val="18"/>
                <w:color w:val="auto"/>
              </w:rPr>
              <w:t>80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Comparison of the Quarters Ended March 31, 2020 and 2021</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unaudited statement of operations data for the quarters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7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8"/>
              </w:rPr>
              <w:t>$26,689</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9"/>
              </w:rPr>
              <w:t>$ 43,922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21,324</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5,365</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Operations and support</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3,293</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Product development</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2,958</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2,736</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operating expenses</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13,717</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19,884</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(8,352)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expenses:</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Interest expense, net</w:t>
            </w:r>
          </w:p>
        </w:tc>
        <w:tc>
          <w:tcPr>
            <w:tcW w:w="10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(153)</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(102)</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Total other expenses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(8,607)</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 (8,607)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620" w:firstLine="546"/>
        <w:spacing w:after="0" w:line="239" w:lineRule="auto"/>
        <w:rPr>
          <w:sz w:val="20"/>
          <w:szCs w:val="20"/>
          <w:color w:val="auto"/>
        </w:rPr>
      </w:pPr>
      <w:r>
        <w:rPr>
          <w:rFonts w:ascii="Arial" w:cs="Arial" w:eastAsia="Arial" w:hAnsi="Arial"/>
          <w:sz w:val="18"/>
          <w:szCs w:val="18"/>
          <w:color w:val="auto"/>
        </w:rPr>
        <w:t>The following table sets forth our unaudited statement of operations data expressed as a percentage of total revenue for the quarters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5740" w:type="dxa"/>
            <w:vAlign w:val="bottom"/>
            <w:tcBorders>
              <w:right w:val="single" w:sz="8" w:color="CCEEFF"/>
            </w:tcBorders>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4600" w:type="dxa"/>
            <w:vAlign w:val="bottom"/>
          </w:tcPr>
          <w:p>
            <w:pPr>
              <w:spacing w:after="0"/>
              <w:rPr>
                <w:sz w:val="17"/>
                <w:szCs w:val="17"/>
                <w:color w:val="auto"/>
              </w:rPr>
            </w:pP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79.9</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77.6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20.1</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Sales and marketing</w:t>
            </w:r>
          </w:p>
        </w:tc>
        <w:tc>
          <w:tcPr>
            <w:tcW w:w="5740" w:type="dxa"/>
            <w:vAlign w:val="bottom"/>
            <w:tcBorders>
              <w:right w:val="single" w:sz="8" w:color="CCEEFF"/>
            </w:tcBorders>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Operations and support</w:t>
            </w:r>
          </w:p>
        </w:tc>
        <w:tc>
          <w:tcPr>
            <w:tcW w:w="5740" w:type="dxa"/>
            <w:vAlign w:val="bottom"/>
            <w:gridSpan w:val="3"/>
          </w:tcPr>
          <w:p>
            <w:pPr>
              <w:jc w:val="right"/>
              <w:ind w:right="640"/>
              <w:spacing w:after="0" w:line="201" w:lineRule="exact"/>
              <w:rPr>
                <w:sz w:val="20"/>
                <w:szCs w:val="20"/>
                <w:color w:val="auto"/>
              </w:rPr>
            </w:pPr>
            <w:r>
              <w:rPr>
                <w:rFonts w:ascii="Arial" w:cs="Arial" w:eastAsia="Arial" w:hAnsi="Arial"/>
                <w:sz w:val="18"/>
                <w:szCs w:val="18"/>
                <w:color w:val="auto"/>
              </w:rPr>
              <w:t>12.3</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Product development</w:t>
            </w:r>
          </w:p>
        </w:tc>
        <w:tc>
          <w:tcPr>
            <w:tcW w:w="5740" w:type="dxa"/>
            <w:vAlign w:val="bottom"/>
            <w:tcBorders>
              <w:right w:val="single" w:sz="8" w:color="CCEEFF"/>
            </w:tcBorders>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11.1</w:t>
            </w:r>
          </w:p>
        </w:tc>
        <w:tc>
          <w:tcPr>
            <w:tcW w:w="7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4600" w:type="dxa"/>
            <w:vAlign w:val="bottom"/>
          </w:tcPr>
          <w:p>
            <w:pPr>
              <w:spacing w:after="0"/>
              <w:rPr>
                <w:sz w:val="17"/>
                <w:szCs w:val="17"/>
                <w:color w:val="auto"/>
              </w:rPr>
            </w:pP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10.3</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operating expenses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51.4</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6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(31.3)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expense, net</w:t>
            </w:r>
          </w:p>
        </w:tc>
        <w:tc>
          <w:tcPr>
            <w:tcW w:w="5740" w:type="dxa"/>
            <w:vAlign w:val="bottom"/>
            <w:tcBorders>
              <w:right w:val="single" w:sz="8" w:color="CCEEFF"/>
            </w:tcBorders>
            <w:gridSpan w:val="3"/>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Other expenses</w:t>
            </w:r>
          </w:p>
        </w:tc>
        <w:tc>
          <w:tcPr>
            <w:tcW w:w="4600" w:type="dxa"/>
            <w:vAlign w:val="bottom"/>
          </w:tcPr>
          <w:p>
            <w:pPr>
              <w:spacing w:after="0"/>
              <w:rPr>
                <w:sz w:val="17"/>
                <w:szCs w:val="17"/>
                <w:color w:val="auto"/>
              </w:rPr>
            </w:pPr>
          </w:p>
        </w:tc>
        <w:tc>
          <w:tcPr>
            <w:tcW w:w="114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(0.4)</w:t>
            </w:r>
          </w:p>
        </w:tc>
        <w:tc>
          <w:tcPr>
            <w:tcW w:w="7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other expenses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(32.3)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(32.3)%</w:t>
            </w:r>
          </w:p>
        </w:tc>
        <w:tc>
          <w:tcPr>
            <w:tcW w:w="7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0" w:type="dxa"/>
            <w:vAlign w:val="bottom"/>
            <w:vMerge w:val="restart"/>
          </w:tcPr>
          <w:p>
            <w:pPr>
              <w:jc w:val="right"/>
              <w:ind w:right="3411"/>
              <w:spacing w:after="0"/>
              <w:rPr>
                <w:sz w:val="20"/>
                <w:szCs w:val="20"/>
                <w:color w:val="auto"/>
              </w:rPr>
            </w:pPr>
            <w:r>
              <w:rPr>
                <w:rFonts w:ascii="Arial" w:cs="Arial" w:eastAsia="Arial" w:hAnsi="Arial"/>
                <w:sz w:val="18"/>
                <w:szCs w:val="18"/>
                <w:color w:val="auto"/>
              </w:rPr>
              <w:t>81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Total revenue increased $17.2 million, or 65%, from $26.7 million for the quarter ended March 31, 2020 to $43.9 million for the quarter ended March 31, 2021. This increase was primarily the result of an 83% increase in the number of active buyers resulting from investment in sales and marketing, as well as existing buyers increasing their spend on the platform for the quarter ended March 31, 2021 as compared to the prior quarter.</w:t>
      </w:r>
    </w:p>
    <w:p>
      <w:pPr>
        <w:spacing w:after="0" w:line="202"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Total revenue from our U.S. and Europe operating segments for the quarters ended March 31, 2021 and 2020, was $41.3 million and $26.3 million, for the U.S. respectively, and $2.6 million and $0.4 million, for Europe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Total cost of revenue increased $ 12.8 million, or 60%, from $21.3 million for the quarter ended March 31, 2020 to $34.1 million for the quarter ended March 31, 2021. This increase was primarily the result of an increase in payments to sellers on our platform due to the growth in our buyer base and increased activity by existing accounts on our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3"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Gross profit increased $4.5 million, or 83%, from $5.4 million for the quarter ended March 31, 2020 to $9.8 million for the quarter ended March 31, 2021. The increase in gross profit was due primarily to the increase in revenue described above.</w:t>
      </w:r>
    </w:p>
    <w:p>
      <w:pPr>
        <w:spacing w:after="0" w:line="203" w:lineRule="exact"/>
        <w:rPr>
          <w:sz w:val="20"/>
          <w:szCs w:val="20"/>
          <w:color w:val="auto"/>
        </w:rPr>
      </w:pPr>
    </w:p>
    <w:p>
      <w:pPr>
        <w:ind w:left="160" w:right="360" w:firstLine="546"/>
        <w:spacing w:after="0" w:line="236" w:lineRule="auto"/>
        <w:rPr>
          <w:sz w:val="20"/>
          <w:szCs w:val="20"/>
          <w:color w:val="auto"/>
        </w:rPr>
      </w:pPr>
      <w:r>
        <w:rPr>
          <w:rFonts w:ascii="Arial" w:cs="Arial" w:eastAsia="Arial" w:hAnsi="Arial"/>
          <w:sz w:val="18"/>
          <w:szCs w:val="18"/>
          <w:color w:val="auto"/>
        </w:rPr>
        <w:t>Gross margin increased to 22% for the quarter ended March 31, 2021 from 20% for the quarter ended March 31, 2020. This increase was primarily the result of a growing number of active sellers from the prior year quarter, which continues to create greater competition among sellers and lower cost of revenue. Additionally, our AI-driven platform pricing has become more efficient due to the increased number of orders, improving the data set and thus making our pricing decisions more accurate.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jc w:val="both"/>
        <w:ind w:left="160" w:firstLine="546"/>
        <w:spacing w:after="0" w:line="236" w:lineRule="auto"/>
        <w:rPr>
          <w:sz w:val="20"/>
          <w:szCs w:val="20"/>
          <w:color w:val="auto"/>
        </w:rPr>
      </w:pPr>
      <w:r>
        <w:rPr>
          <w:rFonts w:ascii="Arial" w:cs="Arial" w:eastAsia="Arial" w:hAnsi="Arial"/>
          <w:sz w:val="18"/>
          <w:szCs w:val="18"/>
          <w:color w:val="auto"/>
        </w:rPr>
        <w:t>Sales and marketing expense increased $ 2.8 million, or 60%, from $4.7 million for the quarter ended March 31, 2020 to $7.6 million for the quarter ended March 31, 2021, a result of continued investment to drive revenue growth and our hiring of additional employees. As a percent of total revenue, sales and marketing expenses remained flat at approximately 17% for the quarters ended March 31, 2021 and 2020.</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2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Operations and support increased $1.0 million, or 31%, from $3.3 million for the quarter ended March 31, 2020 to $4.3 million for the quarter ended March 31, 2021, primarily as a result of additional compensation-related expenses due to additional headcount to support the growth of buyer and seller activity on our platform. As a percent of total revenue, operations and support expenses decreased to 10% for the quarter ended March 31, 2021 from 12% for the quarter ended March 31, 2020, as we continued to increase operating leverage resulting from the additional scale of our business.</w:t>
      </w:r>
    </w:p>
    <w:p>
      <w:pPr>
        <w:spacing w:after="0" w:line="28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23" w:lineRule="exact"/>
        <w:rPr>
          <w:sz w:val="20"/>
          <w:szCs w:val="20"/>
          <w:color w:val="auto"/>
        </w:rPr>
      </w:pPr>
    </w:p>
    <w:p>
      <w:pPr>
        <w:ind w:left="160" w:right="900" w:firstLine="546"/>
        <w:spacing w:after="0" w:line="239" w:lineRule="auto"/>
        <w:rPr>
          <w:sz w:val="20"/>
          <w:szCs w:val="20"/>
          <w:color w:val="auto"/>
        </w:rPr>
      </w:pPr>
      <w:r>
        <w:rPr>
          <w:rFonts w:ascii="Arial" w:cs="Arial" w:eastAsia="Arial" w:hAnsi="Arial"/>
          <w:sz w:val="18"/>
          <w:szCs w:val="18"/>
          <w:color w:val="auto"/>
        </w:rPr>
        <w:t>Product development expense increased $0.7 million, or 24%, from $3.0 million for the quarter ended March 31, 2020 to $3.7 million for the quarter ended March 31, 2021, a result of increased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80"/>
        <w:spacing w:after="0" w:line="237" w:lineRule="auto"/>
        <w:rPr>
          <w:sz w:val="20"/>
          <w:szCs w:val="20"/>
          <w:color w:val="auto"/>
        </w:rPr>
      </w:pPr>
      <w:r>
        <w:rPr>
          <w:rFonts w:ascii="Arial" w:cs="Arial" w:eastAsia="Arial" w:hAnsi="Arial"/>
          <w:sz w:val="18"/>
          <w:szCs w:val="18"/>
          <w:color w:val="auto"/>
        </w:rPr>
        <w:t>compensation-related expenses not eligible for capitalization. As a percent of total revenue, product development expenses decreased to 8% for the quarter ended March 31, 2021 from 11% for the quarter ended March 31, 2020, as we continue to increase operating leverage resulting from the additional scale of our business.</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General and administrative expense increased $1.6 million, or 58%, from $2.7 million for the quarter ended March 31, 2020 to $4.3 million for the quarter ended March 31, 2021, primarily as a result of an increase in compensation-related expenses related to additional legal, accounting and financial headcount and third party expenses as we prepare to become a public company, as well as additional overhead expenses to support the growth of our business operations. As a percent of total revenue, general and administrative expenses remained flat at approximately 10% of revenue for both quarters.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Interest expense, net increased by $0.2 million, or 116%, from $ 0.2 million for the quarter ended March 31, 2020 to $0.3 million for the quarter ended March 31, 2021, as a result of additional borrowings under our term loan facility.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segment loss from our U.S. operating segment for the quarters ended March 31, 2021 and 2020, was $8.2 million and</w:t>
      </w:r>
    </w:p>
    <w:p>
      <w:pPr>
        <w:ind w:left="160"/>
        <w:spacing w:after="0" w:line="232" w:lineRule="auto"/>
        <w:rPr>
          <w:sz w:val="20"/>
          <w:szCs w:val="20"/>
          <w:color w:val="auto"/>
        </w:rPr>
      </w:pPr>
      <w:r>
        <w:rPr>
          <w:rFonts w:ascii="Arial" w:cs="Arial" w:eastAsia="Arial" w:hAnsi="Arial"/>
          <w:sz w:val="18"/>
          <w:szCs w:val="18"/>
          <w:color w:val="auto"/>
        </w:rPr>
        <w:t>$7.4 million, respectively. Total segment loss from our Europe operating segment for the quarters ended March 31, 2021 and 2020, was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$2.3 million and $1.2 million, respectively.</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segment property and equipment for our U.S. operating segment for the quarter ended March 31, 2021, was $6.1 million.</w:t>
      </w:r>
    </w:p>
    <w:p>
      <w:pPr>
        <w:ind w:left="160"/>
        <w:spacing w:after="0"/>
        <w:rPr>
          <w:sz w:val="20"/>
          <w:szCs w:val="20"/>
          <w:color w:val="auto"/>
        </w:rPr>
      </w:pPr>
      <w:r>
        <w:rPr>
          <w:rFonts w:ascii="Arial" w:cs="Arial" w:eastAsia="Arial" w:hAnsi="Arial"/>
          <w:sz w:val="18"/>
          <w:szCs w:val="18"/>
          <w:color w:val="auto"/>
        </w:rPr>
        <w:t>Total segment property and equipment for our Europe operating segment for the quarter ended March 31, 2021, was $0.6 million.</w:t>
      </w:r>
    </w:p>
    <w:p>
      <w:pPr>
        <w:spacing w:after="0" w:line="208" w:lineRule="exact"/>
        <w:rPr>
          <w:sz w:val="20"/>
          <w:szCs w:val="20"/>
          <w:color w:val="auto"/>
        </w:rPr>
      </w:pPr>
    </w:p>
    <w:p>
      <w:pPr>
        <w:jc w:val="both"/>
        <w:ind w:left="160" w:right="60" w:firstLine="546"/>
        <w:spacing w:after="0" w:line="237" w:lineRule="auto"/>
        <w:rPr>
          <w:sz w:val="20"/>
          <w:szCs w:val="20"/>
          <w:color w:val="auto"/>
        </w:rPr>
      </w:pPr>
      <w:r>
        <w:rPr>
          <w:rFonts w:ascii="Arial" w:cs="Arial" w:eastAsia="Arial" w:hAnsi="Arial"/>
          <w:sz w:val="18"/>
          <w:szCs w:val="18"/>
          <w:color w:val="auto"/>
        </w:rPr>
        <w:t>Total segment depreciation and amortization for our U.S. operating segment for the quarters ended March 31, 2021 and 2020, was $0.6 million and $0.5 million, respectively. Total segment depreciation and amortization for our Europe operating segment for the quarters ended March 31, 2021 and 2020, was $0.1 million and $0.2 million, respectively.</w:t>
      </w:r>
    </w:p>
    <w:p>
      <w:pPr>
        <w:spacing w:after="0" w:line="203" w:lineRule="exact"/>
        <w:rPr>
          <w:sz w:val="20"/>
          <w:szCs w:val="20"/>
          <w:color w:val="auto"/>
        </w:rPr>
      </w:pPr>
    </w:p>
    <w:p>
      <w:pPr>
        <w:ind w:left="160" w:firstLine="546"/>
        <w:spacing w:after="0" w:line="257" w:lineRule="auto"/>
        <w:rPr>
          <w:sz w:val="20"/>
          <w:szCs w:val="20"/>
          <w:color w:val="auto"/>
        </w:rPr>
      </w:pPr>
      <w:r>
        <w:rPr>
          <w:rFonts w:ascii="Arial" w:cs="Arial" w:eastAsia="Arial" w:hAnsi="Arial"/>
          <w:sz w:val="17"/>
          <w:szCs w:val="17"/>
          <w:color w:val="auto"/>
        </w:rPr>
        <w:t>Total cash paid to acquire property, equipment and long-lived assets for our U.S. operating segment during the quarters ended March 31, 2021 and 2020, was $1.1 million and $1.0 million, respectively. Total cash paid to acquire property, equipment and long-lived assets for our Europe operating segment during the quarters ended March 31, 2021 and 2020, was $0.2 million and $10,000, respectively.</w:t>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jc w:val="both"/>
        <w:ind w:left="160" w:right="220" w:firstLine="546"/>
        <w:spacing w:after="0" w:line="237" w:lineRule="auto"/>
        <w:rPr>
          <w:sz w:val="20"/>
          <w:szCs w:val="20"/>
          <w:color w:val="auto"/>
        </w:rPr>
      </w:pPr>
      <w:r>
        <w:rPr>
          <w:rFonts w:ascii="Arial" w:cs="Arial" w:eastAsia="Arial" w:hAnsi="Arial"/>
          <w:sz w:val="18"/>
          <w:szCs w:val="18"/>
          <w:color w:val="auto"/>
        </w:rPr>
        <w:t>Total revenue increased $ 61.2 million, or 76%, from $ 80.2 million for the year ended December 31, 2019 to $141.4 million for the year ended December 31, 2020. This increase was primarily the result of an 83% increase in active buyers resulting from investment in sales and marketing, as well as existing buyers increasing their spend on the platform from the prior year.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6"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Total revenue from our U.S. and Europe operating segments for the year ended December 31, 2020, was $138.3 million and $3.1 million,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Total cost of revenue increased $42.6 million, or 65%, from $ 65.5 million for the year ended December 31, 2019 to $108.1 million for the year ended December 31, 2020. This increase was primarily the result of an increase in payments to sellers on our platform due to the growth in our buyer base and increased activity by existing accounts on our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3"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Gross profit increased $18.6 million, or 126%, from $14.7 million for the year ended December 31, 2019 to $33.3 million for the year ended December 31, 2020. The increase in gross profit was due primarily to the increase in revenue described above.</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Gross margin increased to 24% for the year ended December 31, 2020 from 18% for the year ended December 31, 2019. This increase was primarily the result of a growing number of active sellers, which increased 82% as of December 31, 2020 from the prior year, which continues to create greater competition and lower cost of revenue. Additionally, our AI-driven platform pricing has become more efficient due to the increased number of orders, improving the data set and thus making our pricing more accurate.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Sales and marketing expense increased $8.0 million, or 55%, from $14.6 million for the year ended December 31, 2019 to</w:t>
      </w:r>
    </w:p>
    <w:p>
      <w:pPr>
        <w:ind w:left="160"/>
        <w:spacing w:after="0" w:line="232" w:lineRule="auto"/>
        <w:rPr>
          <w:sz w:val="20"/>
          <w:szCs w:val="20"/>
          <w:color w:val="auto"/>
        </w:rPr>
      </w:pPr>
      <w:r>
        <w:rPr>
          <w:rFonts w:ascii="Arial" w:cs="Arial" w:eastAsia="Arial" w:hAnsi="Arial"/>
          <w:sz w:val="18"/>
          <w:szCs w:val="18"/>
          <w:color w:val="auto"/>
        </w:rPr>
        <w:t>$22.6 million for the year ended December 31, 2020, a result of continued investment to drive revenue growth and additional employees.</w:t>
      </w:r>
    </w:p>
    <w:p>
      <w:pPr>
        <w:ind w:left="160"/>
        <w:spacing w:after="0" w:line="233" w:lineRule="auto"/>
        <w:rPr>
          <w:sz w:val="20"/>
          <w:szCs w:val="20"/>
          <w:color w:val="auto"/>
        </w:rPr>
      </w:pPr>
      <w:r>
        <w:rPr>
          <w:rFonts w:ascii="Arial" w:cs="Arial" w:eastAsia="Arial" w:hAnsi="Arial"/>
          <w:sz w:val="18"/>
          <w:szCs w:val="18"/>
          <w:color w:val="auto"/>
        </w:rPr>
        <w:t>As a percent of total revenue, sales and marketing expenses decreased to 16% for the year ended December 31, 2020 from 18% for the</w:t>
      </w:r>
    </w:p>
    <w:p>
      <w:pPr>
        <w:ind w:left="160"/>
        <w:spacing w:after="0"/>
        <w:rPr>
          <w:sz w:val="20"/>
          <w:szCs w:val="20"/>
          <w:color w:val="auto"/>
        </w:rPr>
      </w:pPr>
      <w:r>
        <w:rPr>
          <w:rFonts w:ascii="Arial" w:cs="Arial" w:eastAsia="Arial" w:hAnsi="Arial"/>
          <w:sz w:val="18"/>
          <w:szCs w:val="18"/>
          <w:color w:val="auto"/>
        </w:rPr>
        <w:t>year ended December 31, 2019, as we continued to increase operating leverage resulting from the additional scale of our business.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Operations and support increased $3.8 million, or 37%, from $10.3 million for the year ended December 31, 2019 to $14.1 million for the year ended December 31, 2020, primarily as a result of additional compensation-related expenses due to additional headcount to support the growth of buyer and seller activity on our platform. As a percent of total revenue, operations and support expenses decreased to 10% for the year ended December 31, 2020 from 13% for the year ended December 31, 2019, as we continued to increase operating leverage resulting from the additional scale of our business.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p>
      <w:pPr>
        <w:ind w:left="160" w:right="220" w:firstLine="546"/>
        <w:spacing w:after="0" w:line="235" w:lineRule="auto"/>
        <w:rPr>
          <w:sz w:val="20"/>
          <w:szCs w:val="20"/>
          <w:color w:val="auto"/>
        </w:rPr>
      </w:pPr>
      <w:r>
        <w:rPr>
          <w:rFonts w:ascii="Arial" w:cs="Arial" w:eastAsia="Arial" w:hAnsi="Arial"/>
          <w:sz w:val="18"/>
          <w:szCs w:val="18"/>
          <w:color w:val="auto"/>
        </w:rPr>
        <w:t>Product development expense increased $1.5 million, or 15%, from $10.6 million for the year ended December 31, 2019 to $12.2 million for the year ended December 31, 2020, a result of increased compensation-related expenses resulting from continued investment in improvements to our platform and our buyer and seller products and services, as well as, to a lesser extent, platform infrastructure cost increases. As a percent of total revenue, product development expenses decreased to 9% for the year ended December 31, 2020 from 13% for the year ended December 31, 2019, as we continue to increase operating leverage resulting from the additional scale of our business.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40"/>
          </w:cols>
          <w:pgMar w:left="320" w:top="456" w:right="5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General and administrative expense increased $4.0 million, or 50%, from $8.0 million for the year ended December 31, 2019 to $12.0 million for the year ended December 31, 2020, primarily as a result of an increase in compensation-related expenses related to additional legal, accounting and financial headcount as we prepare to become a public company, as well as additional overhead expenses to support the growth of our business operations. As a percent of total revenue, general and administrative expenses decreased to 9% for the year ended December 31, 2020 from 10% for the year ended December 31, 2019.</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30" w:lineRule="exact"/>
        <w:rPr>
          <w:sz w:val="20"/>
          <w:szCs w:val="20"/>
          <w:color w:val="auto"/>
        </w:rPr>
      </w:pPr>
    </w:p>
    <w:p>
      <w:pPr>
        <w:ind w:left="160" w:right="500" w:firstLine="546"/>
        <w:spacing w:after="0" w:line="236" w:lineRule="auto"/>
        <w:rPr>
          <w:sz w:val="20"/>
          <w:szCs w:val="20"/>
          <w:color w:val="auto"/>
        </w:rPr>
      </w:pPr>
      <w:r>
        <w:rPr>
          <w:rFonts w:ascii="Arial" w:cs="Arial" w:eastAsia="Arial" w:hAnsi="Arial"/>
          <w:sz w:val="18"/>
          <w:szCs w:val="18"/>
          <w:color w:val="auto"/>
        </w:rPr>
        <w:t>Goodwill and intangible assets impairment expense for the year ended December 31, 2020, was $1.6 million, as compared to $1.7 million for the year ended December 31, 2019. The impairment of goodwill and intangible assets expense for the years ended December 31, 2020 and 2019, was primarily attributable to lower-than-expected growth rates and non-realized synergies related to previous acquisitions.</w:t>
      </w:r>
    </w:p>
    <w:p>
      <w:pPr>
        <w:spacing w:after="0" w:line="202"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Total impairment of goodwill and intangible assets from our U.S. and Europe operating segments for the year ended December 31, 2020, was $0.1 million and $1.5 million,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Interest expense, net increased by $0.8 million, or 352%, from $0.2 million for the year ended December 31, 2019 to $1.1 million for the year ended December 31, 2020, as a result of borrowings under our term loan facility.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230"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Other expenses increased by $0.6 million, or 282%, from $0.2 million for the year ended December 31, 2019 to $0.8 million for the year ended December 31, 2020, as a result of additional sales tax remitted to certain governmental authorities.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230"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Total segment losses from our U.S. and Europe operating segments for the year ended December 31, 2020, were $22.1 million and $9.0 million, respectively.</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Total segment property and equipment for our U.S. and Europe operating segments as of December 31, 2020, was $5.6 million and $0.5 million, respectively.</w:t>
      </w:r>
    </w:p>
    <w:p>
      <w:pPr>
        <w:spacing w:after="0" w:line="20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Total segment depreciation and amortization for our U.S. and Europe operating segments for the year ended December 31, 2020, was $2.4 million and $0.7 million, respectively.</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Total cash paid to acquire property, equipment and long-lived assets for our U.S. and Europe operating segments during the year ended December 31, 2020, was $3.7 million and $0.5 million, respectively.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Results of Operations</w:t>
      </w:r>
    </w:p>
    <w:p>
      <w:pPr>
        <w:spacing w:after="0" w:line="23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nine quarters and as a percentage of revenue for the quarters indicated. The information for each of these quarters has been prepared on a basis consistent with our audited annual financial statements appearing elsewhere in this prospectus and, in our opinion, include all normal recurring adjustments necessary for the fair statement of the financial information contained in those statements. The following unaudited quarterly financial data should be read in conjunction with our annual financial statements and the related notes included elsewhere in this prospectus. These quarterly results are not necessarily indicative of our operating results for a full year or any future period.</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7"/>
          </w:tcPr>
          <w:p>
            <w:pPr>
              <w:jc w:val="right"/>
              <w:ind w:right="18"/>
              <w:spacing w:after="0"/>
              <w:rPr>
                <w:sz w:val="20"/>
                <w:szCs w:val="20"/>
                <w:color w:val="auto"/>
              </w:rPr>
            </w:pPr>
            <w:r>
              <w:rPr>
                <w:rFonts w:ascii="Arial" w:cs="Arial" w:eastAsia="Arial" w:hAnsi="Arial"/>
                <w:sz w:val="11"/>
                <w:szCs w:val="11"/>
                <w:b w:val="1"/>
                <w:bCs w:val="1"/>
                <w:color w:val="auto"/>
              </w:rPr>
              <w:t>Quarter Ended</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4"/>
          </w:tcPr>
          <w:p>
            <w:pPr>
              <w:jc w:val="right"/>
              <w:ind w:right="60"/>
              <w:spacing w:after="0" w:line="99" w:lineRule="exact"/>
              <w:rPr>
                <w:sz w:val="20"/>
                <w:szCs w:val="20"/>
                <w:color w:val="auto"/>
              </w:rPr>
            </w:pPr>
            <w:r>
              <w:rPr>
                <w:rFonts w:ascii="Arial" w:cs="Arial" w:eastAsia="Arial" w:hAnsi="Arial"/>
                <w:sz w:val="11"/>
                <w:szCs w:val="11"/>
                <w:b w:val="1"/>
                <w:bCs w:val="1"/>
                <w:color w:val="auto"/>
                <w:w w:val="94"/>
              </w:rPr>
              <w:t>March 31,</w:t>
            </w:r>
          </w:p>
        </w:tc>
        <w:tc>
          <w:tcPr>
            <w:tcW w:w="120" w:type="dxa"/>
            <w:vAlign w:val="bottom"/>
          </w:tcPr>
          <w:p>
            <w:pPr>
              <w:spacing w:after="0"/>
              <w:rPr>
                <w:sz w:val="8"/>
                <w:szCs w:val="8"/>
                <w:color w:val="auto"/>
              </w:rPr>
            </w:pPr>
          </w:p>
        </w:tc>
        <w:tc>
          <w:tcPr>
            <w:tcW w:w="660" w:type="dxa"/>
            <w:vAlign w:val="bottom"/>
            <w:gridSpan w:val="3"/>
          </w:tcPr>
          <w:p>
            <w:pPr>
              <w:jc w:val="center"/>
              <w:ind w:right="200"/>
              <w:spacing w:after="0" w:line="99" w:lineRule="exact"/>
              <w:rPr>
                <w:sz w:val="20"/>
                <w:szCs w:val="20"/>
                <w:color w:val="auto"/>
              </w:rPr>
            </w:pPr>
            <w:r>
              <w:rPr>
                <w:rFonts w:ascii="Arial" w:cs="Arial" w:eastAsia="Arial" w:hAnsi="Arial"/>
                <w:sz w:val="11"/>
                <w:szCs w:val="11"/>
                <w:b w:val="1"/>
                <w:bCs w:val="1"/>
                <w:color w:val="auto"/>
                <w:w w:val="95"/>
              </w:rPr>
              <w:t>June 30,</w:t>
            </w:r>
          </w:p>
        </w:tc>
        <w:tc>
          <w:tcPr>
            <w:tcW w:w="78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8"/>
                <w:szCs w:val="8"/>
                <w:color w:val="auto"/>
              </w:rPr>
            </w:pPr>
          </w:p>
        </w:tc>
        <w:tc>
          <w:tcPr>
            <w:tcW w:w="840" w:type="dxa"/>
            <w:vAlign w:val="bottom"/>
            <w:gridSpan w:val="5"/>
          </w:tcPr>
          <w:p>
            <w:pPr>
              <w:spacing w:after="0" w:line="99" w:lineRule="exact"/>
              <w:rPr>
                <w:sz w:val="20"/>
                <w:szCs w:val="20"/>
                <w:color w:val="auto"/>
              </w:rPr>
            </w:pPr>
            <w:r>
              <w:rPr>
                <w:rFonts w:ascii="Arial" w:cs="Arial" w:eastAsia="Arial" w:hAnsi="Arial"/>
                <w:sz w:val="11"/>
                <w:szCs w:val="11"/>
                <w:b w:val="1"/>
                <w:bCs w:val="1"/>
                <w:color w:val="auto"/>
              </w:rPr>
              <w:t>December 31,</w:t>
            </w:r>
          </w:p>
        </w:tc>
        <w:tc>
          <w:tcPr>
            <w:tcW w:w="20" w:type="dxa"/>
            <w:vAlign w:val="bottom"/>
          </w:tcPr>
          <w:p>
            <w:pPr>
              <w:spacing w:after="0"/>
              <w:rPr>
                <w:sz w:val="8"/>
                <w:szCs w:val="8"/>
                <w:color w:val="auto"/>
              </w:rPr>
            </w:pPr>
          </w:p>
        </w:tc>
        <w:tc>
          <w:tcPr>
            <w:tcW w:w="70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March 31,</w:t>
            </w: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1"/>
                <w:szCs w:val="11"/>
                <w:b w:val="1"/>
                <w:bCs w:val="1"/>
                <w:color w:val="auto"/>
                <w:w w:val="90"/>
              </w:rPr>
              <w:t>June 30,</w:t>
            </w:r>
          </w:p>
        </w:tc>
        <w:tc>
          <w:tcPr>
            <w:tcW w:w="120" w:type="dxa"/>
            <w:vAlign w:val="bottom"/>
          </w:tcPr>
          <w:p>
            <w:pPr>
              <w:spacing w:after="0"/>
              <w:rPr>
                <w:sz w:val="8"/>
                <w:szCs w:val="8"/>
                <w:color w:val="auto"/>
              </w:rPr>
            </w:pPr>
          </w:p>
        </w:tc>
        <w:tc>
          <w:tcPr>
            <w:tcW w:w="840" w:type="dxa"/>
            <w:vAlign w:val="bottom"/>
            <w:gridSpan w:val="5"/>
          </w:tcPr>
          <w:p>
            <w:pPr>
              <w:jc w:val="right"/>
              <w:ind w:right="67"/>
              <w:spacing w:after="0" w:line="99" w:lineRule="exact"/>
              <w:rPr>
                <w:sz w:val="20"/>
                <w:szCs w:val="20"/>
                <w:color w:val="auto"/>
              </w:rPr>
            </w:pPr>
            <w:r>
              <w:rPr>
                <w:rFonts w:ascii="Arial" w:cs="Arial" w:eastAsia="Arial" w:hAnsi="Arial"/>
                <w:sz w:val="11"/>
                <w:szCs w:val="11"/>
                <w:b w:val="1"/>
                <w:bCs w:val="1"/>
                <w:color w:val="auto"/>
                <w:w w:val="93"/>
              </w:rPr>
              <w:t>September 30,</w:t>
            </w:r>
          </w:p>
        </w:tc>
        <w:tc>
          <w:tcPr>
            <w:tcW w:w="80" w:type="dxa"/>
            <w:vAlign w:val="bottom"/>
          </w:tcPr>
          <w:p>
            <w:pPr>
              <w:spacing w:after="0"/>
              <w:rPr>
                <w:sz w:val="8"/>
                <w:szCs w:val="8"/>
                <w:color w:val="auto"/>
              </w:rPr>
            </w:pPr>
          </w:p>
        </w:tc>
        <w:tc>
          <w:tcPr>
            <w:tcW w:w="80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8"/>
                <w:szCs w:val="8"/>
                <w:color w:val="auto"/>
              </w:rPr>
            </w:pPr>
          </w:p>
        </w:tc>
        <w:tc>
          <w:tcPr>
            <w:tcW w:w="500" w:type="dxa"/>
            <w:vAlign w:val="bottom"/>
            <w:gridSpan w:val="2"/>
          </w:tcPr>
          <w:p>
            <w:pPr>
              <w:jc w:val="center"/>
              <w:spacing w:after="0" w:line="99"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78"/>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11"/>
                <w:szCs w:val="11"/>
                <w:color w:val="auto"/>
              </w:rPr>
            </w:pPr>
          </w:p>
        </w:tc>
        <w:tc>
          <w:tcPr>
            <w:tcW w:w="580" w:type="dxa"/>
            <w:vAlign w:val="bottom"/>
            <w:gridSpan w:val="2"/>
          </w:tcPr>
          <w:p>
            <w:pPr>
              <w:jc w:val="center"/>
              <w:ind w:left="79"/>
              <w:spacing w:after="0"/>
              <w:rPr>
                <w:sz w:val="20"/>
                <w:szCs w:val="20"/>
                <w:color w:val="auto"/>
              </w:rPr>
            </w:pPr>
            <w:r>
              <w:rPr>
                <w:rFonts w:ascii="Arial" w:cs="Arial" w:eastAsia="Arial" w:hAnsi="Arial"/>
                <w:sz w:val="11"/>
                <w:szCs w:val="11"/>
                <w:b w:val="1"/>
                <w:bCs w:val="1"/>
                <w:color w:val="auto"/>
                <w:w w:val="97"/>
              </w:rPr>
              <w:t>2019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2"/>
              <w:spacing w:after="0"/>
              <w:rPr>
                <w:sz w:val="20"/>
                <w:szCs w:val="20"/>
                <w:color w:val="auto"/>
              </w:rPr>
            </w:pPr>
            <w:r>
              <w:rPr>
                <w:rFonts w:ascii="Arial" w:cs="Arial" w:eastAsia="Arial" w:hAnsi="Arial"/>
                <w:sz w:val="11"/>
                <w:szCs w:val="11"/>
                <w:b w:val="1"/>
                <w:bCs w:val="1"/>
                <w:color w:val="auto"/>
              </w:rPr>
              <w:t>2019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62"/>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jc w:val="right"/>
              <w:ind w:right="81"/>
              <w:spacing w:after="0"/>
              <w:rPr>
                <w:sz w:val="20"/>
                <w:szCs w:val="20"/>
                <w:color w:val="auto"/>
              </w:rPr>
            </w:pPr>
            <w:r>
              <w:rPr>
                <w:rFonts w:ascii="Arial" w:cs="Arial" w:eastAsia="Arial" w:hAnsi="Arial"/>
                <w:sz w:val="11"/>
                <w:szCs w:val="11"/>
                <w:b w:val="1"/>
                <w:bCs w:val="1"/>
                <w:color w:val="auto"/>
                <w:w w:val="97"/>
              </w:rPr>
              <w:t>2020</w:t>
            </w:r>
          </w:p>
        </w:tc>
        <w:tc>
          <w:tcPr>
            <w:tcW w:w="200" w:type="dxa"/>
            <w:vAlign w:val="bottom"/>
          </w:tcPr>
          <w:p>
            <w:pPr>
              <w:spacing w:after="0"/>
              <w:rPr>
                <w:sz w:val="11"/>
                <w:szCs w:val="11"/>
                <w:color w:val="auto"/>
              </w:rPr>
            </w:pPr>
          </w:p>
        </w:tc>
        <w:tc>
          <w:tcPr>
            <w:tcW w:w="440" w:type="dxa"/>
            <w:vAlign w:val="bottom"/>
            <w:gridSpan w:val="2"/>
          </w:tcPr>
          <w:p>
            <w:pPr>
              <w:jc w:val="right"/>
              <w:ind w:right="47"/>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left="118"/>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8"/>
          </w:tcPr>
          <w:p>
            <w:pPr>
              <w:jc w:val="right"/>
              <w:ind w:right="358"/>
              <w:spacing w:after="0" w:line="99" w:lineRule="exact"/>
              <w:rPr>
                <w:sz w:val="20"/>
                <w:szCs w:val="20"/>
                <w:color w:val="auto"/>
              </w:rPr>
            </w:pPr>
            <w:r>
              <w:rPr>
                <w:rFonts w:ascii="Arial" w:cs="Arial" w:eastAsia="Arial" w:hAnsi="Arial"/>
                <w:sz w:val="11"/>
                <w:szCs w:val="11"/>
                <w:b w:val="1"/>
                <w:bCs w:val="1"/>
                <w:color w:val="auto"/>
              </w:rPr>
              <w:t>(in thousands)</w:t>
            </w: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8"/>
          </w:tcPr>
          <w:p>
            <w:pPr>
              <w:ind w:left="180"/>
              <w:spacing w:after="0"/>
              <w:rPr>
                <w:sz w:val="20"/>
                <w:szCs w:val="20"/>
                <w:color w:val="auto"/>
              </w:rPr>
            </w:pPr>
            <w:r>
              <w:rPr>
                <w:rFonts w:ascii="Arial" w:cs="Arial" w:eastAsia="Arial" w:hAnsi="Arial"/>
                <w:sz w:val="11"/>
                <w:szCs w:val="11"/>
                <w:b w:val="1"/>
                <w:bCs w:val="1"/>
                <w:color w:val="auto"/>
              </w:rPr>
              <w:t>(unaudited)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center"/>
              <w:ind w:left="99"/>
              <w:spacing w:after="0" w:line="134" w:lineRule="exact"/>
              <w:rPr>
                <w:sz w:val="20"/>
                <w:szCs w:val="20"/>
                <w:color w:val="auto"/>
              </w:rPr>
            </w:pPr>
            <w:r>
              <w:rPr>
                <w:rFonts w:ascii="Arial" w:cs="Arial" w:eastAsia="Arial" w:hAnsi="Arial"/>
                <w:sz w:val="12"/>
                <w:szCs w:val="12"/>
                <w:color w:val="auto"/>
                <w:w w:val="89"/>
              </w:rPr>
              <w:t>$</w:t>
            </w: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15,248</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$ 18,799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21,923</w:t>
            </w:r>
          </w:p>
        </w:tc>
        <w:tc>
          <w:tcPr>
            <w:tcW w:w="36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24,258</w:t>
            </w: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26,689</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89"/>
              </w:rPr>
              <w:t>$ 34,783</w:t>
            </w:r>
          </w:p>
        </w:tc>
        <w:tc>
          <w:tcPr>
            <w:tcW w:w="200" w:type="dxa"/>
            <w:vAlign w:val="bottom"/>
            <w:gridSpan w:val="2"/>
            <w:shd w:val="clear" w:color="auto" w:fill="CCEEFF"/>
          </w:tcPr>
          <w:p>
            <w:pPr>
              <w:jc w:val="center"/>
              <w:ind w:left="41"/>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41,953</w:t>
            </w:r>
          </w:p>
        </w:tc>
        <w:tc>
          <w:tcPr>
            <w:tcW w:w="20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37,980</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$ 43,922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12,368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15,141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17,999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19,984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21,324</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26,518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31,778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28,501</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2,880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3,658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3,924</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4,274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5,365</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8,265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10,175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9,479</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9,835</w:t>
            </w:r>
          </w:p>
        </w:tc>
        <w:tc>
          <w:tcPr>
            <w:tcW w:w="0" w:type="dxa"/>
            <w:vAlign w:val="bottom"/>
          </w:tcPr>
          <w:p>
            <w:pPr>
              <w:spacing w:after="0"/>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2,681</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3,426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4,139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4,352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4,730</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5,126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5,986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6,725</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7,563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2,300</w:t>
            </w:r>
          </w:p>
        </w:tc>
        <w:tc>
          <w:tcPr>
            <w:tcW w:w="74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2,326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2,673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3,015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3,293</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3,173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3,671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3,973</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4,330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2,020</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2,479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2,879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3,260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2,958</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2,919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3,003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3,307</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3,664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1,490</w:t>
            </w:r>
          </w:p>
        </w:tc>
        <w:tc>
          <w:tcPr>
            <w:tcW w:w="74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2,028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2,175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2,323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2,736</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2,774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3,282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3,255</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4,327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42"/>
              <w:spacing w:after="0" w:line="134"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1,719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2"/>
            <w:shd w:val="clear" w:color="auto" w:fill="CCEEFF"/>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520" w:type="dxa"/>
            <w:vAlign w:val="bottom"/>
            <w:tcBorders>
              <w:left w:val="single" w:sz="8" w:color="CCEEFF"/>
            </w:tcBorders>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1,592</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8,491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10,259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11,866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ind w:right="87"/>
              <w:spacing w:after="0"/>
              <w:rPr>
                <w:sz w:val="20"/>
                <w:szCs w:val="20"/>
                <w:color w:val="auto"/>
              </w:rPr>
            </w:pPr>
            <w:r>
              <w:rPr>
                <w:rFonts w:ascii="Arial" w:cs="Arial" w:eastAsia="Arial" w:hAnsi="Arial"/>
                <w:sz w:val="12"/>
                <w:szCs w:val="12"/>
                <w:color w:val="auto"/>
              </w:rPr>
              <w:t>14,669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138"/>
              <w:spacing w:after="0"/>
              <w:rPr>
                <w:sz w:val="20"/>
                <w:szCs w:val="20"/>
                <w:color w:val="auto"/>
              </w:rPr>
            </w:pPr>
            <w:r>
              <w:rPr>
                <w:rFonts w:ascii="Arial" w:cs="Arial" w:eastAsia="Arial" w:hAnsi="Arial"/>
                <w:sz w:val="12"/>
                <w:szCs w:val="12"/>
                <w:color w:val="auto"/>
              </w:rPr>
              <w:t>13,717</w:t>
            </w: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13,992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right"/>
              <w:ind w:right="67"/>
              <w:spacing w:after="0"/>
              <w:rPr>
                <w:sz w:val="20"/>
                <w:szCs w:val="20"/>
                <w:color w:val="auto"/>
              </w:rPr>
            </w:pPr>
            <w:r>
              <w:rPr>
                <w:rFonts w:ascii="Arial" w:cs="Arial" w:eastAsia="Arial" w:hAnsi="Arial"/>
                <w:sz w:val="12"/>
                <w:szCs w:val="12"/>
                <w:color w:val="auto"/>
              </w:rPr>
              <w:t>15,942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18,852</w:t>
            </w:r>
          </w:p>
        </w:tc>
        <w:tc>
          <w:tcPr>
            <w:tcW w:w="680" w:type="dxa"/>
            <w:vAlign w:val="bottom"/>
            <w:gridSpan w:val="4"/>
          </w:tcPr>
          <w:p>
            <w:pPr>
              <w:jc w:val="right"/>
              <w:ind w:right="80"/>
              <w:spacing w:after="0"/>
              <w:rPr>
                <w:sz w:val="20"/>
                <w:szCs w:val="20"/>
                <w:color w:val="auto"/>
              </w:rPr>
            </w:pPr>
            <w:r>
              <w:rPr>
                <w:rFonts w:ascii="Arial" w:cs="Arial" w:eastAsia="Arial" w:hAnsi="Arial"/>
                <w:sz w:val="12"/>
                <w:szCs w:val="12"/>
                <w:color w:val="auto"/>
              </w:rPr>
              <w:t>19,884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(5,611)</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(6,601)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(7,942)</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(10,395)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(8,352)</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(5,727)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(5,767)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(9,373)</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(10,049)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(170)</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(73)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59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(56)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(153)</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w w:val="99"/>
              </w:rPr>
              <w:t>(307)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(365)</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(75)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(94)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27"/>
              <w:spacing w:after="0" w:line="134" w:lineRule="exact"/>
              <w:rPr>
                <w:sz w:val="20"/>
                <w:szCs w:val="20"/>
                <w:color w:val="auto"/>
              </w:rPr>
            </w:pPr>
            <w:r>
              <w:rPr>
                <w:rFonts w:ascii="Arial" w:cs="Arial" w:eastAsia="Arial" w:hAnsi="Arial"/>
                <w:sz w:val="12"/>
                <w:szCs w:val="12"/>
                <w:color w:val="auto"/>
              </w:rPr>
              <w:t>(80)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98"/>
              <w:spacing w:after="0" w:line="134" w:lineRule="exact"/>
              <w:rPr>
                <w:sz w:val="20"/>
                <w:szCs w:val="20"/>
                <w:color w:val="auto"/>
              </w:rPr>
            </w:pPr>
            <w:r>
              <w:rPr>
                <w:rFonts w:ascii="Arial" w:cs="Arial" w:eastAsia="Arial" w:hAnsi="Arial"/>
                <w:sz w:val="12"/>
                <w:szCs w:val="12"/>
                <w:color w:val="auto"/>
              </w:rPr>
              <w:t>(102)</w:t>
            </w:r>
          </w:p>
        </w:tc>
        <w:tc>
          <w:tcPr>
            <w:tcW w:w="520" w:type="dxa"/>
            <w:vAlign w:val="bottom"/>
            <w:gridSpan w:val="3"/>
          </w:tcPr>
          <w:p>
            <w:pPr>
              <w:jc w:val="right"/>
              <w:ind w:right="40"/>
              <w:spacing w:after="0" w:line="134" w:lineRule="exact"/>
              <w:rPr>
                <w:sz w:val="20"/>
                <w:szCs w:val="20"/>
                <w:color w:val="auto"/>
              </w:rPr>
            </w:pPr>
            <w:r>
              <w:rPr>
                <w:rFonts w:ascii="Arial" w:cs="Arial" w:eastAsia="Arial" w:hAnsi="Arial"/>
                <w:sz w:val="12"/>
                <w:szCs w:val="12"/>
                <w:color w:val="auto"/>
              </w:rPr>
              <w:t>(129)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7"/>
              <w:spacing w:after="0" w:line="134" w:lineRule="exact"/>
              <w:rPr>
                <w:sz w:val="20"/>
                <w:szCs w:val="20"/>
                <w:color w:val="auto"/>
              </w:rPr>
            </w:pPr>
            <w:r>
              <w:rPr>
                <w:rFonts w:ascii="Arial" w:cs="Arial" w:eastAsia="Arial" w:hAnsi="Arial"/>
                <w:sz w:val="12"/>
                <w:szCs w:val="12"/>
                <w:color w:val="auto"/>
                <w:w w:val="99"/>
              </w:rPr>
              <w:t>(109)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(440)</w:t>
            </w:r>
          </w:p>
        </w:tc>
        <w:tc>
          <w:tcPr>
            <w:tcW w:w="6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(124)</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(148)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(35)</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(136)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(255)</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w w:val="99"/>
              </w:rPr>
              <w:t>(416)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(805)</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2"/>
                <w:szCs w:val="12"/>
                <w:color w:val="auto"/>
              </w:rPr>
              <w:t>(5,735)</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color w:val="auto"/>
              </w:rPr>
              <w:t>(6,749)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(7,977)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ind w:right="27"/>
              <w:spacing w:after="0"/>
              <w:rPr>
                <w:sz w:val="20"/>
                <w:szCs w:val="20"/>
                <w:color w:val="auto"/>
              </w:rPr>
            </w:pPr>
            <w:r>
              <w:rPr>
                <w:rFonts w:ascii="Arial" w:cs="Arial" w:eastAsia="Arial" w:hAnsi="Arial"/>
                <w:sz w:val="12"/>
                <w:szCs w:val="12"/>
                <w:color w:val="auto"/>
              </w:rPr>
              <w:t>(10,531)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98"/>
              <w:spacing w:after="0"/>
              <w:rPr>
                <w:sz w:val="20"/>
                <w:szCs w:val="20"/>
                <w:color w:val="auto"/>
              </w:rPr>
            </w:pPr>
            <w:r>
              <w:rPr>
                <w:rFonts w:ascii="Arial" w:cs="Arial" w:eastAsia="Arial" w:hAnsi="Arial"/>
                <w:sz w:val="12"/>
                <w:szCs w:val="12"/>
                <w:color w:val="auto"/>
              </w:rPr>
              <w:t>(8,607)</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(6,120)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right"/>
              <w:ind w:right="7"/>
              <w:spacing w:after="0"/>
              <w:rPr>
                <w:sz w:val="20"/>
                <w:szCs w:val="20"/>
                <w:color w:val="auto"/>
              </w:rPr>
            </w:pPr>
            <w:r>
              <w:rPr>
                <w:rFonts w:ascii="Arial" w:cs="Arial" w:eastAsia="Arial" w:hAnsi="Arial"/>
                <w:sz w:val="12"/>
                <w:szCs w:val="12"/>
                <w:color w:val="auto"/>
              </w:rPr>
              <w:t>(6,183)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(10,178)</w:t>
            </w: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(10,501)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42"/>
              <w:spacing w:after="0" w:line="134"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4"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left w:val="single" w:sz="8" w:color="CCEEFF"/>
            </w:tcBorders>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(8,801)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center"/>
              <w:ind w:left="99"/>
              <w:spacing w:after="0"/>
              <w:rPr>
                <w:sz w:val="20"/>
                <w:szCs w:val="20"/>
                <w:color w:val="auto"/>
              </w:rPr>
            </w:pPr>
            <w:r>
              <w:rPr>
                <w:rFonts w:ascii="Arial" w:cs="Arial" w:eastAsia="Arial" w:hAnsi="Arial"/>
                <w:sz w:val="12"/>
                <w:szCs w:val="12"/>
                <w:color w:val="auto"/>
                <w:w w:val="89"/>
              </w:rPr>
              <w:t>$</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color w:val="auto"/>
              </w:rPr>
              <w:t>(5,735)</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color w:val="auto"/>
              </w:rPr>
              <w:t>$ (6,749)</w:t>
            </w:r>
          </w:p>
        </w:tc>
        <w:tc>
          <w:tcPr>
            <w:tcW w:w="4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(7,977)</w:t>
            </w:r>
          </w:p>
        </w:tc>
        <w:tc>
          <w:tcPr>
            <w:tcW w:w="3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27"/>
              <w:spacing w:after="0"/>
              <w:rPr>
                <w:sz w:val="20"/>
                <w:szCs w:val="20"/>
                <w:color w:val="auto"/>
              </w:rPr>
            </w:pPr>
            <w:r>
              <w:rPr>
                <w:rFonts w:ascii="Arial" w:cs="Arial" w:eastAsia="Arial" w:hAnsi="Arial"/>
                <w:sz w:val="12"/>
                <w:szCs w:val="12"/>
                <w:color w:val="auto"/>
              </w:rPr>
              <w:t>(10,531)</w:t>
            </w:r>
          </w:p>
        </w:tc>
        <w:tc>
          <w:tcPr>
            <w:tcW w:w="40" w:type="dxa"/>
            <w:vAlign w:val="bottom"/>
          </w:tcPr>
          <w:p>
            <w:pPr>
              <w:spacing w:after="0"/>
              <w:rPr>
                <w:sz w:val="12"/>
                <w:szCs w:val="12"/>
                <w:color w:val="auto"/>
              </w:rPr>
            </w:pPr>
          </w:p>
        </w:tc>
        <w:tc>
          <w:tcPr>
            <w:tcW w:w="12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98"/>
              <w:spacing w:after="0"/>
              <w:rPr>
                <w:sz w:val="20"/>
                <w:szCs w:val="20"/>
                <w:color w:val="auto"/>
              </w:rPr>
            </w:pPr>
            <w:r>
              <w:rPr>
                <w:rFonts w:ascii="Arial" w:cs="Arial" w:eastAsia="Arial" w:hAnsi="Arial"/>
                <w:sz w:val="12"/>
                <w:szCs w:val="12"/>
                <w:color w:val="auto"/>
              </w:rPr>
              <w:t>(8,607)</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w w:val="95"/>
              </w:rPr>
              <w:t>$ (6,120)</w:t>
            </w:r>
          </w:p>
        </w:tc>
        <w:tc>
          <w:tcPr>
            <w:tcW w:w="200" w:type="dxa"/>
            <w:vAlign w:val="bottom"/>
            <w:gridSpan w:val="2"/>
          </w:tcPr>
          <w:p>
            <w:pPr>
              <w:jc w:val="center"/>
              <w:ind w:left="41"/>
              <w:spacing w:after="0"/>
              <w:rPr>
                <w:sz w:val="20"/>
                <w:szCs w:val="20"/>
                <w:color w:val="auto"/>
              </w:rPr>
            </w:pPr>
            <w:r>
              <w:rPr>
                <w:rFonts w:ascii="Arial" w:cs="Arial" w:eastAsia="Arial" w:hAnsi="Arial"/>
                <w:sz w:val="12"/>
                <w:szCs w:val="12"/>
                <w:color w:val="auto"/>
                <w:w w:val="89"/>
              </w:rPr>
              <w:t>$</w:t>
            </w:r>
          </w:p>
        </w:tc>
        <w:tc>
          <w:tcPr>
            <w:tcW w:w="760" w:type="dxa"/>
            <w:vAlign w:val="bottom"/>
            <w:gridSpan w:val="4"/>
          </w:tcPr>
          <w:p>
            <w:pPr>
              <w:jc w:val="right"/>
              <w:ind w:right="7"/>
              <w:spacing w:after="0"/>
              <w:rPr>
                <w:sz w:val="20"/>
                <w:szCs w:val="20"/>
                <w:color w:val="auto"/>
              </w:rPr>
            </w:pPr>
            <w:r>
              <w:rPr>
                <w:rFonts w:ascii="Arial" w:cs="Arial" w:eastAsia="Arial" w:hAnsi="Arial"/>
                <w:sz w:val="12"/>
                <w:szCs w:val="12"/>
                <w:color w:val="auto"/>
              </w:rPr>
              <w:t>(14,984)</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(10,178)</w:t>
            </w:r>
          </w:p>
        </w:tc>
        <w:tc>
          <w:tcPr>
            <w:tcW w:w="680" w:type="dxa"/>
            <w:vAlign w:val="bottom"/>
            <w:gridSpan w:val="4"/>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6"/>
              </w:rPr>
              <w:t>Quarter Ended</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80" w:type="dxa"/>
            <w:vAlign w:val="bottom"/>
            <w:gridSpan w:val="2"/>
          </w:tcPr>
          <w:p>
            <w:pPr>
              <w:jc w:val="right"/>
              <w:ind w:right="280"/>
              <w:spacing w:after="0" w:line="99" w:lineRule="exact"/>
              <w:rPr>
                <w:sz w:val="20"/>
                <w:szCs w:val="20"/>
                <w:color w:val="auto"/>
              </w:rPr>
            </w:pPr>
            <w:r>
              <w:rPr>
                <w:rFonts w:ascii="Arial" w:cs="Arial" w:eastAsia="Arial" w:hAnsi="Arial"/>
                <w:sz w:val="11"/>
                <w:szCs w:val="11"/>
                <w:b w:val="1"/>
                <w:bCs w:val="1"/>
                <w:color w:val="auto"/>
                <w:w w:val="94"/>
              </w:rPr>
              <w:t>March 31,</w:t>
            </w:r>
          </w:p>
        </w:tc>
        <w:tc>
          <w:tcPr>
            <w:tcW w:w="740" w:type="dxa"/>
            <w:vAlign w:val="bottom"/>
            <w:gridSpan w:val="5"/>
          </w:tcPr>
          <w:p>
            <w:pPr>
              <w:jc w:val="center"/>
              <w:ind w:right="280"/>
              <w:spacing w:after="0" w:line="99" w:lineRule="exact"/>
              <w:rPr>
                <w:sz w:val="20"/>
                <w:szCs w:val="20"/>
                <w:color w:val="auto"/>
              </w:rPr>
            </w:pPr>
            <w:r>
              <w:rPr>
                <w:rFonts w:ascii="Arial" w:cs="Arial" w:eastAsia="Arial" w:hAnsi="Arial"/>
                <w:sz w:val="11"/>
                <w:szCs w:val="11"/>
                <w:b w:val="1"/>
                <w:bCs w:val="1"/>
                <w:color w:val="auto"/>
                <w:w w:val="95"/>
              </w:rPr>
              <w:t>June 30,</w:t>
            </w:r>
          </w:p>
        </w:tc>
        <w:tc>
          <w:tcPr>
            <w:tcW w:w="780" w:type="dxa"/>
            <w:vAlign w:val="bottom"/>
            <w:gridSpan w:val="4"/>
          </w:tcPr>
          <w:p>
            <w:pPr>
              <w:jc w:val="center"/>
              <w:ind w:right="40"/>
              <w:spacing w:after="0" w:line="99" w:lineRule="exact"/>
              <w:rPr>
                <w:sz w:val="20"/>
                <w:szCs w:val="20"/>
                <w:color w:val="auto"/>
              </w:rPr>
            </w:pPr>
            <w:r>
              <w:rPr>
                <w:rFonts w:ascii="Arial" w:cs="Arial" w:eastAsia="Arial" w:hAnsi="Arial"/>
                <w:sz w:val="11"/>
                <w:szCs w:val="11"/>
                <w:b w:val="1"/>
                <w:bCs w:val="1"/>
                <w:color w:val="auto"/>
                <w:w w:val="98"/>
              </w:rPr>
              <w:t>September 30,</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4"/>
          </w:tcPr>
          <w:p>
            <w:pPr>
              <w:jc w:val="center"/>
              <w:ind w:right="127"/>
              <w:spacing w:after="0" w:line="99" w:lineRule="exact"/>
              <w:rPr>
                <w:sz w:val="20"/>
                <w:szCs w:val="20"/>
                <w:color w:val="auto"/>
              </w:rPr>
            </w:pPr>
            <w:r>
              <w:rPr>
                <w:rFonts w:ascii="Arial" w:cs="Arial" w:eastAsia="Arial" w:hAnsi="Arial"/>
                <w:sz w:val="11"/>
                <w:szCs w:val="11"/>
                <w:b w:val="1"/>
                <w:bCs w:val="1"/>
                <w:color w:val="auto"/>
                <w:w w:val="97"/>
              </w:rPr>
              <w:t>December 31,</w:t>
            </w:r>
          </w:p>
        </w:tc>
        <w:tc>
          <w:tcPr>
            <w:tcW w:w="120" w:type="dxa"/>
            <w:vAlign w:val="bottom"/>
          </w:tcPr>
          <w:p>
            <w:pPr>
              <w:spacing w:after="0"/>
              <w:rPr>
                <w:sz w:val="8"/>
                <w:szCs w:val="8"/>
                <w:color w:val="auto"/>
              </w:rPr>
            </w:pPr>
          </w:p>
        </w:tc>
        <w:tc>
          <w:tcPr>
            <w:tcW w:w="540" w:type="dxa"/>
            <w:vAlign w:val="bottom"/>
            <w:gridSpan w:val="3"/>
          </w:tcPr>
          <w:p>
            <w:pPr>
              <w:jc w:val="right"/>
              <w:ind w:right="40"/>
              <w:spacing w:after="0" w:line="99" w:lineRule="exact"/>
              <w:rPr>
                <w:sz w:val="20"/>
                <w:szCs w:val="20"/>
                <w:color w:val="auto"/>
              </w:rPr>
            </w:pPr>
            <w:r>
              <w:rPr>
                <w:rFonts w:ascii="Arial" w:cs="Arial" w:eastAsia="Arial" w:hAnsi="Arial"/>
                <w:sz w:val="11"/>
                <w:szCs w:val="11"/>
                <w:b w:val="1"/>
                <w:bCs w:val="1"/>
                <w:color w:val="auto"/>
                <w:w w:val="94"/>
              </w:rPr>
              <w:t>March 31,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2"/>
          </w:tcPr>
          <w:p>
            <w:pPr>
              <w:jc w:val="right"/>
              <w:spacing w:after="0" w:line="99" w:lineRule="exact"/>
              <w:rPr>
                <w:sz w:val="20"/>
                <w:szCs w:val="20"/>
                <w:color w:val="auto"/>
              </w:rPr>
            </w:pPr>
            <w:r>
              <w:rPr>
                <w:rFonts w:ascii="Arial" w:cs="Arial" w:eastAsia="Arial" w:hAnsi="Arial"/>
                <w:sz w:val="11"/>
                <w:szCs w:val="11"/>
                <w:b w:val="1"/>
                <w:bCs w:val="1"/>
                <w:color w:val="auto"/>
                <w:w w:val="95"/>
              </w:rPr>
              <w:t>June 30,</w:t>
            </w:r>
          </w:p>
        </w:tc>
        <w:tc>
          <w:tcPr>
            <w:tcW w:w="300" w:type="dxa"/>
            <w:vAlign w:val="bottom"/>
          </w:tcPr>
          <w:p>
            <w:pPr>
              <w:spacing w:after="0"/>
              <w:rPr>
                <w:sz w:val="8"/>
                <w:szCs w:val="8"/>
                <w:color w:val="auto"/>
              </w:rPr>
            </w:pPr>
          </w:p>
        </w:tc>
        <w:tc>
          <w:tcPr>
            <w:tcW w:w="820" w:type="dxa"/>
            <w:vAlign w:val="bottom"/>
            <w:gridSpan w:val="6"/>
          </w:tcPr>
          <w:p>
            <w:pPr>
              <w:jc w:val="right"/>
              <w:ind w:right="80"/>
              <w:spacing w:after="0" w:line="99" w:lineRule="exact"/>
              <w:rPr>
                <w:sz w:val="20"/>
                <w:szCs w:val="20"/>
                <w:color w:val="auto"/>
              </w:rPr>
            </w:pPr>
            <w:r>
              <w:rPr>
                <w:rFonts w:ascii="Arial" w:cs="Arial" w:eastAsia="Arial" w:hAnsi="Arial"/>
                <w:sz w:val="11"/>
                <w:szCs w:val="11"/>
                <w:b w:val="1"/>
                <w:bCs w:val="1"/>
                <w:color w:val="auto"/>
                <w:w w:val="95"/>
              </w:rPr>
              <w:t>September 30,</w:t>
            </w:r>
          </w:p>
        </w:tc>
        <w:tc>
          <w:tcPr>
            <w:tcW w:w="240" w:type="dxa"/>
            <w:vAlign w:val="bottom"/>
          </w:tcPr>
          <w:p>
            <w:pPr>
              <w:spacing w:after="0"/>
              <w:rPr>
                <w:sz w:val="8"/>
                <w:szCs w:val="8"/>
                <w:color w:val="auto"/>
              </w:rPr>
            </w:pPr>
          </w:p>
        </w:tc>
        <w:tc>
          <w:tcPr>
            <w:tcW w:w="1000" w:type="dxa"/>
            <w:vAlign w:val="bottom"/>
            <w:gridSpan w:val="6"/>
          </w:tcPr>
          <w:p>
            <w:pPr>
              <w:jc w:val="right"/>
              <w:ind w:right="320"/>
              <w:spacing w:after="0" w:line="99" w:lineRule="exact"/>
              <w:rPr>
                <w:sz w:val="20"/>
                <w:szCs w:val="20"/>
                <w:color w:val="auto"/>
              </w:rPr>
            </w:pPr>
            <w:r>
              <w:rPr>
                <w:rFonts w:ascii="Arial" w:cs="Arial" w:eastAsia="Arial" w:hAnsi="Arial"/>
                <w:sz w:val="11"/>
                <w:szCs w:val="11"/>
                <w:b w:val="1"/>
                <w:bCs w:val="1"/>
                <w:color w:val="auto"/>
                <w:w w:val="92"/>
              </w:rPr>
              <w:t>December 31,</w:t>
            </w:r>
          </w:p>
        </w:tc>
        <w:tc>
          <w:tcPr>
            <w:tcW w:w="500" w:type="dxa"/>
            <w:vAlign w:val="bottom"/>
            <w:gridSpan w:val="2"/>
          </w:tcPr>
          <w:p>
            <w:pPr>
              <w:jc w:val="right"/>
              <w:spacing w:after="0" w:line="99" w:lineRule="exact"/>
              <w:rPr>
                <w:sz w:val="20"/>
                <w:szCs w:val="20"/>
                <w:color w:val="auto"/>
              </w:rPr>
            </w:pPr>
            <w:r>
              <w:rPr>
                <w:rFonts w:ascii="Arial" w:cs="Arial" w:eastAsia="Arial" w:hAnsi="Arial"/>
                <w:sz w:val="11"/>
                <w:szCs w:val="11"/>
                <w:b w:val="1"/>
                <w:bCs w:val="1"/>
                <w:color w:val="auto"/>
                <w:w w:val="94"/>
              </w:rPr>
              <w:t>March 31,</w:t>
            </w:r>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7"/>
              </w:rPr>
              <w:t>2019</w:t>
            </w: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1"/>
                <w:szCs w:val="11"/>
                <w:b w:val="1"/>
                <w:bCs w:val="1"/>
                <w:color w:val="auto"/>
                <w:w w:val="97"/>
              </w:rPr>
              <w:t>2019</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8"/>
          </w:tcPr>
          <w:p>
            <w:pPr>
              <w:jc w:val="right"/>
              <w:ind w:right="180"/>
              <w:spacing w:after="0" w:line="99" w:lineRule="exact"/>
              <w:rPr>
                <w:sz w:val="20"/>
                <w:szCs w:val="20"/>
                <w:color w:val="auto"/>
              </w:rPr>
            </w:pPr>
            <w:r>
              <w:rPr>
                <w:rFonts w:ascii="Arial" w:cs="Arial" w:eastAsia="Arial" w:hAnsi="Arial"/>
                <w:sz w:val="11"/>
                <w:szCs w:val="11"/>
                <w:b w:val="1"/>
                <w:bCs w:val="1"/>
                <w:color w:val="auto"/>
              </w:rPr>
              <w:t>(as a % of revenue)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6"/>
          </w:tcPr>
          <w:p>
            <w:pPr>
              <w:jc w:val="right"/>
              <w:ind w:right="380"/>
              <w:spacing w:after="0"/>
              <w:rPr>
                <w:sz w:val="20"/>
                <w:szCs w:val="20"/>
                <w:color w:val="auto"/>
              </w:rPr>
            </w:pPr>
            <w:r>
              <w:rPr>
                <w:rFonts w:ascii="Arial" w:cs="Arial" w:eastAsia="Arial" w:hAnsi="Arial"/>
                <w:sz w:val="11"/>
                <w:szCs w:val="11"/>
                <w:b w:val="1"/>
                <w:bCs w:val="1"/>
                <w:color w:val="auto"/>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w:t>
            </w:r>
          </w:p>
        </w:tc>
        <w:tc>
          <w:tcPr>
            <w:tcW w:w="680" w:type="dxa"/>
            <w:vAlign w:val="bottom"/>
            <w:gridSpan w:val="4"/>
            <w:shd w:val="clear" w:color="auto" w:fill="CCEEFF"/>
          </w:tcPr>
          <w:p>
            <w:pPr>
              <w:jc w:val="right"/>
              <w:ind w:right="58"/>
              <w:spacing w:after="0"/>
              <w:rPr>
                <w:sz w:val="20"/>
                <w:szCs w:val="20"/>
                <w:color w:val="auto"/>
              </w:rPr>
            </w:pPr>
            <w:r>
              <w:rPr>
                <w:rFonts w:ascii="Arial" w:cs="Arial" w:eastAsia="Arial" w:hAnsi="Arial"/>
                <w:sz w:val="12"/>
                <w:szCs w:val="12"/>
                <w:color w:val="auto"/>
              </w:rPr>
              <w:t>100.0%</w:t>
            </w:r>
          </w:p>
        </w:tc>
        <w:tc>
          <w:tcPr>
            <w:tcW w:w="6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1"/>
              <w:spacing w:after="0"/>
              <w:rPr>
                <w:sz w:val="20"/>
                <w:szCs w:val="20"/>
                <w:color w:val="auto"/>
              </w:rPr>
            </w:pPr>
            <w:r>
              <w:rPr>
                <w:rFonts w:ascii="Arial" w:cs="Arial" w:eastAsia="Arial" w:hAnsi="Arial"/>
                <w:sz w:val="12"/>
                <w:szCs w:val="12"/>
                <w:color w:val="auto"/>
              </w:rPr>
              <w:t>100.0%</w:t>
            </w:r>
          </w:p>
        </w:tc>
        <w:tc>
          <w:tcPr>
            <w:tcW w:w="960" w:type="dxa"/>
            <w:vAlign w:val="bottom"/>
            <w:gridSpan w:val="5"/>
            <w:shd w:val="clear" w:color="auto" w:fill="CCEEFF"/>
          </w:tcPr>
          <w:p>
            <w:pPr>
              <w:jc w:val="right"/>
              <w:ind w:right="7"/>
              <w:spacing w:after="0"/>
              <w:rPr>
                <w:sz w:val="20"/>
                <w:szCs w:val="20"/>
                <w:color w:val="auto"/>
              </w:rPr>
            </w:pPr>
            <w:r>
              <w:rPr>
                <w:rFonts w:ascii="Arial" w:cs="Arial" w:eastAsia="Arial" w:hAnsi="Arial"/>
                <w:sz w:val="12"/>
                <w:szCs w:val="12"/>
                <w:color w:val="auto"/>
              </w:rPr>
              <w:t>100.0%</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900" w:type="dxa"/>
            <w:vAlign w:val="bottom"/>
            <w:gridSpan w:val="4"/>
            <w:shd w:val="clear" w:color="auto" w:fill="CCEEFF"/>
          </w:tcPr>
          <w:p>
            <w:pPr>
              <w:jc w:val="right"/>
              <w:ind w:right="139"/>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2"/>
                <w:szCs w:val="12"/>
                <w:color w:val="auto"/>
                <w:w w:val="98"/>
              </w:rPr>
              <w:t>100.0%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81.1</w:t>
            </w:r>
          </w:p>
        </w:tc>
        <w:tc>
          <w:tcPr>
            <w:tcW w:w="280" w:type="dxa"/>
            <w:vAlign w:val="bottom"/>
          </w:tcPr>
          <w:p>
            <w:pPr>
              <w:spacing w:after="0"/>
              <w:rPr>
                <w:sz w:val="11"/>
                <w:szCs w:val="11"/>
                <w:color w:val="auto"/>
              </w:rPr>
            </w:pP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80.5</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82.1</w:t>
            </w:r>
          </w:p>
        </w:tc>
        <w:tc>
          <w:tcPr>
            <w:tcW w:w="180" w:type="dxa"/>
            <w:vAlign w:val="bottom"/>
          </w:tcPr>
          <w:p>
            <w:pPr>
              <w:spacing w:after="0"/>
              <w:rPr>
                <w:sz w:val="11"/>
                <w:szCs w:val="11"/>
                <w:color w:val="auto"/>
              </w:rPr>
            </w:pPr>
          </w:p>
        </w:tc>
        <w:tc>
          <w:tcPr>
            <w:tcW w:w="960" w:type="dxa"/>
            <w:vAlign w:val="bottom"/>
            <w:gridSpan w:val="5"/>
          </w:tcPr>
          <w:p>
            <w:pPr>
              <w:jc w:val="right"/>
              <w:ind w:right="127"/>
              <w:spacing w:after="0" w:line="134" w:lineRule="exact"/>
              <w:rPr>
                <w:sz w:val="20"/>
                <w:szCs w:val="20"/>
                <w:color w:val="auto"/>
              </w:rPr>
            </w:pPr>
            <w:r>
              <w:rPr>
                <w:rFonts w:ascii="Arial" w:cs="Arial" w:eastAsia="Arial" w:hAnsi="Arial"/>
                <w:sz w:val="12"/>
                <w:szCs w:val="12"/>
                <w:color w:val="auto"/>
              </w:rPr>
              <w:t>82.4</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79.9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76.2</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75.7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75.0</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77.6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18.9</w:t>
            </w:r>
          </w:p>
        </w:tc>
        <w:tc>
          <w:tcPr>
            <w:tcW w:w="280" w:type="dxa"/>
            <w:vAlign w:val="bottom"/>
            <w:shd w:val="clear" w:color="auto" w:fill="CCEEFF"/>
          </w:tcPr>
          <w:p>
            <w:pPr>
              <w:spacing w:after="0"/>
              <w:rPr>
                <w:sz w:val="11"/>
                <w:szCs w:val="11"/>
                <w:color w:val="auto"/>
              </w:rPr>
            </w:pP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19.5</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17.9</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17.6</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20.1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23.8</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24.3</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22.4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78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17.6</w:t>
            </w: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18.2</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18.9</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17.9</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14.7</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14.3</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15.1</w:t>
            </w: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12.4</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12.2</w:t>
            </w:r>
          </w:p>
        </w:tc>
        <w:tc>
          <w:tcPr>
            <w:tcW w:w="180" w:type="dxa"/>
            <w:vAlign w:val="bottom"/>
          </w:tcPr>
          <w:p>
            <w:pPr>
              <w:spacing w:after="0"/>
              <w:rPr>
                <w:sz w:val="11"/>
                <w:szCs w:val="11"/>
                <w:color w:val="auto"/>
              </w:rPr>
            </w:pPr>
          </w:p>
        </w:tc>
        <w:tc>
          <w:tcPr>
            <w:tcW w:w="960" w:type="dxa"/>
            <w:vAlign w:val="bottom"/>
            <w:gridSpan w:val="5"/>
          </w:tcPr>
          <w:p>
            <w:pPr>
              <w:jc w:val="right"/>
              <w:ind w:right="127"/>
              <w:spacing w:after="0" w:line="134" w:lineRule="exact"/>
              <w:rPr>
                <w:sz w:val="20"/>
                <w:szCs w:val="20"/>
                <w:color w:val="auto"/>
              </w:rPr>
            </w:pPr>
            <w:r>
              <w:rPr>
                <w:rFonts w:ascii="Arial" w:cs="Arial" w:eastAsia="Arial" w:hAnsi="Arial"/>
                <w:sz w:val="12"/>
                <w:szCs w:val="12"/>
                <w:color w:val="auto"/>
              </w:rPr>
              <w:t>12.4</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9.1</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10.5</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78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13.2</w:t>
            </w: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13.2</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13.1</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13.4</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11.1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8.4</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7.2</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9.8</w:t>
            </w: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10.8</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9.9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127"/>
              <w:spacing w:after="0" w:line="134" w:lineRule="exact"/>
              <w:rPr>
                <w:sz w:val="20"/>
                <w:szCs w:val="20"/>
                <w:color w:val="auto"/>
              </w:rPr>
            </w:pPr>
            <w:r>
              <w:rPr>
                <w:rFonts w:ascii="Arial" w:cs="Arial" w:eastAsia="Arial" w:hAnsi="Arial"/>
                <w:sz w:val="12"/>
                <w:szCs w:val="12"/>
                <w:color w:val="auto"/>
                <w:w w:val="95"/>
              </w:rPr>
              <w:t>9.6</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8.0</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8.6</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50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w w:val="95"/>
              </w:rPr>
              <w:t>7.1</w:t>
            </w:r>
          </w:p>
        </w:tc>
        <w:tc>
          <w:tcPr>
            <w:tcW w:w="1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w w:val="82"/>
              </w:rPr>
              <w:t>—</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2"/>
                <w:szCs w:val="12"/>
                <w:color w:val="auto"/>
              </w:rPr>
              <w:t>55.7</w:t>
            </w:r>
          </w:p>
        </w:tc>
        <w:tc>
          <w:tcPr>
            <w:tcW w:w="280" w:type="dxa"/>
            <w:vAlign w:val="bottom"/>
          </w:tcPr>
          <w:p>
            <w:pPr>
              <w:spacing w:after="0"/>
              <w:rPr>
                <w:sz w:val="12"/>
                <w:szCs w:val="12"/>
                <w:color w:val="auto"/>
              </w:rPr>
            </w:pPr>
          </w:p>
        </w:tc>
        <w:tc>
          <w:tcPr>
            <w:tcW w:w="680" w:type="dxa"/>
            <w:vAlign w:val="bottom"/>
            <w:gridSpan w:val="4"/>
          </w:tcPr>
          <w:p>
            <w:pPr>
              <w:jc w:val="right"/>
              <w:ind w:right="178"/>
              <w:spacing w:after="0"/>
              <w:rPr>
                <w:sz w:val="20"/>
                <w:szCs w:val="20"/>
                <w:color w:val="auto"/>
              </w:rPr>
            </w:pPr>
            <w:r>
              <w:rPr>
                <w:rFonts w:ascii="Arial" w:cs="Arial" w:eastAsia="Arial" w:hAnsi="Arial"/>
                <w:sz w:val="12"/>
                <w:szCs w:val="12"/>
                <w:color w:val="auto"/>
              </w:rPr>
              <w:t>54.6</w:t>
            </w:r>
          </w:p>
        </w:tc>
        <w:tc>
          <w:tcPr>
            <w:tcW w:w="60" w:type="dxa"/>
            <w:vAlign w:val="bottom"/>
          </w:tcPr>
          <w:p>
            <w:pPr>
              <w:spacing w:after="0"/>
              <w:rPr>
                <w:sz w:val="12"/>
                <w:szCs w:val="12"/>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2"/>
                <w:szCs w:val="12"/>
                <w:color w:val="auto"/>
              </w:rPr>
              <w:t>54.1</w:t>
            </w:r>
          </w:p>
        </w:tc>
        <w:tc>
          <w:tcPr>
            <w:tcW w:w="180" w:type="dxa"/>
            <w:vAlign w:val="bottom"/>
          </w:tcPr>
          <w:p>
            <w:pPr>
              <w:spacing w:after="0"/>
              <w:rPr>
                <w:sz w:val="12"/>
                <w:szCs w:val="12"/>
                <w:color w:val="auto"/>
              </w:rPr>
            </w:pPr>
          </w:p>
        </w:tc>
        <w:tc>
          <w:tcPr>
            <w:tcW w:w="960" w:type="dxa"/>
            <w:vAlign w:val="bottom"/>
            <w:gridSpan w:val="5"/>
          </w:tcPr>
          <w:p>
            <w:pPr>
              <w:jc w:val="right"/>
              <w:ind w:right="127"/>
              <w:spacing w:after="0"/>
              <w:rPr>
                <w:sz w:val="20"/>
                <w:szCs w:val="20"/>
                <w:color w:val="auto"/>
              </w:rPr>
            </w:pPr>
            <w:r>
              <w:rPr>
                <w:rFonts w:ascii="Arial" w:cs="Arial" w:eastAsia="Arial" w:hAnsi="Arial"/>
                <w:sz w:val="12"/>
                <w:szCs w:val="12"/>
                <w:color w:val="auto"/>
              </w:rPr>
              <w:t>60.4</w:t>
            </w:r>
          </w:p>
        </w:tc>
        <w:tc>
          <w:tcPr>
            <w:tcW w:w="660" w:type="dxa"/>
            <w:vAlign w:val="bottom"/>
            <w:gridSpan w:val="4"/>
          </w:tcPr>
          <w:p>
            <w:pPr>
              <w:jc w:val="right"/>
              <w:ind w:right="40"/>
              <w:spacing w:after="0"/>
              <w:rPr>
                <w:sz w:val="20"/>
                <w:szCs w:val="20"/>
                <w:color w:val="auto"/>
              </w:rPr>
            </w:pPr>
            <w:r>
              <w:rPr>
                <w:rFonts w:ascii="Arial" w:cs="Arial" w:eastAsia="Arial" w:hAnsi="Arial"/>
                <w:sz w:val="12"/>
                <w:szCs w:val="12"/>
                <w:color w:val="auto"/>
              </w:rPr>
              <w:t>51.4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40.2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38.1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38"/>
              <w:spacing w:after="0"/>
              <w:rPr>
                <w:sz w:val="20"/>
                <w:szCs w:val="20"/>
                <w:color w:val="auto"/>
              </w:rPr>
            </w:pPr>
            <w:r>
              <w:rPr>
                <w:rFonts w:ascii="Arial" w:cs="Arial" w:eastAsia="Arial" w:hAnsi="Arial"/>
                <w:sz w:val="12"/>
                <w:szCs w:val="12"/>
                <w:color w:val="auto"/>
              </w:rPr>
              <w:t>49.7</w:t>
            </w:r>
          </w:p>
        </w:tc>
        <w:tc>
          <w:tcPr>
            <w:tcW w:w="100" w:type="dxa"/>
            <w:vAlign w:val="bottom"/>
          </w:tcPr>
          <w:p>
            <w:pPr>
              <w:spacing w:after="0"/>
              <w:rPr>
                <w:sz w:val="12"/>
                <w:szCs w:val="12"/>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(36.8)</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(35.1)</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(36.2)</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(42.8)</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(31.3)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(16.4)</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(13.8)</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(1.1)</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(0.4)</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0.3</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(0.2)</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(0.8)</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(0.7)</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0.3</w:t>
            </w:r>
          </w:p>
        </w:tc>
        <w:tc>
          <w:tcPr>
            <w:tcW w:w="280" w:type="dxa"/>
            <w:vAlign w:val="bottom"/>
          </w:tcPr>
          <w:p>
            <w:pPr>
              <w:spacing w:after="0"/>
              <w:rPr>
                <w:sz w:val="11"/>
                <w:szCs w:val="11"/>
                <w:color w:val="auto"/>
              </w:rPr>
            </w:pPr>
          </w:p>
        </w:tc>
        <w:tc>
          <w:tcPr>
            <w:tcW w:w="680" w:type="dxa"/>
            <w:vAlign w:val="bottom"/>
            <w:gridSpan w:val="4"/>
          </w:tcPr>
          <w:p>
            <w:pPr>
              <w:jc w:val="right"/>
              <w:ind w:right="138"/>
              <w:spacing w:after="0" w:line="134" w:lineRule="exact"/>
              <w:rPr>
                <w:sz w:val="20"/>
                <w:szCs w:val="20"/>
                <w:color w:val="auto"/>
              </w:rPr>
            </w:pPr>
            <w:r>
              <w:rPr>
                <w:rFonts w:ascii="Arial" w:cs="Arial" w:eastAsia="Arial" w:hAnsi="Arial"/>
                <w:sz w:val="12"/>
                <w:szCs w:val="12"/>
                <w:color w:val="auto"/>
              </w:rPr>
              <w:t>(0.4)</w:t>
            </w:r>
          </w:p>
        </w:tc>
        <w:tc>
          <w:tcPr>
            <w:tcW w:w="60" w:type="dxa"/>
            <w:vAlign w:val="bottom"/>
          </w:tcPr>
          <w:p>
            <w:pPr>
              <w:spacing w:after="0"/>
              <w:rPr>
                <w:sz w:val="11"/>
                <w:szCs w:val="11"/>
                <w:color w:val="auto"/>
              </w:rPr>
            </w:pPr>
          </w:p>
        </w:tc>
        <w:tc>
          <w:tcPr>
            <w:tcW w:w="780" w:type="dxa"/>
            <w:vAlign w:val="bottom"/>
            <w:gridSpan w:val="4"/>
          </w:tcPr>
          <w:p>
            <w:pPr>
              <w:jc w:val="right"/>
              <w:spacing w:after="0" w:line="134" w:lineRule="exact"/>
              <w:rPr>
                <w:sz w:val="20"/>
                <w:szCs w:val="20"/>
                <w:color w:val="auto"/>
              </w:rPr>
            </w:pPr>
            <w:r>
              <w:rPr>
                <w:rFonts w:ascii="Arial" w:cs="Arial" w:eastAsia="Arial" w:hAnsi="Arial"/>
                <w:sz w:val="12"/>
                <w:szCs w:val="12"/>
                <w:color w:val="auto"/>
              </w:rPr>
              <w:t>(0.4)</w:t>
            </w:r>
          </w:p>
        </w:tc>
        <w:tc>
          <w:tcPr>
            <w:tcW w:w="180" w:type="dxa"/>
            <w:vAlign w:val="bottom"/>
          </w:tcPr>
          <w:p>
            <w:pPr>
              <w:spacing w:after="0"/>
              <w:rPr>
                <w:sz w:val="11"/>
                <w:szCs w:val="11"/>
                <w:color w:val="auto"/>
              </w:rPr>
            </w:pPr>
          </w:p>
        </w:tc>
        <w:tc>
          <w:tcPr>
            <w:tcW w:w="960" w:type="dxa"/>
            <w:vAlign w:val="bottom"/>
            <w:gridSpan w:val="5"/>
          </w:tcPr>
          <w:p>
            <w:pPr>
              <w:jc w:val="right"/>
              <w:ind w:right="87"/>
              <w:spacing w:after="0" w:line="134" w:lineRule="exact"/>
              <w:rPr>
                <w:sz w:val="20"/>
                <w:szCs w:val="20"/>
                <w:color w:val="auto"/>
              </w:rPr>
            </w:pPr>
            <w:r>
              <w:rPr>
                <w:rFonts w:ascii="Arial" w:cs="Arial" w:eastAsia="Arial" w:hAnsi="Arial"/>
                <w:sz w:val="12"/>
                <w:szCs w:val="12"/>
                <w:color w:val="auto"/>
              </w:rPr>
              <w:t>(0.3)</w:t>
            </w:r>
          </w:p>
        </w:tc>
        <w:tc>
          <w:tcPr>
            <w:tcW w:w="660" w:type="dxa"/>
            <w:vAlign w:val="bottom"/>
            <w:gridSpan w:val="4"/>
          </w:tcPr>
          <w:p>
            <w:pPr>
              <w:jc w:val="right"/>
              <w:spacing w:after="0" w:line="134" w:lineRule="exact"/>
              <w:rPr>
                <w:sz w:val="20"/>
                <w:szCs w:val="20"/>
                <w:color w:val="auto"/>
              </w:rPr>
            </w:pPr>
            <w:r>
              <w:rPr>
                <w:rFonts w:ascii="Arial" w:cs="Arial" w:eastAsia="Arial" w:hAnsi="Arial"/>
                <w:sz w:val="12"/>
                <w:szCs w:val="12"/>
                <w:color w:val="auto"/>
              </w:rPr>
              <w:t>(0.4)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(0.4)</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98"/>
              <w:spacing w:after="0" w:line="134" w:lineRule="exact"/>
              <w:rPr>
                <w:sz w:val="20"/>
                <w:szCs w:val="20"/>
                <w:color w:val="auto"/>
              </w:rPr>
            </w:pPr>
            <w:r>
              <w:rPr>
                <w:rFonts w:ascii="Arial" w:cs="Arial" w:eastAsia="Arial" w:hAnsi="Arial"/>
                <w:sz w:val="12"/>
                <w:szCs w:val="12"/>
                <w:color w:val="auto"/>
              </w:rPr>
              <w:t>(1.2)</w:t>
            </w:r>
          </w:p>
        </w:tc>
        <w:tc>
          <w:tcPr>
            <w:tcW w:w="100" w:type="dxa"/>
            <w:vAlign w:val="bottom"/>
          </w:tcPr>
          <w:p>
            <w:pPr>
              <w:spacing w:after="0"/>
              <w:rPr>
                <w:sz w:val="11"/>
                <w:szCs w:val="11"/>
                <w:color w:val="auto"/>
              </w:rPr>
            </w:pPr>
          </w:p>
        </w:tc>
        <w:tc>
          <w:tcPr>
            <w:tcW w:w="60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(0.8)</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(0.8)</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(0.1)</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(0.5)</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(1.2)</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(37.6)</w:t>
            </w:r>
          </w:p>
        </w:tc>
        <w:tc>
          <w:tcPr>
            <w:tcW w:w="680" w:type="dxa"/>
            <w:vAlign w:val="bottom"/>
            <w:gridSpan w:val="4"/>
          </w:tcPr>
          <w:p>
            <w:pPr>
              <w:jc w:val="right"/>
              <w:ind w:right="138"/>
              <w:spacing w:after="0"/>
              <w:rPr>
                <w:sz w:val="20"/>
                <w:szCs w:val="20"/>
                <w:color w:val="auto"/>
              </w:rPr>
            </w:pPr>
            <w:r>
              <w:rPr>
                <w:rFonts w:ascii="Arial" w:cs="Arial" w:eastAsia="Arial" w:hAnsi="Arial"/>
                <w:sz w:val="12"/>
                <w:szCs w:val="12"/>
                <w:color w:val="auto"/>
              </w:rPr>
              <w:t>(35.9)</w:t>
            </w:r>
          </w:p>
        </w:tc>
        <w:tc>
          <w:tcPr>
            <w:tcW w:w="60" w:type="dxa"/>
            <w:vAlign w:val="bottom"/>
          </w:tcPr>
          <w:p>
            <w:pPr>
              <w:spacing w:after="0"/>
              <w:rPr>
                <w:sz w:val="12"/>
                <w:szCs w:val="12"/>
                <w:color w:val="auto"/>
              </w:rPr>
            </w:pPr>
          </w:p>
        </w:tc>
        <w:tc>
          <w:tcPr>
            <w:tcW w:w="780" w:type="dxa"/>
            <w:vAlign w:val="bottom"/>
            <w:gridSpan w:val="4"/>
          </w:tcPr>
          <w:p>
            <w:pPr>
              <w:jc w:val="right"/>
              <w:spacing w:after="0"/>
              <w:rPr>
                <w:sz w:val="20"/>
                <w:szCs w:val="20"/>
                <w:color w:val="auto"/>
              </w:rPr>
            </w:pPr>
            <w:r>
              <w:rPr>
                <w:rFonts w:ascii="Arial" w:cs="Arial" w:eastAsia="Arial" w:hAnsi="Arial"/>
                <w:sz w:val="12"/>
                <w:szCs w:val="12"/>
                <w:color w:val="auto"/>
              </w:rPr>
              <w:t>(36.3)</w:t>
            </w:r>
          </w:p>
        </w:tc>
        <w:tc>
          <w:tcPr>
            <w:tcW w:w="180" w:type="dxa"/>
            <w:vAlign w:val="bottom"/>
          </w:tcPr>
          <w:p>
            <w:pPr>
              <w:spacing w:after="0"/>
              <w:rPr>
                <w:sz w:val="12"/>
                <w:szCs w:val="12"/>
                <w:color w:val="auto"/>
              </w:rPr>
            </w:pPr>
          </w:p>
        </w:tc>
        <w:tc>
          <w:tcPr>
            <w:tcW w:w="960" w:type="dxa"/>
            <w:vAlign w:val="bottom"/>
            <w:gridSpan w:val="5"/>
          </w:tcPr>
          <w:p>
            <w:pPr>
              <w:jc w:val="right"/>
              <w:ind w:right="87"/>
              <w:spacing w:after="0"/>
              <w:rPr>
                <w:sz w:val="20"/>
                <w:szCs w:val="20"/>
                <w:color w:val="auto"/>
              </w:rPr>
            </w:pPr>
            <w:r>
              <w:rPr>
                <w:rFonts w:ascii="Arial" w:cs="Arial" w:eastAsia="Arial" w:hAnsi="Arial"/>
                <w:sz w:val="12"/>
                <w:szCs w:val="12"/>
                <w:color w:val="auto"/>
              </w:rPr>
              <w:t>(43.3)</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(32.3)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(17.6)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(14.8)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98"/>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50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CCEEFF"/>
            </w:tcBorders>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w w:val="82"/>
              </w:rPr>
              <w:t>—</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(21.0)</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380"/>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(37.6)%</w:t>
            </w:r>
          </w:p>
        </w:tc>
        <w:tc>
          <w:tcPr>
            <w:tcW w:w="680" w:type="dxa"/>
            <w:vAlign w:val="bottom"/>
            <w:gridSpan w:val="4"/>
          </w:tcPr>
          <w:p>
            <w:pPr>
              <w:jc w:val="right"/>
              <w:ind w:right="18"/>
              <w:spacing w:after="0"/>
              <w:rPr>
                <w:sz w:val="20"/>
                <w:szCs w:val="20"/>
                <w:color w:val="auto"/>
              </w:rPr>
            </w:pPr>
            <w:r>
              <w:rPr>
                <w:rFonts w:ascii="Arial" w:cs="Arial" w:eastAsia="Arial" w:hAnsi="Arial"/>
                <w:sz w:val="12"/>
                <w:szCs w:val="12"/>
                <w:color w:val="auto"/>
              </w:rPr>
              <w:t>(35.9)%</w:t>
            </w:r>
          </w:p>
        </w:tc>
        <w:tc>
          <w:tcPr>
            <w:tcW w:w="60" w:type="dxa"/>
            <w:vAlign w:val="bottom"/>
          </w:tcPr>
          <w:p>
            <w:pPr>
              <w:spacing w:after="0"/>
              <w:rPr>
                <w:sz w:val="12"/>
                <w:szCs w:val="12"/>
                <w:color w:val="auto"/>
              </w:rPr>
            </w:pPr>
          </w:p>
        </w:tc>
        <w:tc>
          <w:tcPr>
            <w:tcW w:w="960" w:type="dxa"/>
            <w:vAlign w:val="bottom"/>
            <w:gridSpan w:val="5"/>
          </w:tcPr>
          <w:p>
            <w:pPr>
              <w:jc w:val="right"/>
              <w:ind w:right="21"/>
              <w:spacing w:after="0"/>
              <w:rPr>
                <w:sz w:val="20"/>
                <w:szCs w:val="20"/>
                <w:color w:val="auto"/>
              </w:rPr>
            </w:pPr>
            <w:r>
              <w:rPr>
                <w:rFonts w:ascii="Arial" w:cs="Arial" w:eastAsia="Arial" w:hAnsi="Arial"/>
                <w:sz w:val="12"/>
                <w:szCs w:val="12"/>
                <w:color w:val="auto"/>
              </w:rPr>
              <w:t>(36.3)%</w:t>
            </w:r>
          </w:p>
        </w:tc>
        <w:tc>
          <w:tcPr>
            <w:tcW w:w="960" w:type="dxa"/>
            <w:vAlign w:val="bottom"/>
            <w:gridSpan w:val="5"/>
          </w:tcPr>
          <w:p>
            <w:pPr>
              <w:jc w:val="right"/>
              <w:spacing w:after="0"/>
              <w:rPr>
                <w:sz w:val="20"/>
                <w:szCs w:val="20"/>
                <w:color w:val="auto"/>
              </w:rPr>
            </w:pPr>
            <w:r>
              <w:rPr>
                <w:rFonts w:ascii="Arial" w:cs="Arial" w:eastAsia="Arial" w:hAnsi="Arial"/>
                <w:sz w:val="12"/>
                <w:szCs w:val="12"/>
                <w:color w:val="auto"/>
              </w:rPr>
              <w:t>(43.3)%</w:t>
            </w: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(32.3)%</w:t>
            </w:r>
          </w:p>
        </w:tc>
        <w:tc>
          <w:tcPr>
            <w:tcW w:w="900" w:type="dxa"/>
            <w:vAlign w:val="bottom"/>
            <w:gridSpan w:val="4"/>
          </w:tcPr>
          <w:p>
            <w:pPr>
              <w:jc w:val="right"/>
              <w:ind w:right="99"/>
              <w:spacing w:after="0"/>
              <w:rPr>
                <w:sz w:val="20"/>
                <w:szCs w:val="20"/>
                <w:color w:val="auto"/>
              </w:rPr>
            </w:pPr>
            <w:r>
              <w:rPr>
                <w:rFonts w:ascii="Arial" w:cs="Arial" w:eastAsia="Arial" w:hAnsi="Arial"/>
                <w:sz w:val="12"/>
                <w:szCs w:val="12"/>
                <w:color w:val="auto"/>
              </w:rPr>
              <w:t>(17.6)%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18"/>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2"/>
                <w:szCs w:val="12"/>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financed our operations primarily through sales of our equity securities and borrowings under our term loan facility. As of March 31, 2021, our cash and cash equivalents totaled $49.5 million, compared with $59.9 million as of December 31, 2020. We believe our existing cash and cash equivalents will be sufficient to support our working capital and capital expenditure requirements for at least the next twelve months. We intend to repay all or a portion of our outstanding indebtedness under our Amended Loan and Security Agreement, with a portion of the net proceeds. Our future capital requirements will depend on many factors, including our obligation to repay any remaining balance under our term loan facility, our revenue growth rate, receivable and payable cycles, the timing and extent of investments in product development, sales and marketing, operations and support and general and administrative expenses.</w:t>
      </w:r>
    </w:p>
    <w:p>
      <w:pPr>
        <w:spacing w:after="0" w:line="206"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23"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We are party to a Loan and Security Agreement with Hercules Capital, Inc., or Hercules, as amended, restated, or modified from time to time, including by the Third Amendment to the Loan and Security Agreement dated as of January 30, 2020, or the Amended Loan and Security Agreement, for a term loan, or the term loan facility. Under the Amended Loan and Security Agreement, effective January 30, 2020, we can borrow up to $15.0 million under a term loan, all of which became available to us immediately on the agreement date. We had borrowings under the term loan of $15.0 million as of March 31, 2021 and December 31, 2020. As of March 31, 2021 and December 31, 2020, the loan pays interest at the greater of (i) 8.7% per annum or (ii) 8.7% per annum plus the prime rate minus 4.75% per annum. The term loan agreement requires a maximum $1.2 million end of term fee due and payable on the maturity date of May 1, 2022, however, if the term loan is repaid prior to November 1, 2021, the amount owed would be $0.9 million. As of March 31, 2021 and December 31, 2020, we owed $15.8 million on this term loan, including principal borrowings and accrued end of term fee. As we intend to repay this term loan in 2021, we have classified this term loan as a current liability on our Consolidated Balance Sheet. Our obligations under the Amended Loan and Security Agreement are secured by substantially all of our assets.</w:t>
      </w:r>
    </w:p>
    <w:p>
      <w:pPr>
        <w:spacing w:after="0" w:line="210"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Capital has the right to terminate its obligation to make further advances to us immediately and without notice upon the occurrence and during the continuance of an event of default.</w:t>
      </w:r>
    </w:p>
    <w:p>
      <w:pPr>
        <w:spacing w:after="0" w:line="203"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As part of the initial term loan agreement with Hercules, we issued a warrant to purchase 87,784 shares of our Series B preferred stock with an exercise price of $5.13 per share that expires in May 2025.</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our capital stock, enter into transactions with affiliates outside the ordinary course of business, and create liens on our assets. We are in compliance with covenants and were in compliance with these covenants as of December 31, 2020 and 2019.</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We exercised our right of first refusal to reacquire these shares of Convertible Preferred Stock from these stockholders at the same price the third party was willing to pay for such shares of Convertible Preferred Stock. In conjunction with the Series E offering, we sold the same shares of Series A-2, B, C and D Convertible Preferred Stock to the Series E investors for the same price that we paid to reacquire such shares of Convertible Preferred Stock. We recorded an $ 8.8 million deemed dividend to the selling stockholders, which represents the excess of the purchase price of the shares of Convertible Preferred Stock purchased by us over the original cost of the shares and was recorded in additional paid-in-capital and accumulated deficit.</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The following table presents a summary of our cash flows from operating, investing, and financing activities for the quarters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2020 to 2021</w:t>
            </w:r>
          </w:p>
        </w:tc>
      </w:tr>
      <w:tr>
        <w:trPr>
          <w:trHeight w:val="174"/>
        </w:trPr>
        <w:tc>
          <w:tcPr>
            <w:tcW w:w="5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 Change</w:t>
            </w:r>
          </w:p>
        </w:tc>
      </w:tr>
      <w:tr>
        <w:trPr>
          <w:trHeight w:val="154"/>
        </w:trPr>
        <w:tc>
          <w:tcPr>
            <w:tcW w:w="5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409"/>
              <w:spacing w:after="0" w:line="154"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55"/>
              <w:spacing w:after="0" w:line="154"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141"/>
        </w:trPr>
        <w:tc>
          <w:tcPr>
            <w:tcW w:w="5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4"/>
        </w:trPr>
        <w:tc>
          <w:tcPr>
            <w:tcW w:w="5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2960" w:type="dxa"/>
            <w:vAlign w:val="bottom"/>
            <w:gridSpan w:val="2"/>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$(6,305)</w:t>
            </w:r>
          </w:p>
        </w:tc>
        <w:tc>
          <w:tcPr>
            <w:tcW w:w="148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$(9,942)</w:t>
            </w:r>
          </w:p>
        </w:tc>
        <w:tc>
          <w:tcPr>
            <w:tcW w:w="13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57.7%</w:t>
            </w:r>
          </w:p>
        </w:tc>
      </w:tr>
      <w:tr>
        <w:trPr>
          <w:trHeight w:val="201"/>
        </w:trPr>
        <w:tc>
          <w:tcPr>
            <w:tcW w:w="5180" w:type="dxa"/>
            <w:vAlign w:val="bottom"/>
          </w:tcPr>
          <w:p>
            <w:pPr>
              <w:spacing w:after="0" w:line="201" w:lineRule="exact"/>
              <w:rPr>
                <w:sz w:val="20"/>
                <w:szCs w:val="20"/>
                <w:color w:val="auto"/>
              </w:rPr>
            </w:pPr>
            <w:r>
              <w:rPr>
                <w:rFonts w:ascii="Arial" w:cs="Arial" w:eastAsia="Arial" w:hAnsi="Arial"/>
                <w:sz w:val="18"/>
                <w:szCs w:val="18"/>
                <w:color w:val="auto"/>
              </w:rPr>
              <w:t>Net cash (used in) investing activities</w:t>
            </w:r>
          </w:p>
        </w:tc>
        <w:tc>
          <w:tcPr>
            <w:tcW w:w="2960" w:type="dxa"/>
            <w:vAlign w:val="bottom"/>
            <w:gridSpan w:val="2"/>
          </w:tcPr>
          <w:p>
            <w:pPr>
              <w:jc w:val="right"/>
              <w:ind w:right="209"/>
              <w:spacing w:after="0" w:line="201" w:lineRule="exact"/>
              <w:rPr>
                <w:sz w:val="20"/>
                <w:szCs w:val="20"/>
                <w:color w:val="auto"/>
              </w:rPr>
            </w:pPr>
            <w:r>
              <w:rPr>
                <w:rFonts w:ascii="Arial" w:cs="Arial" w:eastAsia="Arial" w:hAnsi="Arial"/>
                <w:sz w:val="18"/>
                <w:szCs w:val="18"/>
                <w:color w:val="auto"/>
              </w:rPr>
              <w:t>(1,689)</w:t>
            </w:r>
          </w:p>
        </w:tc>
        <w:tc>
          <w:tcPr>
            <w:tcW w:w="148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(1,244)</w:t>
            </w:r>
          </w:p>
        </w:tc>
        <w:tc>
          <w:tcPr>
            <w:tcW w:w="13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(26.3)</w:t>
            </w: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2960" w:type="dxa"/>
            <w:vAlign w:val="bottom"/>
            <w:gridSpan w:val="2"/>
            <w:shd w:val="clear" w:color="auto" w:fill="CCEEFF"/>
          </w:tcPr>
          <w:p>
            <w:pPr>
              <w:jc w:val="right"/>
              <w:ind w:right="269"/>
              <w:spacing w:after="0" w:line="201" w:lineRule="exact"/>
              <w:rPr>
                <w:sz w:val="20"/>
                <w:szCs w:val="20"/>
                <w:color w:val="auto"/>
              </w:rPr>
            </w:pPr>
            <w:r>
              <w:rPr>
                <w:rFonts w:ascii="Arial" w:cs="Arial" w:eastAsia="Arial" w:hAnsi="Arial"/>
                <w:sz w:val="18"/>
                <w:szCs w:val="18"/>
                <w:color w:val="auto"/>
              </w:rPr>
              <w:t>4,092</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843</w:t>
            </w: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(79.4)</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quarter ended March 31, 2021, net cash used in operating activities was $9.9 million, primarily due to a net loss of</w:t>
      </w:r>
    </w:p>
    <w:p>
      <w:pPr>
        <w:ind w:left="160"/>
        <w:spacing w:after="0"/>
        <w:rPr>
          <w:sz w:val="20"/>
          <w:szCs w:val="20"/>
          <w:color w:val="auto"/>
        </w:rPr>
      </w:pPr>
      <w:r>
        <w:rPr>
          <w:rFonts w:ascii="Arial" w:cs="Arial" w:eastAsia="Arial" w:hAnsi="Arial"/>
          <w:sz w:val="17"/>
          <w:szCs w:val="17"/>
          <w:color w:val="auto"/>
        </w:rPr>
        <w:t>$(10.5) million adjusted for non-cash charges of $1.6 million and a net decrease in our operating assets and liabilities of $(1.0) million. The</w:t>
      </w:r>
    </w:p>
    <w:p>
      <w:pPr>
        <w:ind w:left="160"/>
        <w:spacing w:after="0" w:line="238" w:lineRule="auto"/>
        <w:rPr>
          <w:sz w:val="20"/>
          <w:szCs w:val="20"/>
          <w:color w:val="auto"/>
        </w:rPr>
      </w:pPr>
      <w:r>
        <w:rPr>
          <w:rFonts w:ascii="Arial" w:cs="Arial" w:eastAsia="Arial" w:hAnsi="Arial"/>
          <w:sz w:val="18"/>
          <w:szCs w:val="18"/>
          <w:color w:val="auto"/>
        </w:rPr>
        <w:t>non-cash adjustments primarily relate to stock-based compensation of $0.5 million and depreciation and amortization of $0.7 million. The</w:t>
      </w:r>
    </w:p>
    <w:p>
      <w:pPr>
        <w:ind w:left="160"/>
        <w:spacing w:after="0" w:line="233" w:lineRule="auto"/>
        <w:rPr>
          <w:sz w:val="20"/>
          <w:szCs w:val="20"/>
          <w:color w:val="auto"/>
        </w:rPr>
      </w:pPr>
      <w:r>
        <w:rPr>
          <w:rFonts w:ascii="Arial" w:cs="Arial" w:eastAsia="Arial" w:hAnsi="Arial"/>
          <w:sz w:val="18"/>
          <w:szCs w:val="18"/>
          <w:color w:val="auto"/>
        </w:rPr>
        <w:t>net decrease in operating assets and liabilities is primarily driven by an increase in accounts receivable of $5.5 million and prepaid</w:t>
      </w:r>
    </w:p>
    <w:p>
      <w:pPr>
        <w:ind w:left="160"/>
        <w:spacing w:after="0" w:line="232" w:lineRule="auto"/>
        <w:rPr>
          <w:sz w:val="20"/>
          <w:szCs w:val="20"/>
          <w:color w:val="auto"/>
        </w:rPr>
      </w:pPr>
      <w:r>
        <w:rPr>
          <w:rFonts w:ascii="Arial" w:cs="Arial" w:eastAsia="Arial" w:hAnsi="Arial"/>
          <w:sz w:val="18"/>
          <w:szCs w:val="18"/>
          <w:color w:val="auto"/>
        </w:rPr>
        <w:t>expenses of $0.9 million. These increases are partially offset by increases in accounts payable of $1.9 million, accrued expenses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$1.6 million and $1.6 million of contract liabilities, primarily due to the growth of our business.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quarter ended March 31, 2020, net cash used in operating activities was $6.3 million, primarily due to a net loss of</w:t>
      </w:r>
    </w:p>
    <w:p>
      <w:pPr>
        <w:ind w:left="160"/>
        <w:spacing w:after="0" w:line="232" w:lineRule="auto"/>
        <w:rPr>
          <w:sz w:val="20"/>
          <w:szCs w:val="20"/>
          <w:color w:val="auto"/>
        </w:rPr>
      </w:pPr>
      <w:r>
        <w:rPr>
          <w:rFonts w:ascii="Arial" w:cs="Arial" w:eastAsia="Arial" w:hAnsi="Arial"/>
          <w:sz w:val="18"/>
          <w:szCs w:val="18"/>
          <w:color w:val="auto"/>
        </w:rPr>
        <w:t>$(8.6) million adjusted for non-cash charges of $1.1 million and a net increase in our operating assets and liabilities of $1.2 million. The</w:t>
      </w:r>
    </w:p>
    <w:p>
      <w:pPr>
        <w:ind w:left="160"/>
        <w:spacing w:after="0" w:line="233" w:lineRule="auto"/>
        <w:rPr>
          <w:sz w:val="20"/>
          <w:szCs w:val="20"/>
          <w:color w:val="auto"/>
        </w:rPr>
      </w:pPr>
      <w:r>
        <w:rPr>
          <w:rFonts w:ascii="Arial" w:cs="Arial" w:eastAsia="Arial" w:hAnsi="Arial"/>
          <w:sz w:val="18"/>
          <w:szCs w:val="18"/>
          <w:color w:val="auto"/>
        </w:rPr>
        <w:t>non-cash adjustments primarily relate to stock-based compensation of $0.1 million and depreciation and amortization of $0.7 million. The</w:t>
      </w:r>
    </w:p>
    <w:p>
      <w:pPr>
        <w:ind w:left="160"/>
        <w:spacing w:after="0"/>
        <w:rPr>
          <w:sz w:val="20"/>
          <w:szCs w:val="20"/>
          <w:color w:val="auto"/>
        </w:rPr>
      </w:pPr>
      <w:r>
        <w:rPr>
          <w:rFonts w:ascii="Arial" w:cs="Arial" w:eastAsia="Arial" w:hAnsi="Arial"/>
          <w:sz w:val="17"/>
          <w:szCs w:val="17"/>
          <w:color w:val="auto"/>
        </w:rPr>
        <w:t>net increase in operating assets and liabilities is primarily driven by a decrease in accounts receivable of $2.0 million. These increases are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partially offset by a $0.3 million decrease in contract liabilities.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Cash used by investing activities was $1.2 million during the quarter ended March 31, 2021, primarily due to investments in property and equipment (which includes internal-use software development costs).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Cash used in investing activities was $1.7 million during the quarter ended March 31, 2020, primarily due to $1.0 million for the purchase of property and equipment (which includes internal-use software development costs) and $0.7 million of net purchases of short-term investments.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3"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Cash provided by financing activities was $0.8 million during the quarter ended March 31, 2021, reflecting $0.8 million of proceeds from the exercise of stock options.</w:t>
      </w:r>
    </w:p>
    <w:p>
      <w:pPr>
        <w:spacing w:after="0" w:line="20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Cash provided by financing activities was $4.1 million during the quarter ended March 31, 2020, reflecting $4.0 million of additional borrowings on our term loan.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a summary of our cash flows from operating, investing, and financing activities for the years indicated.</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2019 to</w:t>
            </w:r>
          </w:p>
        </w:tc>
      </w:tr>
      <w:tr>
        <w:trPr>
          <w:trHeight w:val="174"/>
        </w:trPr>
        <w:tc>
          <w:tcPr>
            <w:tcW w:w="7300" w:type="dxa"/>
            <w:vAlign w:val="bottom"/>
          </w:tcPr>
          <w:p>
            <w:pPr>
              <w:spacing w:after="0"/>
              <w:rPr>
                <w:sz w:val="15"/>
                <w:szCs w:val="15"/>
                <w:color w:val="auto"/>
              </w:rPr>
            </w:pPr>
          </w:p>
        </w:tc>
        <w:tc>
          <w:tcPr>
            <w:tcW w:w="2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2020 Change</w:t>
            </w:r>
          </w:p>
        </w:tc>
      </w:tr>
      <w:tr>
        <w:trPr>
          <w:trHeight w:val="154"/>
        </w:trPr>
        <w:tc>
          <w:tcPr>
            <w:tcW w:w="73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421"/>
              <w:spacing w:after="0" w:line="154"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r>
      <w:tr>
        <w:trPr>
          <w:trHeight w:val="154"/>
        </w:trPr>
        <w:tc>
          <w:tcPr>
            <w:tcW w:w="7300" w:type="dxa"/>
            <w:vAlign w:val="bottom"/>
          </w:tcPr>
          <w:p>
            <w:pPr>
              <w:spacing w:after="0"/>
              <w:rPr>
                <w:sz w:val="13"/>
                <w:szCs w:val="13"/>
                <w:color w:val="auto"/>
              </w:rPr>
            </w:pPr>
          </w:p>
        </w:tc>
        <w:tc>
          <w:tcPr>
            <w:tcW w:w="19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1"/>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141"/>
              <w:spacing w:after="0" w:line="201" w:lineRule="exact"/>
              <w:rPr>
                <w:sz w:val="20"/>
                <w:szCs w:val="20"/>
                <w:color w:val="auto"/>
              </w:rPr>
            </w:pPr>
            <w:r>
              <w:rPr>
                <w:rFonts w:ascii="Arial" w:cs="Arial" w:eastAsia="Arial" w:hAnsi="Arial"/>
                <w:sz w:val="18"/>
                <w:szCs w:val="18"/>
                <w:color w:val="auto"/>
              </w:rPr>
              <w:t>$(27,125)</w:t>
            </w:r>
          </w:p>
        </w:tc>
        <w:tc>
          <w:tcPr>
            <w:tcW w:w="14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$(22,049)</w:t>
            </w:r>
          </w:p>
        </w:tc>
        <w:tc>
          <w:tcPr>
            <w:tcW w:w="11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(18.7)%</w:t>
            </w:r>
          </w:p>
        </w:tc>
      </w:tr>
      <w:tr>
        <w:trPr>
          <w:trHeight w:val="201"/>
        </w:trPr>
        <w:tc>
          <w:tcPr>
            <w:tcW w:w="7300" w:type="dxa"/>
            <w:vAlign w:val="bottom"/>
          </w:tcPr>
          <w:p>
            <w:pPr>
              <w:spacing w:after="0" w:line="201" w:lineRule="exact"/>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tcPr>
          <w:p>
            <w:pPr>
              <w:jc w:val="right"/>
              <w:ind w:right="141"/>
              <w:spacing w:after="0" w:line="201" w:lineRule="exact"/>
              <w:rPr>
                <w:sz w:val="20"/>
                <w:szCs w:val="20"/>
                <w:color w:val="auto"/>
              </w:rPr>
            </w:pPr>
            <w:r>
              <w:rPr>
                <w:rFonts w:ascii="Arial" w:cs="Arial" w:eastAsia="Arial" w:hAnsi="Arial"/>
                <w:sz w:val="18"/>
                <w:szCs w:val="18"/>
                <w:color w:val="auto"/>
              </w:rPr>
              <w:t>(2,350)</w:t>
            </w:r>
          </w:p>
        </w:tc>
        <w:tc>
          <w:tcPr>
            <w:tcW w:w="146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6,670</w:t>
            </w:r>
          </w:p>
        </w:tc>
        <w:tc>
          <w:tcPr>
            <w:tcW w:w="11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383.8</w:t>
            </w:r>
          </w:p>
        </w:tc>
      </w:tr>
      <w:tr>
        <w:trPr>
          <w:trHeight w:val="201"/>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1020" w:type="dxa"/>
            <w:vAlign w:val="bottom"/>
            <w:shd w:val="clear" w:color="auto" w:fill="CCEEFF"/>
          </w:tcPr>
          <w:p>
            <w:pPr>
              <w:jc w:val="right"/>
              <w:ind w:right="201"/>
              <w:spacing w:after="0" w:line="201" w:lineRule="exact"/>
              <w:rPr>
                <w:sz w:val="20"/>
                <w:szCs w:val="20"/>
                <w:color w:val="auto"/>
              </w:rPr>
            </w:pPr>
            <w:r>
              <w:rPr>
                <w:rFonts w:ascii="Arial" w:cs="Arial" w:eastAsia="Arial" w:hAnsi="Arial"/>
                <w:sz w:val="18"/>
                <w:szCs w:val="18"/>
                <w:color w:val="auto"/>
              </w:rPr>
              <w:t>54,715</w:t>
            </w:r>
          </w:p>
        </w:tc>
        <w:tc>
          <w:tcPr>
            <w:tcW w:w="146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35,261</w:t>
            </w:r>
          </w:p>
        </w:tc>
        <w:tc>
          <w:tcPr>
            <w:tcW w:w="11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(35.6)</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year ended December 31, 2020, net cash used in operating activities was $22.0 million, primarily due to a net loss of</w:t>
      </w:r>
    </w:p>
    <w:p>
      <w:pPr>
        <w:ind w:left="160"/>
        <w:spacing w:after="0" w:line="232" w:lineRule="auto"/>
        <w:rPr>
          <w:sz w:val="20"/>
          <w:szCs w:val="20"/>
          <w:color w:val="auto"/>
        </w:rPr>
      </w:pPr>
      <w:r>
        <w:rPr>
          <w:rFonts w:ascii="Arial" w:cs="Arial" w:eastAsia="Arial" w:hAnsi="Arial"/>
          <w:sz w:val="18"/>
          <w:szCs w:val="18"/>
          <w:color w:val="auto"/>
        </w:rPr>
        <w:t>$(31.1) million adjusted for non-cash charges of $7.1 million and a net increase in our operating assets and liabilities of $2.0 million. The</w:t>
      </w:r>
    </w:p>
    <w:p>
      <w:pPr>
        <w:ind w:left="160"/>
        <w:spacing w:after="0" w:line="233" w:lineRule="auto"/>
        <w:rPr>
          <w:sz w:val="20"/>
          <w:szCs w:val="20"/>
          <w:color w:val="auto"/>
        </w:rPr>
      </w:pPr>
      <w:r>
        <w:rPr>
          <w:rFonts w:ascii="Arial" w:cs="Arial" w:eastAsia="Arial" w:hAnsi="Arial"/>
          <w:sz w:val="18"/>
          <w:szCs w:val="18"/>
          <w:color w:val="auto"/>
        </w:rPr>
        <w:t>non-cash adjustments primarily relate to stock-based compensation of $1.0 million, depreciation and amortization of $3.1 million and</w:t>
      </w:r>
    </w:p>
    <w:p>
      <w:pPr>
        <w:ind w:left="160"/>
        <w:spacing w:after="0" w:line="232" w:lineRule="auto"/>
        <w:rPr>
          <w:sz w:val="20"/>
          <w:szCs w:val="20"/>
          <w:color w:val="auto"/>
        </w:rPr>
      </w:pPr>
      <w:r>
        <w:rPr>
          <w:rFonts w:ascii="Arial" w:cs="Arial" w:eastAsia="Arial" w:hAnsi="Arial"/>
          <w:sz w:val="18"/>
          <w:szCs w:val="18"/>
          <w:color w:val="auto"/>
        </w:rPr>
        <w:t>impairment of goodwill and intangible assets of $1.6 million. The net increase in operating assets and liabilities is primarily driven by an</w:t>
      </w:r>
    </w:p>
    <w:p>
      <w:pPr>
        <w:ind w:left="160"/>
        <w:spacing w:after="0" w:line="233" w:lineRule="auto"/>
        <w:rPr>
          <w:sz w:val="20"/>
          <w:szCs w:val="20"/>
          <w:color w:val="auto"/>
        </w:rPr>
      </w:pPr>
      <w:r>
        <w:rPr>
          <w:rFonts w:ascii="Arial" w:cs="Arial" w:eastAsia="Arial" w:hAnsi="Arial"/>
          <w:sz w:val="18"/>
          <w:szCs w:val="18"/>
          <w:color w:val="auto"/>
        </w:rPr>
        <w:t>increase in accounts receivable of $2.1 million and accrued expenses of $8.6 million due to our growth. These increases are partially</w:t>
      </w:r>
    </w:p>
    <w:p>
      <w:pPr>
        <w:ind w:left="160"/>
        <w:spacing w:after="0"/>
        <w:rPr>
          <w:sz w:val="20"/>
          <w:szCs w:val="20"/>
          <w:color w:val="auto"/>
        </w:rPr>
      </w:pPr>
      <w:r>
        <w:rPr>
          <w:rFonts w:ascii="Arial" w:cs="Arial" w:eastAsia="Arial" w:hAnsi="Arial"/>
          <w:sz w:val="18"/>
          <w:szCs w:val="18"/>
          <w:color w:val="auto"/>
        </w:rPr>
        <w:t>offset by decrease in accounts payable of $2.4 million primarily due to the growth of our business.</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the year ended December 31, 2019, net cash used in operating activities was $27.1 million, primarily due to a net loss of</w:t>
      </w:r>
    </w:p>
    <w:p>
      <w:pPr>
        <w:ind w:left="160" w:right="20"/>
        <w:spacing w:after="0" w:line="232" w:lineRule="auto"/>
        <w:rPr>
          <w:sz w:val="20"/>
          <w:szCs w:val="20"/>
          <w:color w:val="auto"/>
        </w:rPr>
      </w:pPr>
      <w:r>
        <w:rPr>
          <w:rFonts w:ascii="Arial" w:cs="Arial" w:eastAsia="Arial" w:hAnsi="Arial"/>
          <w:sz w:val="18"/>
          <w:szCs w:val="18"/>
          <w:color w:val="auto"/>
        </w:rPr>
        <w:t>$(31.0) million adjusted for non-cash charges of $4.7 million and a net decrease in our operating assets and liabilities of $(0.8) million. The non-cash adjustments primarily relate to stock-based compensation of $0.5 million, impairment of goodwill and intangible assets of</w:t>
      </w:r>
    </w:p>
    <w:p>
      <w:pPr>
        <w:spacing w:after="0" w:line="1" w:lineRule="exact"/>
        <w:rPr>
          <w:sz w:val="20"/>
          <w:szCs w:val="20"/>
          <w:color w:val="auto"/>
        </w:rPr>
      </w:pPr>
    </w:p>
    <w:p>
      <w:pPr>
        <w:jc w:val="both"/>
        <w:ind w:left="160" w:right="100"/>
        <w:spacing w:after="0" w:line="237" w:lineRule="auto"/>
        <w:rPr>
          <w:sz w:val="20"/>
          <w:szCs w:val="20"/>
          <w:color w:val="auto"/>
        </w:rPr>
      </w:pPr>
      <w:r>
        <w:rPr>
          <w:rFonts w:ascii="Arial" w:cs="Arial" w:eastAsia="Arial" w:hAnsi="Arial"/>
          <w:sz w:val="18"/>
          <w:szCs w:val="18"/>
          <w:color w:val="auto"/>
        </w:rPr>
        <w:t>$1.7 million and depreciation and amortization of $ 1.8 million. The net decrease in operating assets and liabilities is primarily driven by an increase in accounts receivable of $5.5 million and inventory costs of $0.6 million due to the growth in our revenue. These decreases are partially offset by an increase in accounts payable and accrued expenses of $5.4 million related primarily to the timing of payments.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Cash provided by investing activities was $6.7 million during the year ended December 31, 2020, primarily due to proceeds from the settlement of short-term investments.</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Cash used in investing activities was $2.4 million during the year ended December 31, 2019, primarily due to $2.7 million for the purchase of property and equipment (which includes internal-use software development costs), and $1.4 million for acquisitions offset by net proceed from short-term investments.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3" w:lineRule="exact"/>
        <w:rPr>
          <w:sz w:val="20"/>
          <w:szCs w:val="20"/>
          <w:color w:val="auto"/>
        </w:rPr>
      </w:pPr>
    </w:p>
    <w:p>
      <w:pPr>
        <w:ind w:left="160" w:right="440" w:firstLine="546"/>
        <w:spacing w:after="0" w:line="237" w:lineRule="auto"/>
        <w:rPr>
          <w:sz w:val="20"/>
          <w:szCs w:val="20"/>
          <w:color w:val="auto"/>
        </w:rPr>
      </w:pPr>
      <w:r>
        <w:rPr>
          <w:rFonts w:ascii="Arial" w:cs="Arial" w:eastAsia="Arial" w:hAnsi="Arial"/>
          <w:sz w:val="18"/>
          <w:szCs w:val="18"/>
          <w:color w:val="auto"/>
        </w:rPr>
        <w:t>Cash provided by financing activities was $35.3 million during the year ended December 31, 2020, reflecting $39.6 million of proceeds from the issuance of convertible preferred stock, net of cost and $4.0 million of proceeds from the term loan facility, partially offset by an $8.8 million deemed dividend to certain preferred stockholders.</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Cash provided by financing activities was $54.7 million during the year ended December 31, 2019, reflecting $54.9 million of</w:t>
      </w:r>
    </w:p>
    <w:p>
      <w:pPr>
        <w:jc w:val="center"/>
        <w:ind w:right="-99"/>
        <w:spacing w:after="0"/>
        <w:rPr>
          <w:sz w:val="20"/>
          <w:szCs w:val="20"/>
          <w:color w:val="auto"/>
        </w:rPr>
      </w:pPr>
      <w:r>
        <w:rPr>
          <w:rFonts w:ascii="Arial" w:cs="Arial" w:eastAsia="Arial" w:hAnsi="Arial"/>
          <w:sz w:val="18"/>
          <w:szCs w:val="18"/>
          <w:color w:val="auto"/>
        </w:rPr>
        <w:t>proceeds from the issuance of Series D convertible preferred stock, partially offset by $0.5 million of payments related to our line of credit.</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The following table sets forth the amounts of our significant contractual obligations and commitments with definitive payment terms as of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Payment due by Period</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Less than 1</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9"/>
              </w:rPr>
              <w:t>More than 5</w:t>
            </w:r>
          </w:p>
        </w:tc>
        <w:tc>
          <w:tcPr>
            <w:tcW w:w="60" w:type="dxa"/>
            <w:vAlign w:val="bottom"/>
          </w:tcPr>
          <w:p>
            <w:pPr>
              <w:spacing w:after="0"/>
              <w:rPr>
                <w:sz w:val="12"/>
                <w:szCs w:val="12"/>
                <w:color w:val="auto"/>
              </w:rPr>
            </w:pPr>
          </w:p>
        </w:tc>
      </w:tr>
      <w:tr>
        <w:trPr>
          <w:trHeight w:val="174"/>
        </w:trPr>
        <w:tc>
          <w:tcPr>
            <w:tcW w:w="5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8"/>
              </w:rPr>
              <w:t>4-5 years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r>
      <w:tr>
        <w:trPr>
          <w:trHeight w:val="154"/>
        </w:trPr>
        <w:tc>
          <w:tcPr>
            <w:tcW w:w="5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Term loan</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$15,753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$15,753</w:t>
            </w:r>
          </w:p>
        </w:tc>
        <w:tc>
          <w:tcPr>
            <w:tcW w:w="2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r>
      <w:tr>
        <w:trPr>
          <w:trHeight w:val="201"/>
        </w:trPr>
        <w:tc>
          <w:tcPr>
            <w:tcW w:w="5260" w:type="dxa"/>
            <w:vAlign w:val="bottom"/>
          </w:tcPr>
          <w:p>
            <w:pPr>
              <w:spacing w:after="0" w:line="201" w:lineRule="exact"/>
              <w:rPr>
                <w:sz w:val="20"/>
                <w:szCs w:val="20"/>
                <w:color w:val="auto"/>
              </w:rPr>
            </w:pPr>
            <w:r>
              <w:rPr>
                <w:rFonts w:ascii="Arial" w:cs="Arial" w:eastAsia="Arial" w:hAnsi="Arial"/>
                <w:sz w:val="18"/>
                <w:szCs w:val="18"/>
                <w:color w:val="auto"/>
              </w:rPr>
              <w:t>Operating leases</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2,403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1,153</w:t>
            </w:r>
          </w:p>
        </w:tc>
        <w:tc>
          <w:tcPr>
            <w:tcW w:w="1640" w:type="dxa"/>
            <w:vAlign w:val="bottom"/>
            <w:gridSpan w:val="3"/>
          </w:tcPr>
          <w:p>
            <w:pPr>
              <w:jc w:val="right"/>
              <w:ind w:right="480"/>
              <w:spacing w:after="0" w:line="201" w:lineRule="exact"/>
              <w:rPr>
                <w:sz w:val="20"/>
                <w:szCs w:val="20"/>
                <w:color w:val="auto"/>
              </w:rPr>
            </w:pPr>
            <w:r>
              <w:rPr>
                <w:rFonts w:ascii="Arial" w:cs="Arial" w:eastAsia="Arial" w:hAnsi="Arial"/>
                <w:sz w:val="18"/>
                <w:szCs w:val="18"/>
                <w:color w:val="auto"/>
              </w:rPr>
              <w:t>1,250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r>
      <w:tr>
        <w:trPr>
          <w:trHeight w:val="201"/>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Finance leases</w:t>
            </w:r>
          </w:p>
        </w:tc>
        <w:tc>
          <w:tcPr>
            <w:tcW w:w="6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5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18,171</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1,166</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17,005</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March 31, 2021, there were no material changes to our contractual obligations and commitments.</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Off-Balance Sheet Arrangements</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Critical Accounting Policies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discussion and analysis of financial condition and results of operations are based upon our financial statements included elsewhere in this prospectus.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3" w:lineRule="exact"/>
        <w:rPr>
          <w:sz w:val="20"/>
          <w:szCs w:val="20"/>
          <w:color w:val="auto"/>
        </w:rPr>
      </w:pPr>
    </w:p>
    <w:p>
      <w:pPr>
        <w:jc w:val="both"/>
        <w:ind w:left="160" w:right="540" w:firstLine="546"/>
        <w:spacing w:after="0" w:line="237" w:lineRule="auto"/>
        <w:rPr>
          <w:sz w:val="20"/>
          <w:szCs w:val="20"/>
          <w:color w:val="auto"/>
        </w:rPr>
      </w:pPr>
      <w:r>
        <w:rPr>
          <w:rFonts w:ascii="Arial" w:cs="Arial" w:eastAsia="Arial" w:hAnsi="Arial"/>
          <w:sz w:val="18"/>
          <w:szCs w:val="18"/>
          <w:color w:val="auto"/>
        </w:rPr>
        <w:t>We derive substantially all of our revenue in the U.S. and Europe from the sale of parts and assemblies fulfilled using a vast network of sellers. We recognize revenue from the sales to our buyers pursuant to Financial Accounting Standard Board’s (“FASB”) Accounting Standards Codification (“ASC”) Topic 606, Revenue from Contracts with Customers (“ASC 606”).</w:t>
      </w:r>
    </w:p>
    <w:p>
      <w:pPr>
        <w:spacing w:after="0" w:line="203" w:lineRule="exact"/>
        <w:rPr>
          <w:sz w:val="20"/>
          <w:szCs w:val="20"/>
          <w:color w:val="auto"/>
        </w:rPr>
      </w:pPr>
    </w:p>
    <w:p>
      <w:pPr>
        <w:jc w:val="both"/>
        <w:ind w:left="160" w:firstLine="546"/>
        <w:spacing w:after="0" w:line="246" w:lineRule="auto"/>
        <w:rPr>
          <w:sz w:val="20"/>
          <w:szCs w:val="20"/>
          <w:color w:val="auto"/>
        </w:rPr>
      </w:pPr>
      <w:r>
        <w:rPr>
          <w:rFonts w:ascii="Arial" w:cs="Arial" w:eastAsia="Arial" w:hAnsi="Arial"/>
          <w:sz w:val="17"/>
          <w:szCs w:val="17"/>
          <w:color w:val="auto"/>
        </w:rPr>
        <w:t>We determine that a contract exists between us and the customer when the customer accepts the quote and places the order, all of which are governed by our standard terms and conditions or other agreed terms with our customers. Upon completion of an order through our platform, we identify the performance obligation(s) within that order to complete the sale of the manufactured part(s) or assembly.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Using our in-house technology, we determine the price for the manufactured part(s) or assembly on a stand-alone basis at order initiation.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recognize revenue from sales to our customers upon shipment, at which point control over the part(s) or assembly have transferred.</w:t>
      </w:r>
    </w:p>
    <w:p>
      <w:pPr>
        <w:spacing w:after="0" w:line="208" w:lineRule="exact"/>
        <w:rPr>
          <w:sz w:val="20"/>
          <w:szCs w:val="20"/>
          <w:color w:val="auto"/>
        </w:rPr>
      </w:pPr>
    </w:p>
    <w:p>
      <w:pPr>
        <w:ind w:left="160" w:right="80" w:firstLine="546"/>
        <w:spacing w:after="0" w:line="250" w:lineRule="auto"/>
        <w:rPr>
          <w:sz w:val="20"/>
          <w:szCs w:val="20"/>
          <w:color w:val="auto"/>
        </w:rPr>
      </w:pPr>
      <w:r>
        <w:rPr>
          <w:rFonts w:ascii="Arial" w:cs="Arial" w:eastAsia="Arial" w:hAnsi="Arial"/>
          <w:sz w:val="17"/>
          <w:szCs w:val="17"/>
          <w:color w:val="auto"/>
        </w:rPr>
        <w:t>We have concluded that we are the principal in the sale of part(s) and assemblies that are sold by our network of third-party manufacturers because we exercise control over the manufacturing process by obtaining a right to direct a third-party manufacturer to fulfill the performance obligation we have with the buyer on our behalf. We considered the following conditions of the sale: (i) we have the obligation of providing the specified product to the buyer, (ii) 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We test goodwill for impairment annually in the fourth quarter, or more frequently, if needed and when there is a triggering event (e.g., a deterioration in general economic conditions or in the environment in which we operate). When impairment indicators are identified we compare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202"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determine the fair value of each reporting unit using an income approach. Under the income approach, we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To the extent management judgments, estimates or assumptions are incorrect, the fair value of our reporting units or intangible assets could be lower and those assets could be further impaired in the future.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Stock options are measured at the grant date fair value of the award. We estimate grant date fair value of those awards using the Black-Scholes option pricing model. The fair value of stock options is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40"/>
          </w:cols>
          <w:pgMar w:left="320" w:top="456"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recognized as compensation expense on a straight-line basis over the requisite service period, which is typically four years.</w:t>
      </w:r>
    </w:p>
    <w:p>
      <w:pPr>
        <w:spacing w:after="0" w:line="208"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assumptions with respect to: (i) expected annual dividend yield, (ii) expected volatility over the expected term; (iii) expected term, (iv) risk free interest rate, (v) per share value of the underlying common stock, and (vi) exercise price.</w:t>
      </w:r>
    </w:p>
    <w:p>
      <w:pPr>
        <w:spacing w:after="0" w:line="20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The fair value of our Class A common stock has been estimated by management as there is no public market for our Class A common stock. Our market-based methodology considers a number of objective and subjective factors including: third-party valuations of its common stock, the valuation of comparable companies, sales of our convertible preferred stock to outside investors in arms-length transactions, our operating and financial performance, the lack of marketability, and general and industry specific economic outlook, amongst others.</w:t>
      </w:r>
    </w:p>
    <w:p>
      <w:pPr>
        <w:spacing w:after="0" w:line="204"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Stock-based compensation expense is calculated using our best estimates, which involve inherent uncertainties and the application of management’s judgment and estimates. If different estimates and assumptions had been used, our estimates of common stock valuations could be significantly different and related stock-based compensation expense may be materially impacted.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3"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The fair value of our shares of common stock underlying stock options has historically been determined by the board of directors, with contemporaneous third-party valuations, as there has been no public market for our common stock.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 Held Company Equity Securities Issued as Compensation, our board of directors exercised reasonable judgment and considered a number of objective and subjective factors to determine the best estimate of the fair value of our common stock at each grant date.</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factors include:</w:t>
      </w:r>
    </w:p>
    <w:p>
      <w:pPr>
        <w:spacing w:after="0" w:line="114" w:lineRule="exact"/>
        <w:rPr>
          <w:sz w:val="20"/>
          <w:szCs w:val="20"/>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convertible preferred stock relative to the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for the shares of common stock underlying the stock options, such as an initial public offering, given prevailing market conditions;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of the common stock underlying the granted options;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recent secondary stock sales and tender offers;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6"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valuing our common stock, our board of directors determines the value using both the income and the market approach valuation methods. The income approach estimates value based on the expectation of future cash flows that a company will generate. These future cash flows are discounted to their present values using a discount rate based on our weighted average cost of capital, or WACC. To derive our WACC, a cost of equity was developed using the Capital Asset Pricing Model and comparable company betas, and a cost of debt was determined based on our estimated cost of borrowing. The costs of debt and equity were then weighted based on our actual capital structure. The market approach estimates value based on a comparison of our company to comparable public companies in a similar line of business and acquisitions in the market. From the comparable companies, a representative market multiple is determined and subsequently applied to our financial results to estimate our enterprise value.</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204"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Class A common stock based on the closing price of our Class A common stock as reported on the date of grant. Future expense amounts for any particular period could be affected by changes in our assumptions or market conditions.</w:t>
      </w:r>
    </w:p>
    <w:p>
      <w:pPr>
        <w:spacing w:after="0" w:line="20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Based on the assumed initial public offering price per share of $40.00, which is the midpoint of the estimated offering price range set forth on the cover page of this prospectus, the aggregate intrinsic value of our outstanding stock options as of March 31, 2021 was $100.3 million, with $34.9 million related to vested stock options.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Accounting Pronouncements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to our financial statements: “Significant Accounting Policies” appearing elsewhere in this prospectus.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Our primary market risk exposure is changing interest rates in connection with the Amended Loan and Security Agreement with Hercules. Interest rate risk is highly sensitive due to many factors, including U.S. monetary and tax policies, U.S. and international economic factors and other factors beyond our control. As of March 31, 2021, borrowing under the term loan facility bear interest equal to the greater of (A) 8.7% per annum plus the prime rate minus 4.75% per annum; or (B) 8.7%. As of March 31, 2021, we had $15.8 million outstanding under our term loan facility.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hypothetical 10% change in interest rates would not result in a material impact on our consolidated financial statements.</w:t>
      </w:r>
    </w:p>
    <w:p>
      <w:pPr>
        <w:spacing w:after="0" w:line="208"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Our interest-earning instruments also carry a degree of interest rate risk. As of March 31, 2021, we had cash and cash equivalents of $49.5 million.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European operating segment generates revenue outside of the United States that is denominated in currencies other than the U.S. dollar. Our results of operations could be impacted by changes in exchange rates.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23"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JOBS Act Accounting Election</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96"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6"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LETTER FROM RANDOLPH ALTSCHULER AND LAURENCE ZURIFF, CO-FOUNDERS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Letter From the Founders: Randy and Laurence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Committed to Building the Largest &amp; Most Comprehensive Global Manufacturing Marketplace</w:t>
      </w:r>
    </w:p>
    <w:p>
      <w:pPr>
        <w:spacing w:after="0" w:line="12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As entrepreneurs, we believe the best opportunities exist where technology is applied to disrupt traditional industries by offering a better solution to a broader set of customers.</w:t>
      </w:r>
    </w:p>
    <w:p>
      <w:pPr>
        <w:spacing w:after="0" w:line="20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The global demand for efficiency and speed has somehow eluded one of the largest and most important industries in the world, on-demand manufacturing. When we founded Xometry in 2013, the industry was localized and barely digitized. The inefficiencies were myriad and the opportunity ripe.</w:t>
      </w:r>
    </w:p>
    <w:p>
      <w:pPr>
        <w:spacing w:after="0" w:line="20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vision was simple. If there was a convenient web-based marketplace for books people write and read, why shouldn’t there be a similar marketplace for products people make and use?</w:t>
      </w:r>
    </w:p>
    <w:p>
      <w:pPr>
        <w:spacing w:after="0" w:line="20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From the day we started, our goal was to digitize manufacturing, connect supply with demand, and provide a better sourcing solution to both buyers and sellers. Today, Xometry provides a managed marketplace to serve a $260 billion opportunity where people who make things—and people who need things made—can find common ground to interact, transact and collaborate to get things built faster, better, and more affordably.</w:t>
      </w:r>
    </w:p>
    <w:p>
      <w:pPr>
        <w:spacing w:after="0" w:line="202" w:lineRule="exact"/>
        <w:rPr>
          <w:sz w:val="20"/>
          <w:szCs w:val="20"/>
          <w:color w:val="auto"/>
        </w:rPr>
      </w:pPr>
    </w:p>
    <w:p>
      <w:pPr>
        <w:jc w:val="both"/>
        <w:ind w:left="160" w:right="20" w:firstLine="546"/>
        <w:spacing w:after="0" w:line="237" w:lineRule="auto"/>
        <w:rPr>
          <w:sz w:val="20"/>
          <w:szCs w:val="20"/>
          <w:color w:val="auto"/>
        </w:rPr>
      </w:pPr>
      <w:r>
        <w:rPr>
          <w:rFonts w:ascii="Arial" w:cs="Arial" w:eastAsia="Arial" w:hAnsi="Arial"/>
          <w:sz w:val="18"/>
          <w:szCs w:val="18"/>
          <w:color w:val="auto"/>
        </w:rPr>
        <w:t>We focused on digitizing the broad on-demand manufacturing ecosystem into a marketplace that simplifies sourcing and can adapt as new technologies are introduced. We integrate the installed base of traditional machine shops, molding shops, and 3D printing service bureaus into an innovative, agile, and distributive global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Artificial Intelligence (AI) – the Core of Our Marketplace</w:t>
      </w:r>
    </w:p>
    <w:p>
      <w:pPr>
        <w:spacing w:after="0" w:line="12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For years, the on-demand manufacturing industry suffered from a lack of consistent pricing driven mainly by the existing manufacturing sourcing and procurement processes that were complex, uncertain, costly and time-consuming. Pricing was in a word, opaque. We focused on developing a means to generate an instant and accurate price for our buyers and allow sellers to source curated manufacturing opportunities that match their specific processes and capacity. Artificial Intelligence gave us the tools to create a machine learning approach to accurately and quickly price part designs and lead times and match them to the appropriate sellers. It allowed us to combine part features with data gathered from the financial transactions conducted on our marketplace to construct and continually improve prices that both buyers and sellers find acceptable across a wide range of designs, materials, and sizes.</w:t>
      </w:r>
    </w:p>
    <w:p>
      <w:pPr>
        <w:spacing w:after="0" w:line="99"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Xometry essentially created a liquid, scalable and global marketplace for the sourcing of on-demand parts. This liquidity gave us the opportunity to gain visibility into the supply and demand balance locally, regionally, and globally. Liquidity permits us to route work intelligently to support a more robust and resilient supply chain that is designed to respond to crises such as pandemics or natural disasters without skipping a beat.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Buyers</w:t>
      </w:r>
    </w:p>
    <w:p>
      <w:pPr>
        <w:spacing w:after="0" w:line="123"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Our customers are innovators. We help them take their ideas to market. Their products, manufactured through the Xometry marketplace, have changed people’s lives. They have sent men and women to space, contributed to developing vaccines at warp speed, accelerated the development of electric vehicles, and brought to market innovative protective masks that serve the needs of the deaf community.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456"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Seller Community</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sellers range in size, from large machine shops to small businesses run by talented craftspeople. We call our sellers “partners” for a reason; they are as committed to their industry and their community as we are. For decades they have played a pivotal role in their local economy’s prosperity. We help them access a broader customer base, scale capacity, and improve their cash cycle through Xometry’s seller financial services.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People</w:t>
      </w:r>
    </w:p>
    <w:p>
      <w:pPr>
        <w:spacing w:after="0" w:line="123" w:lineRule="exact"/>
        <w:rPr>
          <w:sz w:val="20"/>
          <w:szCs w:val="20"/>
          <w:color w:val="auto"/>
        </w:rPr>
      </w:pPr>
    </w:p>
    <w:p>
      <w:pPr>
        <w:jc w:val="both"/>
        <w:ind w:left="160" w:right="180" w:firstLine="546"/>
        <w:spacing w:after="0" w:line="237" w:lineRule="auto"/>
        <w:rPr>
          <w:sz w:val="20"/>
          <w:szCs w:val="20"/>
          <w:color w:val="auto"/>
        </w:rPr>
      </w:pPr>
      <w:r>
        <w:rPr>
          <w:rFonts w:ascii="Arial" w:cs="Arial" w:eastAsia="Arial" w:hAnsi="Arial"/>
          <w:sz w:val="18"/>
          <w:szCs w:val="18"/>
          <w:color w:val="auto"/>
        </w:rPr>
        <w:t>Our teammates are Xometry’s most important asset. The powerful combination of their unique knowledge and abilities drives our company and its marketplace. We embrace both independent thought and teamwork to tackle tough problems, empowering our team to find the best solutions.</w:t>
      </w:r>
    </w:p>
    <w:p>
      <w:pPr>
        <w:spacing w:after="0" w:line="203"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Our flywheel functions due to the hard work of our software programmers, technicians, mechanical engineers, marketers, salespeople, physicists, accountants, computational mathematicians and statisticians, and even a Jeopardy! champion. We are grateful for their contributions and are excited to continue building the largest and most comprehensive manufacturing marketplace in the world alongside them.</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Broader Community</w:t>
      </w:r>
    </w:p>
    <w:p>
      <w:pPr>
        <w:spacing w:after="0" w:line="12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Our stakeholders expect us to be good stewards not only of our business but of the broader community in which we all live. Through Xometry.org, Xometry embraced the Pledge 1% movement and is committing our equity over time to support charitable organizations that strive to improve educational opportunities for all, foster civic responsibility, reduce global CO2 output, and help train and expand the horizons of the next generation of inventors.</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The breadth of knowledge and experience of all our stakeholders creates a dynamic and innovative environment allowing us to convert intangible ideas into physical products every day. We will constantly strive to meet these expectations.</w:t>
      </w:r>
    </w:p>
    <w:p>
      <w:pPr>
        <w:spacing w:after="0" w:line="20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Thank you for taking the time to read this letter and our prospectus and learn a little more about Xometry and our mission. We are proud of the business we created and are looking forward to what we can build, together. Xometry is just getting started.</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Randy &amp; Laurence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320" w:top="456"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by lowering the barriers to entry to the manufacturing ecosystem.</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 sellers of manufacturing services to grow their businesses.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who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6" w:lineRule="exact"/>
        <w:rPr>
          <w:sz w:val="20"/>
          <w:szCs w:val="20"/>
          <w:color w:val="auto"/>
        </w:rPr>
      </w:pPr>
    </w:p>
    <w:p>
      <w:pPr>
        <w:ind w:left="160" w:right="300" w:firstLine="546"/>
        <w:spacing w:after="0" w:line="234" w:lineRule="auto"/>
        <w:rPr>
          <w:sz w:val="20"/>
          <w:szCs w:val="20"/>
          <w:color w:val="auto"/>
        </w:rPr>
      </w:pPr>
      <w:r>
        <w:rPr>
          <w:rFonts w:ascii="Arial" w:cs="Arial" w:eastAsia="Arial" w:hAnsi="Arial"/>
          <w:sz w:val="18"/>
          <w:szCs w:val="18"/>
          <w:color w:val="auto"/>
        </w:rPr>
        <w:t>We enable buyers to source a broad array of manufacturing processes to meet complex and specific design and order needs across industries. We generate substantially all of our revenue from the amounts we charge buyers on our platform. Buyers begin by uploading an engineering schematic that contains 3D design specifications, 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 In the first quarter of 2021, we generated 95% of our revenue from existing accounts.</w:t>
      </w:r>
    </w:p>
    <w:p>
      <w:pPr>
        <w:spacing w:after="0" w:line="204"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Today, we are the largest on-demand manufacturing marketplace by revenue. We have connected over 43,000 unique buyers, including nearly 30% of the Fortune 500, and nearly 5,000 unique sellers of all sizes. We have achieved rapid growth while improving our margin profile. We generated revenue of $38.4 million in 2018, $80.2 million in 2019, and $141.4 million in 2020, representing year-over-year growth of 109% in 2019 and 76% in 2020. Our gross profit was $ 6.5 million in 2018, $14.7 million in 2019, and $ 33.3 million in 2020, representing a 17% gross margin in 2018, 18% gross margin in 2019, and 24% gross margin in 2020. Our net losses were $20.1 million in 2018, $31.0 million in 2019 and $31.1 million in 2020.</w:t>
      </w:r>
    </w:p>
    <w:p>
      <w:pPr>
        <w:spacing w:after="0" w:line="202" w:lineRule="exact"/>
        <w:rPr>
          <w:sz w:val="20"/>
          <w:szCs w:val="20"/>
          <w:color w:val="auto"/>
        </w:rPr>
      </w:pPr>
    </w:p>
    <w:p>
      <w:pPr>
        <w:ind w:left="160" w:right="560" w:firstLine="546"/>
        <w:spacing w:after="0" w:line="246" w:lineRule="auto"/>
        <w:rPr>
          <w:sz w:val="20"/>
          <w:szCs w:val="20"/>
          <w:color w:val="auto"/>
        </w:rPr>
      </w:pPr>
      <w:r>
        <w:rPr>
          <w:rFonts w:ascii="Arial" w:cs="Arial" w:eastAsia="Arial" w:hAnsi="Arial"/>
          <w:sz w:val="17"/>
          <w:szCs w:val="17"/>
          <w:color w:val="auto"/>
        </w:rPr>
        <w:t>For the quarters ended March 31, 2021 and 2020, we generated revenue of $43.9 million and $26.7 million, respectively, representing year-over-year growth of 65%. Our gross profit for the quarters ended March 31, 2021 and 2020, was $9.8 million and</w:t>
      </w:r>
    </w:p>
    <w:p>
      <w:pPr>
        <w:ind w:left="160"/>
        <w:spacing w:after="0" w:line="237" w:lineRule="auto"/>
        <w:rPr>
          <w:sz w:val="20"/>
          <w:szCs w:val="20"/>
          <w:color w:val="auto"/>
        </w:rPr>
      </w:pPr>
      <w:r>
        <w:rPr>
          <w:rFonts w:ascii="Arial" w:cs="Arial" w:eastAsia="Arial" w:hAnsi="Arial"/>
          <w:sz w:val="18"/>
          <w:szCs w:val="18"/>
          <w:color w:val="auto"/>
        </w:rPr>
        <w:t>$5.4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growth to scale our company.</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Overview</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Manufacturing is a massive, highly fragmented, and regionalized industry in need of solutions to drive efficiency.</w:t>
      </w:r>
    </w:p>
    <w:p>
      <w:pPr>
        <w:spacing w:after="0" w:line="123" w:lineRule="exact"/>
        <w:rPr>
          <w:sz w:val="20"/>
          <w:szCs w:val="20"/>
          <w:color w:val="auto"/>
        </w:rPr>
      </w:pPr>
    </w:p>
    <w:p>
      <w:pPr>
        <w:jc w:val="both"/>
        <w:ind w:left="160" w:right="460" w:firstLine="546"/>
        <w:spacing w:after="0" w:line="257" w:lineRule="auto"/>
        <w:rPr>
          <w:sz w:val="20"/>
          <w:szCs w:val="20"/>
          <w:color w:val="auto"/>
        </w:rPr>
      </w:pPr>
      <w:r>
        <w:rPr>
          <w:rFonts w:ascii="Arial" w:cs="Arial" w:eastAsia="Arial" w:hAnsi="Arial"/>
          <w:sz w:val="17"/>
          <w:szCs w:val="17"/>
          <w:color w:val="auto"/>
        </w:rPr>
        <w:t>The global manufacturing industry is one of the largest industries in the world. We believe the industry is poised for increased digitization via a number of global thematic shifts. These include rising demand for production, new manufacturing technologies, and shifting value chains, but the industry is in need of solutions to drive efficiency and create opportunities from these dynamics.</w:t>
      </w:r>
    </w:p>
    <w:p>
      <w:pPr>
        <w:spacing w:after="0" w:line="188" w:lineRule="exact"/>
        <w:rPr>
          <w:sz w:val="20"/>
          <w:szCs w:val="20"/>
          <w:color w:val="auto"/>
        </w:rPr>
      </w:pPr>
    </w:p>
    <w:p>
      <w:pPr>
        <w:jc w:val="both"/>
        <w:ind w:left="160" w:right="40" w:firstLine="546"/>
        <w:spacing w:after="0" w:line="246" w:lineRule="auto"/>
        <w:rPr>
          <w:sz w:val="20"/>
          <w:szCs w:val="20"/>
          <w:color w:val="auto"/>
        </w:rPr>
      </w:pPr>
      <w:r>
        <w:rPr>
          <w:rFonts w:ascii="Arial" w:cs="Arial" w:eastAsia="Arial" w:hAnsi="Arial"/>
          <w:sz w:val="17"/>
          <w:szCs w:val="17"/>
          <w:color w:val="auto"/>
        </w:rPr>
        <w:t>Furthermore, the manufacturing industry is largely composed of small- to medium-sized manufacturers, such as multi-generational family businesses or sole machinists, and we believe that there are significant barriers to entry industry for these businesses, who have to compete with scaled, better-resourced manufacturers. In the U.S. alone, there are over 625,000 manufacturing businesses with</w:t>
      </w:r>
    </w:p>
    <w:p>
      <w:pPr>
        <w:spacing w:after="0" w:line="1"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11.3 million employees, according to IBIS World. As of 2018, more than 98% of American manufacturers were categorized as small businesses by SCORE, a resource partner organization for the U.S. Small Business Administration, and 75% of these businesses had fewer than 20 employees.</w:t>
      </w:r>
    </w:p>
    <w:p>
      <w:pPr>
        <w:spacing w:after="0" w:line="20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believe that there are significant barriers to entry within the manufacturing industry for small- to medium-sized businesses. These barriers include physical and capital resource constraints, geographic isolation, reliance upon antiquated business development practices, and limited access to customers. For example, given the intense focus and time commitment precision machining requires, we believe smaller manufacturers typically lack the time and resources to invest in marketing to expand their customer base and back-office capabilities to optimize their business operations. We have surveyed our own sellers and, as of January 2021, 59% of them rated marketing as a large or extreme challenge.</w:t>
      </w:r>
    </w:p>
    <w:p>
      <w:pPr>
        <w:spacing w:after="0" w:line="202"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Furthermore, with the shift to online purchasing across industries, companies are increasingly looking for digital solutions to their on-demand manufacturing needs. Seeking to be informed, they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320" w:top="456"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search for and consume content on the latest manufacturing industry trends and technology developments, including content that helps them identify the best and fastest way to manufacture their products. Online search is growing in popularity as a method for buyers to find manufacturing services, with Google search data showing significant increases in year-over-year search volumes for terms like “CNC Machining Services,” “3D Printing Service” and “General Manufacturing &amp; Prototyping” over the last three years.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Sourcing manufacturing opportunities is a complex, costly and time-consuming process.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Even for the most sophisticated buyers and sellers, the manufacturing sourcing and procurement process is complex, uncertain, costly and time-consuming.</w:t>
      </w:r>
    </w:p>
    <w:p>
      <w:pPr>
        <w:spacing w:after="0" w:line="20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For buyers, the traditional manufacturing process begins with a custom design. Irrespective of order size, buyers must source potential sellers, undergoing time-consuming diligence across a network of options involving phone calls, emails and in-person visits. After selecting potential sellers to work with, buyers send a formal request for a quote, compare inbound quotes across sellers, negotiate the final price and terms, and officially notify the selected seller of the awarded opportunity. It often takes days or weeks to finalize the price and lead time for any particular order. After these steps, the buyer must still wait for the products to be manufactured and delivered, with shipping times varying widely depending on the seller and manufacturing process. With hundreds of thousands of manufacturers to choose from, buyers are inundated with options, but have little guidance or industry standardization around project complexity, design, timing or price.</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For sellers, the traditional manufacturing process begins by searching for buyers through sales and marketing channels and complying with the various initial diligence and business inquiries. After receiving and responding to requests for quotes, sellers must wait for quote feedback and respond to follow-up requests. Assuming they are selected for a particular job, after negotiating the final price and terms and getting official notification of the awarded opportunity, sellers must then ensure they have procured the relevant tools and supplies and reserved adequate machine time before producing and delivering the final product. This process of winning and maintaining new customers requires significant time and resource investment and takes sellers away from their core manufacturing operations and often results in costly downtime.</w:t>
      </w:r>
    </w:p>
    <w:p>
      <w:pPr>
        <w:spacing w:after="0" w:line="20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Upon order completion, sellers must wait even longer to receive payment. In a 2020 survey by Atradius, nearly half of North American manufacturers reported having B2B customers that were late on payments, with an average payment term of 34 days. Additionally, 82% of these manufacturers expect the percentage of B2B invoices that go over 90 days without payment to stay the same or increase in the future. Furthermore, 69% of our sellers report managing cash flow as at least somewhat challenging for their business. Smaller customers can be inconsistent with payments and larger customers may insist on onerous net-120 payment terms as a precondition to awarding manufacturing opportunities. This puts significant pressure on small manufacturers who are responsible for procuring raw materials to do the work, paying for labor on a regular schedule, financing equipment, paying rent for their facilities and funding other general business expenses. A 2016 survey by J.P. Morgan found that 50% of small metal and machinery businesses had 28 days or fewer of cash on hand. As a result, deciding when to purchase additional equipment becomes a business-critical decision as sellers navigate financial constraints and weigh the trade-off between under-utilization of capacity and missed revenue opportunities.</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We believe that the complex, labor-intensive and time-consuming sourcing process presents a significant opportunity as buyers and sellers look for more efficient ways to source demand and consummate production.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6"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202565</wp:posOffset>
            </wp:positionV>
            <wp:extent cx="4526280" cy="16986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2628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Resilient, localized and compliant supply chains are imperative.</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In the traditional manufacturing ecosystem, buyers face different sets of risks depending on how they source. If buyers source from a small number of sellers, they face greater risk of supply chain disruption amidst shortages or production interruptions, such as weather-related events. If buyers choose to source from a larger number of manufacturers, they face greater complexity in managing multiple parties’ pricing, timing, and inconsistent quality.</w:t>
      </w:r>
    </w:p>
    <w:p>
      <w:pPr>
        <w:spacing w:after="0" w:line="20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20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Additionally, many industries are currently subject to, and will likely be increasingly subject to, regulations surrounding the geographies from which they source and the environmental impact of their supply chains. From private enterprise to government agencies, regulations like The Buy American Act and guidance from the EPA require buyers to procure products from domestic sources and in certain instances set standards around the facilities in which they are manufactured.</w:t>
      </w:r>
    </w:p>
    <w:p>
      <w:pPr>
        <w:spacing w:after="0" w:line="202"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We believe there is a significant opportunity to help companies around the world improve their supply chain diversification, access just-in-time production, and build supply chain resilience.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There is increasing focus on the manufacturing industry to address ESG issues.</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Companies and investors are 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manage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6"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Multiple catalysts have led to an inflection point for industry digitization.</w:t>
      </w:r>
    </w:p>
    <w:p>
      <w:pPr>
        <w:spacing w:after="0" w:line="230"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We believe future expected labor shortages, in combination with the proliferation of new technologies, necessitates digital solutions that increase productivity, improve financial performance and allow them to compete sustainably.</w:t>
      </w:r>
    </w:p>
    <w:p>
      <w:pPr>
        <w:spacing w:after="0" w:line="87" w:lineRule="exact"/>
        <w:rPr>
          <w:sz w:val="20"/>
          <w:szCs w:val="20"/>
          <w:color w:val="auto"/>
        </w:rPr>
      </w:pPr>
    </w:p>
    <w:p>
      <w:pPr>
        <w:ind w:left="920" w:right="1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Expected manufacturing labor shortage. </w:t>
      </w:r>
      <w:r>
        <w:rPr>
          <w:rFonts w:ascii="Arial" w:cs="Arial" w:eastAsia="Arial" w:hAnsi="Arial"/>
          <w:sz w:val="18"/>
          <w:szCs w:val="18"/>
          <w:color w:val="auto"/>
        </w:rPr>
        <w:t>The industry faces a significant talent shortage with 96% of manufacturing firms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expressing at least some concern about not having enough workers, according to a 2019 survey by the Manufacturing Institute. This gap is expected to grow, as two-thirds of firms indicated that workers age 55 and older comprised at least 20% of their workforce. The shortage of skilled workers in manufacturing is accelerating the adoption of new technology solutions to unlock productivity as industry players compete for a limited pool of talent.</w:t>
      </w:r>
    </w:p>
    <w:p>
      <w:pPr>
        <w:spacing w:after="0" w:line="88" w:lineRule="exact"/>
        <w:rPr>
          <w:rFonts w:ascii="Arial" w:cs="Arial" w:eastAsia="Arial" w:hAnsi="Arial"/>
          <w:sz w:val="18"/>
          <w:szCs w:val="18"/>
          <w:color w:val="auto"/>
        </w:rPr>
      </w:pPr>
    </w:p>
    <w:p>
      <w:pPr>
        <w:ind w:left="920" w:hanging="218"/>
        <w:spacing w:after="0" w:line="243"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Proliferation of 3D printing. </w:t>
      </w:r>
      <w:r>
        <w:rPr>
          <w:rFonts w:ascii="Arial" w:cs="Arial" w:eastAsia="Arial" w:hAnsi="Arial"/>
          <w:sz w:val="18"/>
          <w:szCs w:val="18"/>
          <w:color w:val="auto"/>
        </w:rPr>
        <w:t>The use of 3D printing is increasing across industries. A recent study by PwC found that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two-thirds of U.S. manufacturers already use 3D printing in some way. As the adoption of 3D printing for prototyping, product development and production continues, we believe that companies will look for ways to on-board and access to such technologies.</w:t>
      </w:r>
    </w:p>
    <w:p>
      <w:pPr>
        <w:spacing w:after="0" w:line="84" w:lineRule="exact"/>
        <w:rPr>
          <w:rFonts w:ascii="Arial" w:cs="Arial" w:eastAsia="Arial" w:hAnsi="Arial"/>
          <w:sz w:val="18"/>
          <w:szCs w:val="18"/>
          <w:color w:val="auto"/>
        </w:rPr>
      </w:pPr>
    </w:p>
    <w:p>
      <w:pPr>
        <w:ind w:left="920" w:right="260" w:hanging="218"/>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New AI applications across industries. </w:t>
      </w:r>
      <w:r>
        <w:rPr>
          <w:rFonts w:ascii="Arial" w:cs="Arial" w:eastAsia="Arial" w:hAnsi="Arial"/>
          <w:sz w:val="18"/>
          <w:szCs w:val="18"/>
          <w:color w:val="auto"/>
        </w:rPr>
        <w:t>According to the McKinsey Global Institute, AI has the potential to add $13 trillion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economic output by 2030. AI is helping to bring innovations to industries, including manufacturing, in which large amounts of data are generated to yield insights. As CIO notes, AI could also help to optimize manufacturing operations, potentially eliminating a portion of unplanned downtime costs, which have an estimated cost of up to $50 billion annually. According to a 2019 survey by Deloitte, 93% of companies believe that AI will be a pivotal technology to drive growth and innovation in their industries.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 metal manufacturing, 3D printing (including fused deposition modeling (FDM), direct metal laser sintering (DMLS), PolyJet, stereolithography (SLA), selective laser sintering (SLS), binder jetting, carbon digital light synthesis (DLS) and multi jet fusion (MJF), die casting, injection molding and urethane casting. Our estimates are based on independent industry publications or other publicly available information, as well as our internal sources.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2"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6"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ecosystem and the products and services we offer. The data we generate enables us to become a preferred collaboration, workflow, and transaction platform for both buyers and sellers.</w:t>
      </w:r>
    </w:p>
    <w:p>
      <w:pPr>
        <w:spacing w:after="0" w:line="203"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2"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AI Technology</w:t>
      </w:r>
    </w:p>
    <w:p>
      <w:pPr>
        <w:spacing w:after="0" w:line="230" w:lineRule="exact"/>
        <w:rPr>
          <w:sz w:val="20"/>
          <w:szCs w:val="20"/>
          <w:color w:val="auto"/>
        </w:rPr>
      </w:pPr>
    </w:p>
    <w:p>
      <w:pPr>
        <w:ind w:left="160" w:right="300" w:firstLine="546"/>
        <w:spacing w:after="0" w:line="268" w:lineRule="auto"/>
        <w:rPr>
          <w:sz w:val="20"/>
          <w:szCs w:val="20"/>
          <w:color w:val="auto"/>
        </w:rPr>
      </w:pPr>
      <w:r>
        <w:rPr>
          <w:rFonts w:ascii="Arial" w:cs="Arial" w:eastAsia="Arial" w:hAnsi="Arial"/>
          <w:sz w:val="17"/>
          <w:szCs w:val="17"/>
          <w:color w:val="auto"/>
        </w:rPr>
        <w:t>Our machine learning algorithms are central to our value proposition, and are present at every stage of the manufacturing order workflow. Our technology solves the problems buyers and sellers face in a traditional, offline process, from inquiry to execution.</w:t>
      </w:r>
    </w:p>
    <w:p>
      <w:pPr>
        <w:spacing w:after="0" w:line="157"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i w:val="1"/>
          <w:iCs w:val="1"/>
          <w:color w:val="auto"/>
        </w:rPr>
        <w:t xml:space="preserve">Prediction. </w:t>
      </w:r>
      <w:r>
        <w:rPr>
          <w:rFonts w:ascii="Arial" w:cs="Arial" w:eastAsia="Arial" w:hAnsi="Arial"/>
          <w:sz w:val="18"/>
          <w:szCs w:val="18"/>
          <w:color w:val="auto"/>
        </w:rPr>
        <w:t>Our models incorporate dozens of variables on pricing, timing, design requirements, execution considerations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having been trained by thousands of events to date to enable efficient buyer and seller transactions. Our models correlate historical buyer attributes with observed order frequency and order value to help predict customer longevity, transaction frequency and potential lifetime value. Our models also provide analytical insights on how buyers and sellers engage with our marketplace, products and services, helping us build and cross-sell our offerings to drive greater customer stickiness and increase transaction frequency, retention, lifetime value and referenceability.</w:t>
      </w:r>
    </w:p>
    <w:p>
      <w:pPr>
        <w:spacing w:after="0" w:line="181" w:lineRule="exact"/>
        <w:rPr>
          <w:sz w:val="20"/>
          <w:szCs w:val="20"/>
          <w:color w:val="auto"/>
        </w:rPr>
      </w:pPr>
    </w:p>
    <w:p>
      <w:pPr>
        <w:ind w:left="1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Our instantaneous pricing and project guidance functionality eliminates the complexity typically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sourcing process. Buyers upload CAD files and modify inputs including desired production method, material, finish and quantity. Our proprietary technology provides real-time pricing and delivery quotes for buyers and real-time offers for sellers. One of our proprietary platform software modules enables 3D Geometry and feature recognition, analyzing and understanding complex geometries in seconds to enhance our pricing accuracy, identify issues in part designs, and match manufacturing orders with sellers that have a proven track record with similar material, size and feature sets. Sellers can confirm order, price and related logistics in a single click through our intuitive user application, masking the complexity associated with our AI pricing algorithms.</w:t>
      </w:r>
    </w:p>
    <w:p>
      <w:pPr>
        <w:spacing w:after="0" w:line="181" w:lineRule="exact"/>
        <w:rPr>
          <w:sz w:val="20"/>
          <w:szCs w:val="20"/>
          <w:color w:val="auto"/>
        </w:rPr>
      </w:pPr>
    </w:p>
    <w:p>
      <w:pPr>
        <w:ind w:left="160" w:right="20" w:firstLine="546"/>
        <w:spacing w:after="0" w:line="238" w:lineRule="auto"/>
        <w:rPr>
          <w:sz w:val="20"/>
          <w:szCs w:val="20"/>
          <w:color w:val="auto"/>
        </w:rPr>
      </w:pPr>
      <w:r>
        <w:rPr>
          <w:rFonts w:ascii="Arial" w:cs="Arial" w:eastAsia="Arial" w:hAnsi="Arial"/>
          <w:sz w:val="18"/>
          <w:szCs w:val="18"/>
          <w:b w:val="1"/>
          <w:bCs w:val="1"/>
          <w:i w:val="1"/>
          <w:iCs w:val="1"/>
          <w:color w:val="auto"/>
        </w:rPr>
        <w:t xml:space="preserve">Efficient Sourcing. </w:t>
      </w:r>
      <w:r>
        <w:rPr>
          <w:rFonts w:ascii="Arial" w:cs="Arial" w:eastAsia="Arial" w:hAnsi="Arial"/>
          <w:sz w:val="18"/>
          <w:szCs w:val="18"/>
          <w:color w:val="auto"/>
        </w:rPr>
        <w:t>Our technology enables buyers to efficiently source manufacturing processes based on a variety of criteria,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manufacturing capability, materials, tools, project complexity, lead time, and seller capacity. After a buyer uploads a CAD file, our Design for Manufacturability (DFM) tool instantly identifies process requirements and feature complexity to help inform sellers about the manufacturing opportunity. Additionally, buyers and sellers can indicate their own preferences, which helps facilitate better sourcing opportunities on our platform. For example, buyers can specify requirements around credentialing for the facilities in which projects are produced, how the materials are sourced or the production quality standard to which the parts are held. Sellers also have the opportunity to do repeat work with a buyer on a particular opportunity after a successful first transaction.</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Manufacturing Processes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Our platform is highly extensible, allowing us to onboard sellers with new manufacturing processes so that we can cover more of the manufacturing industry over time. Sellers on our platform</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40"/>
          </w:cols>
          <w:pgMar w:left="320" w:top="456"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57" w:lineRule="auto"/>
        <w:rPr>
          <w:sz w:val="20"/>
          <w:szCs w:val="20"/>
          <w:color w:val="auto"/>
        </w:rPr>
      </w:pPr>
      <w:r>
        <w:rPr>
          <w:rFonts w:ascii="Arial" w:cs="Arial" w:eastAsia="Arial" w:hAnsi="Arial"/>
          <w:sz w:val="17"/>
          <w:szCs w:val="17"/>
          <w:color w:val="auto"/>
        </w:rPr>
        <w:t>offer a wide range of key manufacturing processes, which include CNC manufacturing, sheet metal manufacturing, 3D printing, sheet metal fabrication, die casting, injection molding and urethane casting, among others. These processes require specific training, expertise and equipment and can also be combined with the over 50 finishes and thousands of raw material and color combinations we offer.</w:t>
      </w:r>
    </w:p>
    <w:p>
      <w:pPr>
        <w:spacing w:after="0" w:line="72" w:lineRule="exact"/>
        <w:rPr>
          <w:sz w:val="20"/>
          <w:szCs w:val="20"/>
          <w:color w:val="auto"/>
        </w:rPr>
      </w:pPr>
    </w:p>
    <w:p>
      <w:pPr>
        <w:jc w:val="both"/>
        <w:ind w:left="920" w:right="60" w:hanging="218"/>
        <w:spacing w:after="0" w:line="24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CNC Machining </w:t>
      </w:r>
      <w:r>
        <w:rPr>
          <w:rFonts w:ascii="Arial" w:cs="Arial" w:eastAsia="Arial" w:hAnsi="Arial"/>
          <w:sz w:val="18"/>
          <w:szCs w:val="18"/>
          <w:color w:val="auto"/>
        </w:rPr>
        <w:t>uses computer-assisted machine tools to produce components with precision tolerances, surface finishes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post-processing requirements. Our CNC machining processes include, but are not limited to, multi-axis milling, swiss machining and lathe work.</w:t>
      </w:r>
    </w:p>
    <w:p>
      <w:pPr>
        <w:spacing w:after="0" w:line="77" w:lineRule="exact"/>
        <w:rPr>
          <w:rFonts w:ascii="Arial" w:cs="Arial" w:eastAsia="Arial" w:hAnsi="Arial"/>
          <w:sz w:val="18"/>
          <w:szCs w:val="18"/>
          <w:color w:val="auto"/>
        </w:rPr>
      </w:pPr>
    </w:p>
    <w:p>
      <w:pPr>
        <w:ind w:left="920" w:right="920" w:hanging="218"/>
        <w:spacing w:after="0" w:line="265"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Injection Molding </w:t>
      </w:r>
      <w:r>
        <w:rPr>
          <w:rFonts w:ascii="Arial" w:cs="Arial" w:eastAsia="Arial" w:hAnsi="Arial"/>
          <w:sz w:val="18"/>
          <w:szCs w:val="18"/>
          <w:color w:val="auto"/>
        </w:rPr>
        <w:t>uses custom molds to make plastic parts at scale, with the highest variety of materials, colors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configurations.</w:t>
      </w:r>
    </w:p>
    <w:p>
      <w:pPr>
        <w:spacing w:after="0" w:line="64" w:lineRule="exact"/>
        <w:rPr>
          <w:rFonts w:ascii="Arial" w:cs="Arial" w:eastAsia="Arial" w:hAnsi="Arial"/>
          <w:sz w:val="18"/>
          <w:szCs w:val="18"/>
          <w:color w:val="auto"/>
        </w:rPr>
      </w:pPr>
    </w:p>
    <w:p>
      <w:pPr>
        <w:ind w:left="920" w:right="300" w:hanging="218"/>
        <w:spacing w:after="0" w:line="265"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Urethane Casting </w:t>
      </w:r>
      <w:r>
        <w:rPr>
          <w:rFonts w:ascii="Arial" w:cs="Arial" w:eastAsia="Arial" w:hAnsi="Arial"/>
          <w:sz w:val="18"/>
          <w:szCs w:val="18"/>
          <w:color w:val="auto"/>
        </w:rPr>
        <w:t>uses 3D printed master pattern and silicone molds to deliver high-quality, short-run parts with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mechanical properties.</w:t>
      </w:r>
    </w:p>
    <w:p>
      <w:pPr>
        <w:spacing w:after="0" w:line="64" w:lineRule="exact"/>
        <w:rPr>
          <w:rFonts w:ascii="Arial" w:cs="Arial" w:eastAsia="Arial" w:hAnsi="Arial"/>
          <w:sz w:val="18"/>
          <w:szCs w:val="18"/>
          <w:color w:val="auto"/>
        </w:rPr>
      </w:pPr>
    </w:p>
    <w:p>
      <w:pPr>
        <w:ind w:left="920" w:right="440" w:hanging="218"/>
        <w:spacing w:after="0" w:line="265"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3D Printing </w:t>
      </w:r>
      <w:r>
        <w:rPr>
          <w:rFonts w:ascii="Arial" w:cs="Arial" w:eastAsia="Arial" w:hAnsi="Arial"/>
          <w:sz w:val="18"/>
          <w:szCs w:val="18"/>
          <w:color w:val="auto"/>
        </w:rPr>
        <w:t>uses a wide variety of 3D printing and additive manufacturing processes to make a variety of metal and plastic</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Our 3D printing processes include FDM, DMLS, PolyJet, SLA, SLS, binder jetting, DLS and MJF.</w:t>
      </w:r>
    </w:p>
    <w:p>
      <w:pPr>
        <w:spacing w:after="0" w:line="64" w:lineRule="exact"/>
        <w:rPr>
          <w:rFonts w:ascii="Arial" w:cs="Arial" w:eastAsia="Arial" w:hAnsi="Arial"/>
          <w:sz w:val="18"/>
          <w:szCs w:val="18"/>
          <w:color w:val="auto"/>
        </w:rPr>
      </w:pPr>
    </w:p>
    <w:p>
      <w:pPr>
        <w:ind w:left="920" w:hanging="218"/>
        <w:spacing w:after="0" w:line="265"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Sheet Metal and Weldment Fabrication </w:t>
      </w:r>
      <w:r>
        <w:rPr>
          <w:rFonts w:ascii="Arial" w:cs="Arial" w:eastAsia="Arial" w:hAnsi="Arial"/>
          <w:sz w:val="18"/>
          <w:szCs w:val="18"/>
          <w:color w:val="auto"/>
        </w:rPr>
        <w:t>uses a variety of techniques, including press brake work, punches, laser cutting, water</w:t>
      </w:r>
      <w:r>
        <w:rPr>
          <w:rFonts w:ascii="Arial" w:cs="Arial" w:eastAsia="Arial" w:hAnsi="Arial"/>
          <w:sz w:val="18"/>
          <w:szCs w:val="18"/>
          <w:b w:val="1"/>
          <w:bCs w:val="1"/>
          <w:color w:val="auto"/>
        </w:rPr>
        <w:t xml:space="preserve"> </w:t>
      </w:r>
      <w:r>
        <w:rPr>
          <w:rFonts w:ascii="Arial" w:cs="Arial" w:eastAsia="Arial" w:hAnsi="Arial"/>
          <w:sz w:val="18"/>
          <w:szCs w:val="18"/>
          <w:color w:val="auto"/>
        </w:rPr>
        <w:t>jet cutting, plasma cutting and custom welding, to create components from sheet metal.</w:t>
      </w:r>
    </w:p>
    <w:p>
      <w:pPr>
        <w:spacing w:after="0" w:line="64"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Die Casting </w:t>
      </w:r>
      <w:r>
        <w:rPr>
          <w:rFonts w:ascii="Arial" w:cs="Arial" w:eastAsia="Arial" w:hAnsi="Arial"/>
          <w:sz w:val="18"/>
          <w:szCs w:val="18"/>
          <w:color w:val="auto"/>
        </w:rPr>
        <w:t>uses metal dies for producing high volumes of relatively complex metal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10160</wp:posOffset>
            </wp:positionV>
            <wp:extent cx="4916805" cy="17322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1680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Carbon Offset Program</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globally.</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Xometry Flywheel</w:t>
      </w:r>
    </w:p>
    <w:p>
      <w:pPr>
        <w:spacing w:after="0" w:line="230"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Our AI-enabled technology platform carefully facilitates and analyzes the many interactions with our buyers and our sellers to deliver a high-quality and seamless end-to-end experience for both</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0"/>
          </w:cols>
          <w:pgMar w:left="320" w:top="456" w:right="5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buyers and sellers. Each order that is fulfilled on our marketplace provides data that is analyzed by our machine learning algorithms to hone pricing and lead time quotes for buyers. As more buyers join the platform, more sellers are drawn to the platform since more manufacturing opportunities are available, which in turn drives more buyers and additional growth. The growth of our platform drives more data through our machine learning algorithms. The continuous learning of our AI improves the experiences of buyers and sellers and makes our platform more intelligent and efficient. Our increased efficiency, driven by our ability to better predict pricing, is designed to, over time, drive greater gross margins. Furthermore, as buyers and sellers engage more with our platform, we are able to add more tailored products and partnerships that support their business growth, leading to even higher engagement and marketplace efficiency. The flywheel effect created by self-reinforcing AI increases the economic opportunity that can be shared by buyers and sellers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-5080</wp:posOffset>
            </wp:positionV>
            <wp:extent cx="3668395" cy="26581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68395" cy="265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Additional Seller Offerings</w:t>
      </w:r>
    </w:p>
    <w:p>
      <w:pPr>
        <w:spacing w:after="0" w:line="114" w:lineRule="exact"/>
        <w:rPr>
          <w:sz w:val="20"/>
          <w:szCs w:val="20"/>
          <w:color w:val="auto"/>
        </w:rPr>
      </w:pPr>
    </w:p>
    <w:p>
      <w:pPr>
        <w:ind w:left="920" w:right="80" w:hanging="218"/>
        <w:spacing w:after="0" w:line="237"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 We also use our platform to gather insights into a seller’s future needs for materials so they can begin the quoting process for more opportunities. Our platform then intelligently matches sellers that have the right combination of tools, raw materials and finishes to get a particular job done. We plan to continue offering more resource management and predictive sourcing solutions to sellers to help them improve their capabilities and enhance their operations.</w:t>
      </w:r>
    </w:p>
    <w:p>
      <w:pPr>
        <w:spacing w:after="0" w:line="90" w:lineRule="exact"/>
        <w:rPr>
          <w:rFonts w:ascii="Arial" w:cs="Arial" w:eastAsia="Arial" w:hAnsi="Arial"/>
          <w:sz w:val="18"/>
          <w:szCs w:val="18"/>
          <w:color w:val="auto"/>
        </w:rPr>
      </w:pPr>
    </w:p>
    <w:p>
      <w:pPr>
        <w:ind w:left="920" w:hanging="218"/>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We alleviate the upfront cash strain many sellers face through the Xometry Advance Card, which generally gives sellers up to 30% of their job payment in advance to help them cover the cost of tools and materials. Through FastPay, we offer a fee-based service through which sellers can receive accelerated payment as quickly as 3 business days after completing work. Furthermore, with our financial products, sellers can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40"/>
          </w:cols>
          <w:pgMar w:left="320" w:top="456"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20"/>
        <w:spacing w:after="0" w:line="237" w:lineRule="auto"/>
        <w:rPr>
          <w:sz w:val="20"/>
          <w:szCs w:val="20"/>
          <w:color w:val="auto"/>
        </w:rPr>
      </w:pPr>
      <w:r>
        <w:rPr>
          <w:rFonts w:ascii="Arial" w:cs="Arial" w:eastAsia="Arial" w:hAnsi="Arial"/>
          <w:sz w:val="18"/>
          <w:szCs w:val="18"/>
          <w:color w:val="auto"/>
        </w:rPr>
        <w:t>create a digital storefront, automate their invoicing and offer their customers credit limits. In addition, sellers can elect to have their payouts guaranteed by us, which are underwritten by a third-party. These services help sellers manage their business more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-5715</wp:posOffset>
            </wp:positionV>
            <wp:extent cx="4619625" cy="22504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1962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2020, 40% of active sellers used our seller services.</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We have connected over 43,000 unique buyers, including nearly 30% of the Fortune 500, and nearly 5,000 unique sellers of a variety of sizes.</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buyers include engineers, product designers, procurement and supply chain personnel, inventors and business owners from businesses of a variety of sizes, ranging from self-funded start-ups to Fortune 100 companies. We enable buyers to source a broad array of manufacturing processes to meet complex and specific design and order needs across several industries, including Aerospace and Defense, Healthcare, Automotive, Consumer Goods, Industrial, Robotics, Government and Education. We generate substantially all of our revenue from the prices we charge our buyers on our platform. Buyers begin by uploading an engineering schematic that contains 3D design specifications, referred to as a CAD file. Then, we price transactions through our AI-enabled instant quoting engine based on factors such as volume, manufacturing process, material and location. The convenience and transparency of the model leads to increasing buyer stickiness and spend over time. Since inception, over 6.0 million parts have been manufactured through our platform. For the quarter ended March 31, 2021, we generated 95% of our revenue from existing accounts. We define an existing account as an account where at least one buyer has made a purchase on our marketplace.</w:t>
      </w:r>
    </w:p>
    <w:p>
      <w:pPr>
        <w:spacing w:after="0" w:line="202" w:lineRule="exact"/>
        <w:rPr>
          <w:sz w:val="20"/>
          <w:szCs w:val="20"/>
          <w:color w:val="auto"/>
        </w:rPr>
      </w:pPr>
    </w:p>
    <w:p>
      <w:pPr>
        <w:jc w:val="both"/>
        <w:ind w:left="160" w:right="220" w:firstLine="546"/>
        <w:spacing w:after="0" w:line="236"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Our seller offerings include financial services that enable sellers to stabilize and enhance their cash flows, discounts on tools and materials that allow them to lower their operating costs and resource management tools to optimize their business.</w:t>
      </w:r>
    </w:p>
    <w:p>
      <w:pPr>
        <w:spacing w:after="0" w:line="202"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may be required to pay a seller more than anticipated to manufacture the order. We have concluded that we are the principal in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46" w:lineRule="auto"/>
        <w:rPr>
          <w:sz w:val="20"/>
          <w:szCs w:val="20"/>
          <w:color w:val="auto"/>
        </w:rPr>
      </w:pPr>
      <w:r>
        <w:rPr>
          <w:rFonts w:ascii="Arial" w:cs="Arial" w:eastAsia="Arial" w:hAnsi="Arial"/>
          <w:sz w:val="17"/>
          <w:szCs w:val="17"/>
          <w:color w:val="auto"/>
        </w:rPr>
        <w:t>sale of part(s) and assemblies that are sold by our network of third-party manufacturers because we exercise control over the manufacturing process by obtaining a right to direct a third-party manufacturer to fulfill the performance obligation we have with our buyer on our behalf. We considered the following conditions of the sale: (i) we have the obligation of providing the specified product to the buyer,</w:t>
      </w:r>
    </w:p>
    <w:p>
      <w:pPr>
        <w:spacing w:after="0" w:line="1" w:lineRule="exact"/>
        <w:rPr>
          <w:sz w:val="20"/>
          <w:szCs w:val="20"/>
          <w:color w:val="auto"/>
        </w:rPr>
      </w:pPr>
    </w:p>
    <w:p>
      <w:pPr>
        <w:ind w:left="160" w:right="80" w:firstLine="7"/>
        <w:spacing w:after="0" w:line="235" w:lineRule="auto"/>
        <w:tabs>
          <w:tab w:leader="none" w:pos="4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Buyers Win</w:t>
      </w:r>
    </w:p>
    <w:p>
      <w:pPr>
        <w:spacing w:after="0" w:line="234" w:lineRule="exact"/>
        <w:rPr>
          <w:sz w:val="20"/>
          <w:szCs w:val="20"/>
          <w:color w:val="auto"/>
        </w:rPr>
      </w:pPr>
    </w:p>
    <w:p>
      <w:pPr>
        <w:ind w:left="920" w:hanging="218"/>
        <w:spacing w:after="0" w:line="262"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Instant and Competitive Pricing and Lead Times. </w:t>
      </w:r>
      <w:r>
        <w:rPr>
          <w:rFonts w:ascii="Arial" w:cs="Arial" w:eastAsia="Arial" w:hAnsi="Arial"/>
          <w:sz w:val="17"/>
          <w:szCs w:val="17"/>
          <w:color w:val="auto"/>
        </w:rPr>
        <w:t>We create value for buyers through marketplace generation fueled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69" w:lineRule="exact"/>
        <w:rPr>
          <w:rFonts w:ascii="Arial" w:cs="Arial" w:eastAsia="Arial" w:hAnsi="Arial"/>
          <w:sz w:val="17"/>
          <w:szCs w:val="17"/>
          <w:color w:val="auto"/>
        </w:rPr>
      </w:pPr>
    </w:p>
    <w:p>
      <w:pPr>
        <w:ind w:left="920" w:right="80" w:hanging="218"/>
        <w:spacing w:after="0" w:line="243"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84" w:lineRule="exact"/>
        <w:rPr>
          <w:rFonts w:ascii="Arial" w:cs="Arial" w:eastAsia="Arial" w:hAnsi="Arial"/>
          <w:sz w:val="18"/>
          <w:szCs w:val="18"/>
          <w:color w:val="auto"/>
        </w:rPr>
      </w:pPr>
    </w:p>
    <w:p>
      <w:pPr>
        <w:ind w:left="920" w:right="100" w:hanging="218"/>
        <w:spacing w:after="0" w:line="262"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a Massive Network of Sellers. </w:t>
      </w:r>
      <w:r>
        <w:rPr>
          <w:rFonts w:ascii="Arial" w:cs="Arial" w:eastAsia="Arial" w:hAnsi="Arial"/>
          <w:sz w:val="17"/>
          <w:szCs w:val="17"/>
          <w:color w:val="auto"/>
        </w:rPr>
        <w:t>We provide buyers access to the massive, global network of sellers on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69" w:lineRule="exact"/>
        <w:rPr>
          <w:rFonts w:ascii="Arial" w:cs="Arial" w:eastAsia="Arial" w:hAnsi="Arial"/>
          <w:sz w:val="17"/>
          <w:szCs w:val="17"/>
          <w:color w:val="auto"/>
        </w:rPr>
      </w:pPr>
    </w:p>
    <w:p>
      <w:pPr>
        <w:ind w:left="920" w:right="160" w:hanging="218"/>
        <w:spacing w:after="0" w:line="243"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84" w:lineRule="exact"/>
        <w:rPr>
          <w:rFonts w:ascii="Arial" w:cs="Arial" w:eastAsia="Arial" w:hAnsi="Arial"/>
          <w:sz w:val="18"/>
          <w:szCs w:val="18"/>
          <w:color w:val="auto"/>
        </w:rPr>
      </w:pPr>
    </w:p>
    <w:p>
      <w:pPr>
        <w:ind w:left="920" w:right="240" w:hanging="218"/>
        <w:spacing w:after="0" w:line="243"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84" w:lineRule="exact"/>
        <w:rPr>
          <w:rFonts w:ascii="Arial" w:cs="Arial" w:eastAsia="Arial" w:hAnsi="Arial"/>
          <w:sz w:val="18"/>
          <w:szCs w:val="18"/>
          <w:color w:val="auto"/>
        </w:rPr>
      </w:pPr>
    </w:p>
    <w:p>
      <w:pPr>
        <w:ind w:left="920" w:right="140" w:hanging="218"/>
        <w:spacing w:after="0" w:line="249"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6"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0" w:right="60" w:hanging="218"/>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Sellers Win</w:t>
      </w:r>
    </w:p>
    <w:p>
      <w:pPr>
        <w:spacing w:after="0" w:line="234" w:lineRule="exact"/>
        <w:rPr>
          <w:sz w:val="20"/>
          <w:szCs w:val="20"/>
          <w:color w:val="auto"/>
        </w:rPr>
      </w:pPr>
    </w:p>
    <w:p>
      <w:pPr>
        <w:ind w:left="920" w:right="200" w:hanging="218"/>
        <w:spacing w:after="0" w:line="243"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84" w:lineRule="exact"/>
        <w:rPr>
          <w:rFonts w:ascii="Arial" w:cs="Arial" w:eastAsia="Arial" w:hAnsi="Arial"/>
          <w:sz w:val="18"/>
          <w:szCs w:val="18"/>
          <w:color w:val="auto"/>
        </w:rPr>
      </w:pPr>
    </w:p>
    <w:p>
      <w:pPr>
        <w:ind w:left="920" w:right="20" w:hanging="218"/>
        <w:spacing w:after="0" w:line="24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accept the next repeat order in order to increase efficiency and reliability. Our ability to attract repeat buyers helps stabilize demand for sellers so they can operate their businesses more efficiently.</w:t>
      </w:r>
    </w:p>
    <w:p>
      <w:pPr>
        <w:spacing w:after="0" w:line="77" w:lineRule="exact"/>
        <w:rPr>
          <w:rFonts w:ascii="Arial" w:cs="Arial" w:eastAsia="Arial" w:hAnsi="Arial"/>
          <w:sz w:val="18"/>
          <w:szCs w:val="18"/>
          <w:color w:val="auto"/>
        </w:rPr>
      </w:pPr>
    </w:p>
    <w:p>
      <w:pPr>
        <w:ind w:left="920" w:right="120" w:hanging="218"/>
        <w:spacing w:after="0" w:line="270"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Excellence. </w:t>
      </w:r>
      <w:r>
        <w:rPr>
          <w:rFonts w:ascii="Arial" w:cs="Arial" w:eastAsia="Arial" w:hAnsi="Arial"/>
          <w:sz w:val="17"/>
          <w:szCs w:val="17"/>
          <w:color w:val="auto"/>
        </w:rPr>
        <w:t>We aim to be a completely digital one-stop-shop for all workflow solutions for sellers. Our intuitive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62" w:lineRule="exact"/>
        <w:rPr>
          <w:rFonts w:ascii="Arial" w:cs="Arial" w:eastAsia="Arial" w:hAnsi="Arial"/>
          <w:sz w:val="17"/>
          <w:szCs w:val="17"/>
          <w:color w:val="auto"/>
        </w:rPr>
      </w:pPr>
    </w:p>
    <w:p>
      <w:pPr>
        <w:ind w:left="920" w:hanging="218"/>
        <w:spacing w:after="0" w:line="243"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4"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8"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We Win</w:t>
      </w:r>
    </w:p>
    <w:p>
      <w:pPr>
        <w:spacing w:after="0" w:line="234" w:lineRule="exact"/>
        <w:rPr>
          <w:sz w:val="20"/>
          <w:szCs w:val="20"/>
          <w:color w:val="auto"/>
        </w:rPr>
      </w:pPr>
    </w:p>
    <w:p>
      <w:pPr>
        <w:ind w:left="920" w:right="460" w:hanging="218"/>
        <w:spacing w:after="0" w:line="249"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6"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0"/>
        <w:spacing w:after="0" w:line="253" w:lineRule="auto"/>
        <w:rPr>
          <w:sz w:val="20"/>
          <w:szCs w:val="20"/>
          <w:color w:val="auto"/>
        </w:rPr>
      </w:pPr>
      <w:r>
        <w:rPr>
          <w:rFonts w:ascii="Arial" w:cs="Arial" w:eastAsia="Arial" w:hAnsi="Arial"/>
          <w:sz w:val="17"/>
          <w:szCs w:val="17"/>
          <w:color w:val="auto"/>
        </w:rPr>
        <w:t>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77" w:lineRule="exact"/>
        <w:rPr>
          <w:sz w:val="20"/>
          <w:szCs w:val="20"/>
          <w:color w:val="auto"/>
        </w:rPr>
      </w:pPr>
    </w:p>
    <w:p>
      <w:pPr>
        <w:ind w:left="920" w:right="80" w:hanging="218"/>
        <w:spacing w:after="0" w:line="23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which contributes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 and seller businesses thrive.</w:t>
      </w:r>
    </w:p>
    <w:p>
      <w:pPr>
        <w:spacing w:after="0" w:line="87" w:lineRule="exact"/>
        <w:rPr>
          <w:rFonts w:ascii="Arial" w:cs="Arial" w:eastAsia="Arial" w:hAnsi="Arial"/>
          <w:sz w:val="18"/>
          <w:szCs w:val="18"/>
          <w:color w:val="auto"/>
        </w:rPr>
      </w:pPr>
    </w:p>
    <w:p>
      <w:pPr>
        <w:jc w:val="both"/>
        <w:ind w:left="920" w:right="320" w:hanging="218"/>
        <w:spacing w:after="0" w:line="24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largest on-demand manufacturing marketplace by revenue. As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we benefit from a self-reinforcing, virtuous cycle, in which marketplace interactions contribute valuable data points and insights that improve our AI-enabled platform, increasing lifetime customer value and fueling strong unit economics.</w:t>
      </w:r>
    </w:p>
    <w:p>
      <w:pPr>
        <w:spacing w:after="0" w:line="77"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Xometry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had a 34% year-over-year increase in accounts with at least $50,000 annual spend.</w:t>
      </w:r>
    </w:p>
    <w:p>
      <w:pPr>
        <w:spacing w:after="0" w:line="87" w:lineRule="exact"/>
        <w:rPr>
          <w:rFonts w:ascii="Arial" w:cs="Arial" w:eastAsia="Arial" w:hAnsi="Arial"/>
          <w:sz w:val="18"/>
          <w:szCs w:val="18"/>
          <w:color w:val="auto"/>
        </w:rPr>
      </w:pPr>
    </w:p>
    <w:p>
      <w:pPr>
        <w:ind w:left="920" w:right="80" w:hanging="218"/>
        <w:spacing w:after="0" w:line="243"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84" w:lineRule="exact"/>
        <w:rPr>
          <w:rFonts w:ascii="Arial" w:cs="Arial" w:eastAsia="Arial" w:hAnsi="Arial"/>
          <w:sz w:val="18"/>
          <w:szCs w:val="18"/>
          <w:color w:val="auto"/>
        </w:rPr>
      </w:pPr>
    </w:p>
    <w:p>
      <w:pPr>
        <w:ind w:left="920" w:right="220" w:hanging="218"/>
        <w:spacing w:after="0" w:line="243"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6" w:right="5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Growth Strategy</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We have grown significantly since our first transaction in 2014 and our importance to buyers and sellers in the global manufacturing market is evident in the volume and scale at which we now conduct business. We have accomplished a lot in just seven years, but we believe we still have a massive underpenetrated addressable opportunity ahead of us.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growth strategy include the following:</w:t>
      </w:r>
    </w:p>
    <w:p>
      <w:pPr>
        <w:spacing w:after="0" w:line="79" w:lineRule="exact"/>
        <w:rPr>
          <w:sz w:val="20"/>
          <w:szCs w:val="20"/>
          <w:color w:val="auto"/>
        </w:rPr>
      </w:pPr>
    </w:p>
    <w:p>
      <w:pPr>
        <w:ind w:left="160" w:right="20" w:firstLine="546"/>
        <w:spacing w:after="0" w:line="252" w:lineRule="auto"/>
        <w:rPr>
          <w:sz w:val="20"/>
          <w:szCs w:val="20"/>
          <w:color w:val="auto"/>
        </w:rPr>
      </w:pPr>
      <w:r>
        <w:rPr>
          <w:rFonts w:ascii="Arial" w:cs="Arial" w:eastAsia="Arial" w:hAnsi="Arial"/>
          <w:sz w:val="17"/>
          <w:szCs w:val="17"/>
          <w:b w:val="1"/>
          <w:bCs w:val="1"/>
          <w:color w:val="auto"/>
        </w:rPr>
        <w:t xml:space="preserve">Attract new buyers and grow wallet share with existing buyers. </w:t>
      </w:r>
      <w:r>
        <w:rPr>
          <w:rFonts w:ascii="Arial" w:cs="Arial" w:eastAsia="Arial" w:hAnsi="Arial"/>
          <w:sz w:val="17"/>
          <w:szCs w:val="17"/>
          <w:color w:val="auto"/>
        </w:rPr>
        <w:t>We intend to continue investing in acquiring new buyers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traditional paid sales and marketing techniques as well as leveraging our strong organic referral network to drive awareness and build trust. Once we acquire a buyer, we seek to expand the breadth and scale of the services sold to that buyer and leverage the relationship to gain additional users within the buyer’s account through a combination of product offerings, customer relationship marketing, sales and account management. At March 31, 2021, we had 412 accounts with at least $50,000 annual spend. We will remain focused on increasing wallet share with our existing buyers through a number of deliberate strategies. With each positive experience and the expansion of our manufacturing processes through acquiring new sellers we will continue building our buyers’ spend and opportunities on our marketplace. We will also leverage engagement tools including case studies and design-for-manufacturing content, and deliberate customer and sales support to ensure buyer needs are met and they feel supported throughout the entire transaction journey.</w:t>
      </w:r>
    </w:p>
    <w:p>
      <w:pPr>
        <w:spacing w:after="0" w:line="17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b w:val="1"/>
          <w:b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our entire platform. We are focused on attracting new sellers, recognizing the massive opportunity still in front of us and the intrinsic benefit an active, diverse seller population brings to the overall platform. Sellers are essential to our buyers, our platform’s network effects and our reputation as a powerful partner to source on-demand manufacturing. Our enduring relationships help us to form new ones through strong referral networks and seller experiences. In particular, we are focused on ensuring that our seller network is diverse and sustainable, adding to our wide range of manufacturing processes. As of March 31, 2021, our sellers offered six key manufacturing processes. These processes can also be combined with over 50 finishes and thousands of raw material and color combinations. We will continue to extend our platform by attracting new sellers with the ability and expertise to deliver additional processes like extrusion, finishes and materials.</w:t>
      </w:r>
    </w:p>
    <w:p>
      <w:pPr>
        <w:spacing w:after="0" w:line="180"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b w:val="1"/>
          <w:b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 Sellers will be equipped with sophisticated order management, shipping, and collaboration tools, so that every job they execute, on and off our platform, can be centralized in one tool, increasing efficiency and helping to better predict capacity and revenue streams. For sellers active on our platform, our resourcing tools will enable us to offer intelligent procurement integrations, directed sourcing for materials and tools, and business management insights to help our sellers achieve their business goals and produce outstanding products for our buyers.</w:t>
      </w:r>
    </w:p>
    <w:p>
      <w:pPr>
        <w:spacing w:after="0" w:line="184" w:lineRule="exact"/>
        <w:rPr>
          <w:sz w:val="20"/>
          <w:szCs w:val="20"/>
          <w:color w:val="auto"/>
        </w:rPr>
      </w:pPr>
    </w:p>
    <w:p>
      <w:pPr>
        <w:ind w:left="160" w:right="80" w:firstLine="546"/>
        <w:spacing w:after="0" w:line="243" w:lineRule="auto"/>
        <w:rPr>
          <w:sz w:val="20"/>
          <w:szCs w:val="20"/>
          <w:color w:val="auto"/>
        </w:rPr>
      </w:pPr>
      <w:r>
        <w:rPr>
          <w:rFonts w:ascii="Arial" w:cs="Arial" w:eastAsia="Arial" w:hAnsi="Arial"/>
          <w:sz w:val="18"/>
          <w:szCs w:val="18"/>
          <w:b w:val="1"/>
          <w:b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and increase engagement. For the year ended December 31, 2020, 40% of our active sellers used our seller services. Although revenue from our seller services was approximately five percent of our total revenue for the year ended December 31, 2020, we expect</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6"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20"/>
        <w:spacing w:after="0" w:line="257" w:lineRule="auto"/>
        <w:rPr>
          <w:sz w:val="20"/>
          <w:szCs w:val="20"/>
          <w:color w:val="auto"/>
        </w:rPr>
      </w:pPr>
      <w:r>
        <w:rPr>
          <w:rFonts w:ascii="Arial" w:cs="Arial" w:eastAsia="Arial" w:hAnsi="Arial"/>
          <w:sz w:val="17"/>
          <w:szCs w:val="17"/>
          <w:color w:val="auto"/>
        </w:rPr>
        <w:t>revenue from seller services to grow over time. In 2020, we introduced a new suite of financial services for sellers that offer us attractive growth opportunities. We plan to continue to market the Xometry Pay platform to U.S. sellers, enhance features that allow quicker conversion of purchase orders to cash, and build toward a full-service digital wallet for sellers to use for payouts and purchases.</w:t>
      </w:r>
    </w:p>
    <w:p>
      <w:pPr>
        <w:spacing w:after="0" w:line="166"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b w:val="1"/>
          <w:bCs w:val="1"/>
          <w:color w:val="auto"/>
        </w:rPr>
        <w:t xml:space="preserve">Continue our international expansion. </w:t>
      </w:r>
      <w:r>
        <w:rPr>
          <w:rFonts w:ascii="Arial" w:cs="Arial" w:eastAsia="Arial" w:hAnsi="Arial"/>
          <w:sz w:val="18"/>
          <w:szCs w:val="18"/>
          <w:color w:val="auto"/>
        </w:rPr>
        <w:t>We believe there is significant opportunity in the global manufacturing ecosystem for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like Xometry. With operations throughout the majority of the contiguous United States and customers in Europe and Asia we have established footholds in major markets around the world. For the years ended December 31, 2020 and 2019, we had sales to customers in 51 countries with over 95% of our revenue generated from buyers located in the United States. We believe our expanding geographic footprint presents an opportunity for future growth. We will continue to dedicate sales and marketing resources to develop our seller networks and attract buyers to our marketplace in other regions.</w:t>
      </w:r>
    </w:p>
    <w:p>
      <w:pPr>
        <w:spacing w:after="0" w:line="181" w:lineRule="exact"/>
        <w:rPr>
          <w:sz w:val="20"/>
          <w:szCs w:val="20"/>
          <w:color w:val="auto"/>
        </w:rPr>
      </w:pPr>
    </w:p>
    <w:p>
      <w:pPr>
        <w:ind w:left="160" w:right="60" w:firstLine="546"/>
        <w:spacing w:after="0"/>
        <w:rPr>
          <w:sz w:val="20"/>
          <w:szCs w:val="20"/>
          <w:color w:val="auto"/>
        </w:rPr>
      </w:pPr>
      <w:r>
        <w:rPr>
          <w:rFonts w:ascii="Arial" w:cs="Arial" w:eastAsia="Arial" w:hAnsi="Arial"/>
          <w:sz w:val="18"/>
          <w:szCs w:val="18"/>
          <w:b w:val="1"/>
          <w:b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for targeted investments and acquisitions to strengthen our competitive position and processes. In 2018, we acquired MakeTime, an on-demand manufacturing platform with enterprise expertise to bolster our enterprise capability. In 2019, we acquired Shift, a Munich-based startup, as part of our expansion into Europe. We will continue to evaluate and pursue strategic M&amp;A opportunities that are additive to our marketplace and technological capabilities or bring talent and experience to our team.</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Sales and Marketing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123"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Our sales ecosystem is designed to partner with our buyers and sellers, providing them with exceptional customer service and working in tandem to realize and to achieve their full potential on our platform.</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For our buyers, we have dedicated enterprise and account management teams that are aligned by either expertise across one of our key verticals (Aerospace and Defense, Healthcare, Automotive, Consumer Goods, Industrial, Robotics, Government and Education) or based on first point of contact with our platform. All enterprise and account managers follow a defined sales process to ensure consistency in our approach and customer experience. We leverage the RFM (Recency, Frequency and Monetary) model, Lifetime Value data and other data points like lead scoring to better understand their unique needs, challenges and goals and to drive higher engagement with our platform.</w:t>
      </w:r>
    </w:p>
    <w:p>
      <w:pPr>
        <w:spacing w:after="0" w:line="202"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For our sellers, our team leverages our diverse product offerings to create a powerful and integrated sales and marketing funnel. All sellers are supported through dedicated operations and partner management teams. These teams are embedded within our Sales and Marketing function to ensure full knowledge of products and seller support at all stages, from invoicing to job sourcing as well as identifying opportunities for cross-sales or advancement down the funnel. Sales representatives support sellers from the initial education process with accessible content on business operations, manufacturing processes, and our platform, through any materials procurement leveraging our competitively priced recommendations on Xometry Supplies and finally to introducing our financial services products.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Marketing</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We use highly targeted, SEO-optimized, engineering and supply chain content and digital advertising to drive awareness and build trust. We work with our buyers and sellers to build and share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success stories, case-studies, design guides, how-to videos, webinars and other helpful content for our target audience. For our buyers specifically, we also utilize video, radio, podcasts and other digital marketing to engage with key influencers and communities where on-demand manufacturing content is highly relevant. Our unaided brand awareness as a provider of 3D manufacturing services among manufacturing professionals has more than doubled between 2018 (12)% and 2020 (26)% according to Digital Engineering. For our sellers specifically, our content is amplified through social media traffic (paid and earned), content partnerships with machining influencers and a strong presence in leading manufacturing publications and podcasts, as well as both in-person and virtual events.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Technology</w:t>
      </w:r>
    </w:p>
    <w:p>
      <w:pPr>
        <w:spacing w:after="0" w:line="230"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We utilize AI and machine learning to continuously improve the speed and accuracy of our pricing and placement activity. Our use of services-oriented architecture and cloud infrastructure ensures scalability and helps reduce the time to market for new features. We are able to easily test new features and validate product/market fit prior to large scale introduction.</w:t>
      </w:r>
    </w:p>
    <w:p>
      <w:pPr>
        <w:spacing w:after="0" w:line="181"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User research, data science and experimentation are critical to increasing the efficiency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on-demand manufacturing and are the core of everything we do. We rely on user research, data science, machine learning, and A/B and multivariate testing to continually improve user experiences, develop new offerings, drive optimization, and create operating leverage across our ecommerce and marketplace platform. We utilize data to increase the effectiveness of our brand and performance marketing, enhance the customer experience, analyze market dynamics at scale, and to calibrate our pricing. We also use data science for experimentation allowing us to fine tune our supply, sourcing and logistics models.</w:t>
      </w:r>
    </w:p>
    <w:p>
      <w:pPr>
        <w:spacing w:after="0" w:line="181" w:lineRule="exact"/>
        <w:rPr>
          <w:sz w:val="20"/>
          <w:szCs w:val="20"/>
          <w:color w:val="auto"/>
        </w:rPr>
      </w:pPr>
    </w:p>
    <w:p>
      <w:pPr>
        <w:ind w:left="160" w:right="100" w:firstLine="546"/>
        <w:spacing w:after="0" w:line="243" w:lineRule="auto"/>
        <w:rPr>
          <w:sz w:val="20"/>
          <w:szCs w:val="20"/>
          <w:color w:val="auto"/>
        </w:rPr>
      </w:pPr>
      <w:r>
        <w:rPr>
          <w:rFonts w:ascii="Arial" w:cs="Arial" w:eastAsia="Arial" w:hAnsi="Arial"/>
          <w:sz w:val="18"/>
          <w:szCs w:val="18"/>
          <w:b w:val="1"/>
          <w:bCs w:val="1"/>
          <w:color w:val="auto"/>
        </w:rPr>
        <w:t xml:space="preserve">Data Analytics. </w:t>
      </w:r>
      <w:r>
        <w:rPr>
          <w:rFonts w:ascii="Arial" w:cs="Arial" w:eastAsia="Arial" w:hAnsi="Arial"/>
          <w:sz w:val="18"/>
          <w:szCs w:val="18"/>
          <w:color w:val="auto"/>
        </w:rPr>
        <w:t>In an industry that historically used intuition and basic industry-wide data to drive purchasing and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we are moving our customers from intuition to predictive algorithms. We are expanding and continuously improving our access to data, employing data science and machine learning across our business to maximize efficiency. Our proprietary technology, machine learning and data analytics models continuously optimize our marketing investments and conversion funnel.</w:t>
      </w:r>
    </w:p>
    <w:p>
      <w:pPr>
        <w:spacing w:after="0" w:line="178" w:lineRule="exact"/>
        <w:rPr>
          <w:sz w:val="20"/>
          <w:szCs w:val="20"/>
          <w:color w:val="auto"/>
        </w:rPr>
      </w:pPr>
    </w:p>
    <w:p>
      <w:pPr>
        <w:ind w:left="160" w:right="20" w:firstLine="546"/>
        <w:spacing w:after="0"/>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A key element of our proprietary platform is software that is capable of 3D Geometry and feature recognition,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us to capitalize on the overall digitization of the manufacturing industry. Our platform analyzes and understands complex geometries in seconds, enhancing our pricing accuracy, identifying issues in part designs, and matching manufacturing orders with suppliers who have a proven track record with similar material, size and feature sets. This creates greater price transparency for both buyers and sellers and helps us find the best match for each order in real time.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Product Development</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product development efforts are focused on the following priorities that will help us achieve our plans for growth and enable our marketplace. The data received throughout the development, beta testing, and post implementation processes helps inform our future product development priorities and technology pipeline.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Some our leading priorities are:</w:t>
      </w:r>
    </w:p>
    <w:p>
      <w:pPr>
        <w:spacing w:after="0" w:line="79"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Enterprise integration</w:t>
      </w:r>
      <w:r>
        <w:rPr>
          <w:rFonts w:ascii="Arial" w:cs="Arial" w:eastAsia="Arial" w:hAnsi="Arial"/>
          <w:sz w:val="18"/>
          <w:szCs w:val="18"/>
          <w:color w:val="auto"/>
        </w:rPr>
        <w:t>. We are pursuing a strategy to further embed our platform into our various buyers’ workflows—whether it</w:t>
      </w:r>
      <w:r>
        <w:rPr>
          <w:rFonts w:ascii="Arial" w:cs="Arial" w:eastAsia="Arial" w:hAnsi="Arial"/>
          <w:sz w:val="18"/>
          <w:szCs w:val="18"/>
          <w:b w:val="1"/>
          <w:bCs w:val="1"/>
          <w:color w:val="auto"/>
        </w:rPr>
        <w:t xml:space="preserve"> </w:t>
      </w:r>
      <w:r>
        <w:rPr>
          <w:rFonts w:ascii="Arial" w:cs="Arial" w:eastAsia="Arial" w:hAnsi="Arial"/>
          <w:sz w:val="18"/>
          <w:szCs w:val="18"/>
          <w:color w:val="auto"/>
        </w:rPr>
        <w:t>is instant pricing available inside CAD software from Dassault, Autodesk, and PTC or streamlined purchasing support in procurement software like Ariba and Coupa. This is made possible by “productizing” our internal AI and workflow engine for novel uses.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6"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 xml:space="preserve">Seller Services. </w:t>
      </w:r>
      <w:r>
        <w:rPr>
          <w:rFonts w:ascii="Arial" w:cs="Arial" w:eastAsia="Arial" w:hAnsi="Arial"/>
          <w:sz w:val="18"/>
          <w:szCs w:val="18"/>
          <w:color w:val="auto"/>
        </w:rPr>
        <w:t>Financial products, sales and marketing support, and access to our proprietary algorithms are all ways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can improve the seller experience and increase efficiency of our network and marketplace. These new products and services are prioritized by our product development teams.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Values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prioritize the following core values:</w:t>
      </w:r>
    </w:p>
    <w:p>
      <w:pPr>
        <w:spacing w:after="0" w:line="79" w:lineRule="exact"/>
        <w:rPr>
          <w:sz w:val="20"/>
          <w:szCs w:val="20"/>
          <w:color w:val="auto"/>
        </w:rPr>
      </w:pPr>
    </w:p>
    <w:p>
      <w:pPr>
        <w:ind w:left="160" w:right="140" w:firstLine="546"/>
        <w:spacing w:after="0" w:line="262" w:lineRule="auto"/>
        <w:rPr>
          <w:sz w:val="20"/>
          <w:szCs w:val="20"/>
          <w:color w:val="auto"/>
        </w:rPr>
      </w:pPr>
      <w:r>
        <w:rPr>
          <w:rFonts w:ascii="Arial" w:cs="Arial" w:eastAsia="Arial" w:hAnsi="Arial"/>
          <w:sz w:val="17"/>
          <w:szCs w:val="17"/>
          <w:b w:val="1"/>
          <w:bCs w:val="1"/>
          <w:color w:val="auto"/>
        </w:rPr>
        <w:t xml:space="preserve">We are customer and partner focused. </w:t>
      </w:r>
      <w:r>
        <w:rPr>
          <w:rFonts w:ascii="Arial" w:cs="Arial" w:eastAsia="Arial" w:hAnsi="Arial"/>
          <w:sz w:val="17"/>
          <w:szCs w:val="17"/>
          <w:color w:val="auto"/>
        </w:rPr>
        <w:t>Customer satisfaction drives our business and we are singularly focused on building a</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that benefits our buyers and sellers. We have created a marketplace in which the success of our buyers and sellers is interdependent, and we will continue to seek new and creative ways to serve the evolving needs of our ecosystem. As the ancient Greek poet Archilochus of Paros wrote, “The fox knows many things, but the hedgehog knows one big thing.” We are hedgehogs, not foxes.</w:t>
      </w:r>
    </w:p>
    <w:p>
      <w:pPr>
        <w:spacing w:after="0" w:line="163" w:lineRule="exact"/>
        <w:rPr>
          <w:sz w:val="20"/>
          <w:szCs w:val="20"/>
          <w:color w:val="auto"/>
        </w:rPr>
      </w:pPr>
    </w:p>
    <w:p>
      <w:pPr>
        <w:ind w:left="160" w:right="140" w:firstLine="546"/>
        <w:spacing w:after="0" w:line="249" w:lineRule="auto"/>
        <w:rPr>
          <w:sz w:val="20"/>
          <w:szCs w:val="20"/>
          <w:color w:val="auto"/>
        </w:rPr>
      </w:pPr>
      <w:r>
        <w:rPr>
          <w:rFonts w:ascii="Arial" w:cs="Arial" w:eastAsia="Arial" w:hAnsi="Arial"/>
          <w:sz w:val="18"/>
          <w:szCs w:val="18"/>
          <w:b w:val="1"/>
          <w:bCs w:val="1"/>
          <w:color w:val="auto"/>
        </w:rPr>
        <w:t xml:space="preserve">We enable equitable manufacturing. </w:t>
      </w:r>
      <w:r>
        <w:rPr>
          <w:rFonts w:ascii="Arial" w:cs="Arial" w:eastAsia="Arial" w:hAnsi="Arial"/>
          <w:sz w:val="18"/>
          <w:szCs w:val="18"/>
          <w:color w:val="auto"/>
        </w:rPr>
        <w:t>We serve businesses of a variety of sizes, from Fortune 100 companies to brand-new</w:t>
      </w:r>
      <w:r>
        <w:rPr>
          <w:rFonts w:ascii="Arial" w:cs="Arial" w:eastAsia="Arial" w:hAnsi="Arial"/>
          <w:sz w:val="18"/>
          <w:szCs w:val="18"/>
          <w:b w:val="1"/>
          <w:bCs w:val="1"/>
          <w:color w:val="auto"/>
        </w:rPr>
        <w:t xml:space="preserve"> </w:t>
      </w:r>
      <w:r>
        <w:rPr>
          <w:rFonts w:ascii="Arial" w:cs="Arial" w:eastAsia="Arial" w:hAnsi="Arial"/>
          <w:sz w:val="18"/>
          <w:szCs w:val="18"/>
          <w:color w:val="auto"/>
        </w:rPr>
        <w:t>start-ups, providing demonstrable value by increasing efficiency and accelerating speed to market. We aspire to revolutionize how global manufacturing functions in a digital world.</w:t>
      </w:r>
    </w:p>
    <w:p>
      <w:pPr>
        <w:spacing w:after="0" w:line="172" w:lineRule="exact"/>
        <w:rPr>
          <w:sz w:val="20"/>
          <w:szCs w:val="20"/>
          <w:color w:val="auto"/>
        </w:rPr>
      </w:pPr>
    </w:p>
    <w:p>
      <w:pPr>
        <w:ind w:left="160" w:right="480" w:firstLine="546"/>
        <w:spacing w:after="0" w:line="243" w:lineRule="auto"/>
        <w:rPr>
          <w:sz w:val="20"/>
          <w:szCs w:val="20"/>
          <w:color w:val="auto"/>
        </w:rPr>
      </w:pPr>
      <w:r>
        <w:rPr>
          <w:rFonts w:ascii="Arial" w:cs="Arial" w:eastAsia="Arial" w:hAnsi="Arial"/>
          <w:sz w:val="18"/>
          <w:szCs w:val="18"/>
          <w:b w:val="1"/>
          <w:bCs w:val="1"/>
          <w:color w:val="auto"/>
        </w:rPr>
        <w:t xml:space="preserve">We are people focused. </w:t>
      </w:r>
      <w:r>
        <w:rPr>
          <w:rFonts w:ascii="Arial" w:cs="Arial" w:eastAsia="Arial" w:hAnsi="Arial"/>
          <w:sz w:val="18"/>
          <w:szCs w:val="18"/>
          <w:color w:val="auto"/>
        </w:rPr>
        <w:t>Our employees are critical to our success. We embrace our team members for who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celebrating and leveraging the diversity of their backgrounds as a point of strength. We thrive as a business with excited, driven colleagues, who push and challenge each other and force us to continually improve as a business. Xometry invests in programs and systems to ensure we are a favorite place to work and that our work environment attracts and retains key talent.</w:t>
      </w:r>
    </w:p>
    <w:p>
      <w:pPr>
        <w:spacing w:after="0" w:line="178" w:lineRule="exact"/>
        <w:rPr>
          <w:sz w:val="20"/>
          <w:szCs w:val="20"/>
          <w:color w:val="auto"/>
        </w:rPr>
      </w:pPr>
    </w:p>
    <w:p>
      <w:pPr>
        <w:ind w:left="160" w:right="120" w:firstLine="546"/>
        <w:spacing w:after="0" w:line="243" w:lineRule="auto"/>
        <w:rPr>
          <w:sz w:val="20"/>
          <w:szCs w:val="20"/>
          <w:color w:val="auto"/>
        </w:rPr>
      </w:pPr>
      <w:r>
        <w:rPr>
          <w:rFonts w:ascii="Arial" w:cs="Arial" w:eastAsia="Arial" w:hAnsi="Arial"/>
          <w:sz w:val="18"/>
          <w:szCs w:val="18"/>
          <w:b w:val="1"/>
          <w:bCs w:val="1"/>
          <w:color w:val="auto"/>
        </w:rPr>
        <w:t xml:space="preserve">We are a company of doers. </w:t>
      </w:r>
      <w:r>
        <w:rPr>
          <w:rFonts w:ascii="Arial" w:cs="Arial" w:eastAsia="Arial" w:hAnsi="Arial"/>
          <w:sz w:val="18"/>
          <w:szCs w:val="18"/>
          <w:color w:val="auto"/>
        </w:rPr>
        <w:t>Talk is great, but action is better. We empower our team to take actions at every level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will benefit our marketplace, our customers, and our platform. We believe that the next big product idea or process innovation can come from anyone in our organization and because of that Xometry fosters a collaborative environment where employees can freely develop and exchange innovative concepts. We believe in “initiate, own and execute.”</w:t>
      </w:r>
    </w:p>
    <w:p>
      <w:pPr>
        <w:spacing w:after="0" w:line="178"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8"/>
          <w:szCs w:val="18"/>
          <w:b w:val="1"/>
          <w:bCs w:val="1"/>
          <w:color w:val="auto"/>
        </w:rPr>
        <w:t xml:space="preserve">We create efficiencies. </w:t>
      </w:r>
      <w:r>
        <w:rPr>
          <w:rFonts w:ascii="Arial" w:cs="Arial" w:eastAsia="Arial" w:hAnsi="Arial"/>
          <w:sz w:val="18"/>
          <w:szCs w:val="18"/>
          <w:color w:val="auto"/>
        </w:rPr>
        <w:t>We seek to transform the complex global manufacturing market with simple to use solutions.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in reducing friction and increasing efficiency through the smart use of artificial intelligence, our talented team and our industry expertise. We acknowledge this a difficult task and we continue to aim for this ambitious target.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Employees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 be a Xometry employee means taking an active role in building and serving our communities. We believe that our strong corporate culture and our investment in our relationship with our employees contributes to our success. This is evidenced by our industry recognitions including by Forbes as one of America’s Best Startup Employers in 2021 and by the Kentucky Chamber of Commerce as one of the best places to work in Kentucky in 2021, a state where we have over 90 employees. Our employees are continuously innovating, and our structure rewards productivity. We also encourage employees to invest in themselves by contributing to continuing education tuition. As of March 31, 2021, we had 386 employees.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Commitment to Diversity and Inclusion</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are committed to growing and empowering inclusive communities in our company, our industry, and the neighborhoods in which we live. We know that a diverse and thriving workforce is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60"/>
          </w:cols>
          <w:pgMar w:left="320" w:top="456"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0"/>
        <w:spacing w:after="0" w:line="239" w:lineRule="auto"/>
        <w:rPr>
          <w:sz w:val="20"/>
          <w:szCs w:val="20"/>
          <w:color w:val="auto"/>
        </w:rPr>
      </w:pPr>
      <w:r>
        <w:rPr>
          <w:rFonts w:ascii="Arial" w:cs="Arial" w:eastAsia="Arial" w:hAnsi="Arial"/>
          <w:sz w:val="18"/>
          <w:szCs w:val="18"/>
          <w:color w:val="auto"/>
        </w:rPr>
        <w:t>critical to attract and retain the talent necessary to grow our business. Our success depends on ideas. We can foster more productive ideas if we amplify all voices and provide the tools and resources to those who need them.</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drive diversity, equity and inclusion (DEI) forward through programs, investments and initiatives including:</w:t>
      </w:r>
    </w:p>
    <w:p>
      <w:pPr>
        <w:spacing w:after="0" w:line="79" w:lineRule="exact"/>
        <w:rPr>
          <w:sz w:val="20"/>
          <w:szCs w:val="20"/>
          <w:color w:val="auto"/>
        </w:rPr>
      </w:pPr>
    </w:p>
    <w:p>
      <w:pPr>
        <w:ind w:left="160" w:right="300" w:firstLine="546"/>
        <w:spacing w:after="0" w:line="265" w:lineRule="auto"/>
        <w:rPr>
          <w:sz w:val="20"/>
          <w:szCs w:val="20"/>
          <w:color w:val="auto"/>
        </w:rPr>
      </w:pPr>
      <w:r>
        <w:rPr>
          <w:rFonts w:ascii="Arial" w:cs="Arial" w:eastAsia="Arial" w:hAnsi="Arial"/>
          <w:sz w:val="18"/>
          <w:szCs w:val="18"/>
          <w:b w:val="1"/>
          <w:bCs w:val="1"/>
          <w:color w:val="auto"/>
        </w:rPr>
        <w:t>Diverse Manufacturers</w:t>
      </w:r>
      <w:r>
        <w:rPr>
          <w:rFonts w:ascii="Arial" w:cs="Arial" w:eastAsia="Arial" w:hAnsi="Arial"/>
          <w:sz w:val="18"/>
          <w:szCs w:val="18"/>
          <w:color w:val="auto"/>
        </w:rPr>
        <w:t>. We help to provide work to thousands of small machine shops that typically do not have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jobs from large corporations. Our sellers include hundreds of minority, veteran, and women-owned companies.</w:t>
      </w:r>
    </w:p>
    <w:p>
      <w:pPr>
        <w:spacing w:after="0" w:line="158" w:lineRule="exact"/>
        <w:rPr>
          <w:sz w:val="20"/>
          <w:szCs w:val="20"/>
          <w:color w:val="auto"/>
        </w:rPr>
      </w:pPr>
    </w:p>
    <w:p>
      <w:pPr>
        <w:ind w:left="160" w:right="380" w:firstLine="546"/>
        <w:spacing w:after="0" w:line="265" w:lineRule="auto"/>
        <w:rPr>
          <w:sz w:val="20"/>
          <w:szCs w:val="20"/>
          <w:color w:val="auto"/>
        </w:rPr>
      </w:pPr>
      <w:r>
        <w:rPr>
          <w:rFonts w:ascii="Arial" w:cs="Arial" w:eastAsia="Arial" w:hAnsi="Arial"/>
          <w:sz w:val="18"/>
          <w:szCs w:val="18"/>
          <w:b w:val="1"/>
          <w:bCs w:val="1"/>
          <w:color w:val="auto"/>
        </w:rPr>
        <w:t>Talent</w:t>
      </w:r>
      <w:r>
        <w:rPr>
          <w:rFonts w:ascii="Arial" w:cs="Arial" w:eastAsia="Arial" w:hAnsi="Arial"/>
          <w:sz w:val="18"/>
          <w:szCs w:val="18"/>
          <w:color w:val="auto"/>
        </w:rPr>
        <w:t>. We are increasing and broadening the pools of candidates from which we hire, both externally and internally,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refining the requirements, assessment criteria and selection process for each of our roles.</w:t>
      </w:r>
    </w:p>
    <w:p>
      <w:pPr>
        <w:spacing w:after="0" w:line="158" w:lineRule="exact"/>
        <w:rPr>
          <w:sz w:val="20"/>
          <w:szCs w:val="20"/>
          <w:color w:val="auto"/>
        </w:rPr>
      </w:pPr>
    </w:p>
    <w:p>
      <w:pPr>
        <w:ind w:left="160" w:right="200" w:firstLine="546"/>
        <w:spacing w:after="0" w:line="249"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 We devote considerable time and resources to the continuing education of our employees. This effort begins on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first day and remains part of our employee’s experience through regular panel discussions and focus groups to ignite conversations and ideas around DEI priorities.</w:t>
      </w:r>
    </w:p>
    <w:p>
      <w:pPr>
        <w:spacing w:after="0" w:line="172" w:lineRule="exact"/>
        <w:rPr>
          <w:sz w:val="20"/>
          <w:szCs w:val="20"/>
          <w:color w:val="auto"/>
        </w:rPr>
      </w:pPr>
    </w:p>
    <w:p>
      <w:pPr>
        <w:ind w:left="160" w:right="280" w:firstLine="546"/>
        <w:spacing w:after="0" w:line="265" w:lineRule="auto"/>
        <w:rPr>
          <w:sz w:val="20"/>
          <w:szCs w:val="20"/>
          <w:color w:val="auto"/>
        </w:rPr>
      </w:pPr>
      <w:r>
        <w:rPr>
          <w:rFonts w:ascii="Arial" w:cs="Arial" w:eastAsia="Arial" w:hAnsi="Arial"/>
          <w:sz w:val="18"/>
          <w:szCs w:val="18"/>
          <w:b w:val="1"/>
          <w:bCs w:val="1"/>
          <w:color w:val="auto"/>
        </w:rPr>
        <w:t>Culture</w:t>
      </w:r>
      <w:r>
        <w:rPr>
          <w:rFonts w:ascii="Arial" w:cs="Arial" w:eastAsia="Arial" w:hAnsi="Arial"/>
          <w:sz w:val="18"/>
          <w:szCs w:val="18"/>
          <w:color w:val="auto"/>
        </w:rPr>
        <w:t>. We are in the process of establishing a DEI Advisory Council that will take an active role not only in our programs but</w:t>
      </w:r>
      <w:r>
        <w:rPr>
          <w:rFonts w:ascii="Arial" w:cs="Arial" w:eastAsia="Arial" w:hAnsi="Arial"/>
          <w:sz w:val="18"/>
          <w:szCs w:val="18"/>
          <w:b w:val="1"/>
          <w:bCs w:val="1"/>
          <w:color w:val="auto"/>
        </w:rPr>
        <w:t xml:space="preserve"> </w:t>
      </w:r>
      <w:r>
        <w:rPr>
          <w:rFonts w:ascii="Arial" w:cs="Arial" w:eastAsia="Arial" w:hAnsi="Arial"/>
          <w:sz w:val="18"/>
          <w:szCs w:val="18"/>
          <w:color w:val="auto"/>
        </w:rPr>
        <w:t>also as thought leaders and change agents.</w:t>
      </w: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Commitment to ESG</w:t>
      </w:r>
    </w:p>
    <w:p>
      <w:pPr>
        <w:spacing w:after="0" w:line="230"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their parts. We also promote technologies like additive manufacturing that reduce the carbon footprint.</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Xometry.org: Manufacturing a Better World</w:t>
      </w:r>
    </w:p>
    <w:p>
      <w:pPr>
        <w:spacing w:after="0" w:line="123" w:lineRule="exact"/>
        <w:rPr>
          <w:sz w:val="20"/>
          <w:szCs w:val="20"/>
          <w:color w:val="auto"/>
        </w:rPr>
      </w:pPr>
    </w:p>
    <w:p>
      <w:pPr>
        <w:ind w:left="160" w:right="60" w:firstLine="546"/>
        <w:spacing w:after="0" w:line="250" w:lineRule="auto"/>
        <w:rPr>
          <w:sz w:val="20"/>
          <w:szCs w:val="20"/>
          <w:color w:val="auto"/>
        </w:rPr>
      </w:pPr>
      <w:r>
        <w:rPr>
          <w:rFonts w:ascii="Arial" w:cs="Arial" w:eastAsia="Arial" w:hAnsi="Arial"/>
          <w:sz w:val="17"/>
          <w:szCs w:val="17"/>
          <w:color w:val="auto"/>
        </w:rPr>
        <w:t>We want to help non-profits that are making a difference addressing other crucial problems facing our world. We started 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work of Xometry.org makes our business stronger and more successful.</w:t>
      </w:r>
    </w:p>
    <w:p>
      <w:pPr>
        <w:spacing w:after="0" w:line="196"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have embraced the Pledge 1% movement, and are committed to donating 1% of our equity over time, to fund and support operations of Xometry.org. We have initially reserved 402,658 shares of Class A common stock, representing 1% of our fully diluted capitalization as of the date of approval by our board of directors, for issuance over the next five years for this purpose, in an amount not to exceed 20% of the initial reserve amount per calendar year. We anticipate further annual stock grants to Xometry.org so our efforts are sustained and consistent.</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Competition</w:t>
      </w:r>
    </w:p>
    <w:p>
      <w:pPr>
        <w:spacing w:after="0" w:line="230"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The domestic and global on-demand manufacturing industry is localized and highly fragmented and we compete for both buyers and sellers.</w:t>
      </w:r>
    </w:p>
    <w:p>
      <w:pPr>
        <w:spacing w:after="0" w:line="20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compete for buyers with service bureaus and brokers. Our competitors include vertically integrated service bureaus, the service bureau divisions of the additive OEM companies such as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6"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60"/>
        <w:spacing w:after="0" w:line="239" w:lineRule="auto"/>
        <w:rPr>
          <w:sz w:val="20"/>
          <w:szCs w:val="20"/>
          <w:color w:val="auto"/>
        </w:rPr>
      </w:pPr>
      <w:r>
        <w:rPr>
          <w:rFonts w:ascii="Arial" w:cs="Arial" w:eastAsia="Arial" w:hAnsi="Arial"/>
          <w:sz w:val="18"/>
          <w:szCs w:val="18"/>
          <w:color w:val="auto"/>
        </w:rPr>
        <w:t>Stratasys and 3D Systems and independent machine shops and 3D printing service bureaus. For buyers, we compete on the basis of competitive pricing, user experience, and superior customer service.</w:t>
      </w:r>
    </w:p>
    <w:p>
      <w:pPr>
        <w:spacing w:after="0" w:line="203" w:lineRule="exact"/>
        <w:rPr>
          <w:sz w:val="20"/>
          <w:szCs w:val="20"/>
          <w:color w:val="auto"/>
        </w:rPr>
      </w:pPr>
    </w:p>
    <w:p>
      <w:pPr>
        <w:ind w:left="160" w:right="300" w:firstLine="546"/>
        <w:spacing w:after="0" w:line="235" w:lineRule="auto"/>
        <w:rPr>
          <w:sz w:val="20"/>
          <w:szCs w:val="20"/>
          <w:color w:val="auto"/>
        </w:rPr>
      </w:pPr>
      <w:r>
        <w:rPr>
          <w:rFonts w:ascii="Arial" w:cs="Arial" w:eastAsia="Arial" w:hAnsi="Arial"/>
          <w:sz w:val="18"/>
          <w:szCs w:val="18"/>
          <w:color w:val="auto"/>
        </w:rPr>
        <w:t>For sellers, we compete with brokers and listing services. Sellers will pay the independent brokers commissions to connect with buyers as well as list their services in offline trade publications and online listing services. We also compete with companies that sell software and services to sellers, enabling them to sell from their own website or otherwise run their business independently of our platform. We are able to compete for sellers on the basis of providing real-time access to orders, cash flow stability, global access to customers and seller services and financial products.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Intellectual Property</w:t>
      </w:r>
    </w:p>
    <w:p>
      <w:pPr>
        <w:spacing w:after="0" w:line="230"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95"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As of March 31, 2021, we own six issued United States patents directed to the use of machine learning for generating fabrication and manufacturing predictions, such as price, manufacturability and suitable materials and two pending United States patent applications and one pending European patent application directed to similar technologies. Our issued patents in the U.S. will expire between 2036 and 2037 and the pending patent applications, if issued, are expected to expire between 2039 and 2040, excluding any extension of patent term that may be available.</w:t>
      </w:r>
    </w:p>
    <w:p>
      <w:pPr>
        <w:spacing w:after="0" w:line="204"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As of March 31, 2021, we have five registered U.S. trademarks and six registered foreign trademarks in the European Union and various other jurisdictions for our name and certain words and phrases that we use in our business, and we rely on copyright laws and licenses to use and protect software and certain other elements of our proprietary technologies. We also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206"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40"/>
          </w:cols>
          <w:pgMar w:left="320" w:top="456" w:right="5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20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See the section titled “Risk Factors—Risks Related to Our Business” for a more comprehensive description of risks related to our intellectual property and proprietary rights.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Facilities / Properties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headquarters are located in Montgomery County, Maryland where we occupy facilities encompassing approximately 40,000 square feet. We have regional offices in Lexington, KY, Jackson, TN, and Munich, Germany. All of our offices are leased and we do not own any real property. Our leases range in expiration from 2021 to 2024. We believe that these facilities are generally suitable to meet our needs.</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Proceedings</w:t>
      </w:r>
    </w:p>
    <w:p>
      <w:pPr>
        <w:spacing w:after="0" w:line="230"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40"/>
          </w:cols>
          <w:pgMar w:left="320" w:top="456" w:right="5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for our executive officers and directors as of June 15, 2021:</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36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6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73"/>
        </w:trPr>
        <w:tc>
          <w:tcPr>
            <w:tcW w:w="4760" w:type="dxa"/>
            <w:vAlign w:val="bottom"/>
            <w:gridSpan w:val="2"/>
          </w:tcPr>
          <w:p>
            <w:pPr>
              <w:spacing w:after="0" w:line="173" w:lineRule="exact"/>
              <w:rPr>
                <w:sz w:val="20"/>
                <w:szCs w:val="20"/>
                <w:color w:val="auto"/>
              </w:rPr>
            </w:pPr>
            <w:r>
              <w:rPr>
                <w:rFonts w:ascii="Arial" w:cs="Arial" w:eastAsia="Arial" w:hAnsi="Arial"/>
                <w:sz w:val="18"/>
                <w:szCs w:val="18"/>
                <w:i w:val="1"/>
                <w:iCs w:val="1"/>
                <w:color w:val="auto"/>
              </w:rPr>
              <w:t>Executive Officers:</w:t>
            </w:r>
          </w:p>
        </w:tc>
        <w:tc>
          <w:tcPr>
            <w:tcW w:w="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60" w:type="dxa"/>
            <w:vAlign w:val="bottom"/>
            <w:tcBorders>
              <w:top w:val="single" w:sz="8" w:color="auto"/>
            </w:tcBorders>
          </w:tcPr>
          <w:p>
            <w:pPr>
              <w:spacing w:after="0"/>
              <w:rPr>
                <w:sz w:val="15"/>
                <w:szCs w:val="15"/>
                <w:color w:val="auto"/>
              </w:rPr>
            </w:pP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Randolph Altschuler</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Executive Officer, Co-Founder and 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James Rallo</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Peter Goguen</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Operating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Bill Cronin</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Revenue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Kathy Mayerhofer</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Sales Officer</w:t>
            </w:r>
          </w:p>
        </w:tc>
      </w:tr>
      <w:tr>
        <w:trPr>
          <w:trHeight w:val="183"/>
        </w:trPr>
        <w:tc>
          <w:tcPr>
            <w:tcW w:w="476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Laurence Zuriff</w:t>
            </w:r>
          </w:p>
        </w:tc>
        <w:tc>
          <w:tcPr>
            <w:tcW w:w="280" w:type="dxa"/>
            <w:vAlign w:val="bottom"/>
          </w:tcPr>
          <w:p>
            <w:pPr>
              <w:spacing w:after="0" w:line="182"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5"/>
                <w:szCs w:val="15"/>
                <w:color w:val="auto"/>
              </w:rPr>
            </w:pPr>
          </w:p>
        </w:tc>
        <w:tc>
          <w:tcPr>
            <w:tcW w:w="5660" w:type="dxa"/>
            <w:vAlign w:val="bottom"/>
          </w:tcPr>
          <w:p>
            <w:pPr>
              <w:spacing w:after="0" w:line="182" w:lineRule="exact"/>
              <w:rPr>
                <w:sz w:val="20"/>
                <w:szCs w:val="20"/>
                <w:color w:val="auto"/>
              </w:rPr>
            </w:pPr>
            <w:r>
              <w:rPr>
                <w:rFonts w:ascii="Arial" w:cs="Arial" w:eastAsia="Arial" w:hAnsi="Arial"/>
                <w:sz w:val="18"/>
                <w:szCs w:val="18"/>
                <w:color w:val="auto"/>
              </w:rPr>
              <w:t>Chief Strategy Officer, Co-Founder and Director</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George Hornig</w:t>
            </w:r>
            <w:r>
              <w:rPr>
                <w:rFonts w:ascii="Arial" w:cs="Arial" w:eastAsia="Arial" w:hAnsi="Arial"/>
                <w:sz w:val="15"/>
                <w:szCs w:val="15"/>
                <w:color w:val="auto"/>
              </w:rPr>
              <w:t>(4)(5)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 and Chairman of the Board</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Emily Rollins</w:t>
            </w:r>
            <w:r>
              <w:rPr>
                <w:rFonts w:ascii="Arial" w:cs="Arial" w:eastAsia="Arial" w:hAnsi="Arial"/>
                <w:sz w:val="15"/>
                <w:szCs w:val="15"/>
                <w:color w:val="auto"/>
              </w:rPr>
              <w:t>(1)</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Deborah Bial</w:t>
            </w:r>
            <w:r>
              <w:rPr>
                <w:rFonts w:ascii="Arial" w:cs="Arial" w:eastAsia="Arial" w:hAnsi="Arial"/>
                <w:sz w:val="15"/>
                <w:szCs w:val="15"/>
                <w:color w:val="auto"/>
              </w:rPr>
              <w:t>(5)(6)</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Craig Driscoll</w:t>
            </w:r>
            <w:r>
              <w:rPr>
                <w:rFonts w:ascii="Arial" w:cs="Arial" w:eastAsia="Arial" w:hAnsi="Arial"/>
                <w:sz w:val="15"/>
                <w:szCs w:val="15"/>
                <w:color w:val="auto"/>
              </w:rPr>
              <w:t>(5)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Fabio Rosati</w:t>
            </w:r>
            <w:r>
              <w:rPr>
                <w:rFonts w:ascii="Arial" w:cs="Arial" w:eastAsia="Arial" w:hAnsi="Arial"/>
                <w:sz w:val="15"/>
                <w:szCs w:val="15"/>
                <w:color w:val="auto"/>
              </w:rPr>
              <w:t>(2)(6)</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Katharine Weymouth</w:t>
            </w:r>
            <w:r>
              <w:rPr>
                <w:rFonts w:ascii="Arial" w:cs="Arial" w:eastAsia="Arial" w:hAnsi="Arial"/>
                <w:sz w:val="15"/>
                <w:szCs w:val="15"/>
                <w:color w:val="auto"/>
              </w:rPr>
              <w:t>(3)(4)</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16"/>
        </w:trPr>
        <w:tc>
          <w:tcPr>
            <w:tcW w:w="4760" w:type="dxa"/>
            <w:vAlign w:val="bottom"/>
            <w:gridSpan w:val="2"/>
          </w:tcPr>
          <w:p>
            <w:pPr>
              <w:ind w:left="360"/>
              <w:spacing w:after="0"/>
              <w:rPr>
                <w:sz w:val="20"/>
                <w:szCs w:val="20"/>
                <w:color w:val="auto"/>
              </w:rPr>
            </w:pPr>
            <w:r>
              <w:rPr>
                <w:rFonts w:ascii="Arial" w:cs="Arial" w:eastAsia="Arial" w:hAnsi="Arial"/>
                <w:sz w:val="18"/>
                <w:szCs w:val="18"/>
                <w:color w:val="auto"/>
              </w:rPr>
              <w:t>Ranjana Clark</w:t>
            </w:r>
            <w:r>
              <w:rPr>
                <w:rFonts w:ascii="Arial" w:cs="Arial" w:eastAsia="Arial" w:hAnsi="Arial"/>
                <w:sz w:val="15"/>
                <w:szCs w:val="15"/>
                <w:color w:val="auto"/>
              </w:rPr>
              <w:t>(6)(7)</w:t>
            </w:r>
          </w:p>
        </w:tc>
        <w:tc>
          <w:tcPr>
            <w:tcW w:w="280" w:type="dxa"/>
            <w:vAlign w:val="bottom"/>
          </w:tcPr>
          <w:p>
            <w:pPr>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7645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0" w:lineRule="exact"/>
        <w:rPr>
          <w:sz w:val="20"/>
          <w:szCs w:val="20"/>
          <w:color w:val="auto"/>
        </w:rPr>
      </w:pP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Chairperson of the Audit Committee.</w:t>
      </w: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Chairperson of the Compensation Committee.</w:t>
      </w: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Chairperson of the Nominating and Corporate Governance Committee.</w:t>
      </w: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Ms. Clark is currently a director nominee and has been appointed as a member of our board of directors effective immediately after the consummation of this offering.</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w:t>
      </w:r>
    </w:p>
    <w:p>
      <w:pPr>
        <w:spacing w:after="0" w:line="208" w:lineRule="exact"/>
        <w:rPr>
          <w:sz w:val="20"/>
          <w:szCs w:val="20"/>
          <w:color w:val="auto"/>
        </w:rPr>
      </w:pPr>
    </w:p>
    <w:p>
      <w:pPr>
        <w:ind w:left="160" w:right="80" w:firstLine="546"/>
        <w:spacing w:after="0" w:line="251" w:lineRule="auto"/>
        <w:rPr>
          <w:sz w:val="20"/>
          <w:szCs w:val="20"/>
          <w:color w:val="auto"/>
        </w:rPr>
      </w:pPr>
      <w:r>
        <w:rPr>
          <w:rFonts w:ascii="Arial" w:cs="Arial" w:eastAsia="Arial" w:hAnsi="Arial"/>
          <w:sz w:val="17"/>
          <w:szCs w:val="17"/>
          <w:b w:val="1"/>
          <w:bCs w:val="1"/>
          <w:color w:val="auto"/>
        </w:rPr>
        <w:t xml:space="preserve">Randolph Altschuler </w:t>
      </w:r>
      <w:r>
        <w:rPr>
          <w:rFonts w:ascii="Arial" w:cs="Arial" w:eastAsia="Arial" w:hAnsi="Arial"/>
          <w:sz w:val="17"/>
          <w:szCs w:val="17"/>
          <w:color w:val="auto"/>
        </w:rPr>
        <w:t>is our co-founder and has served as our Chief Executive Officer and as a member of our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May 2013. Prior to co-founding Xometry, Mr. Altschuler served as the Co-Founder and Executive Chairman of CloudBlue Technologies, Inc., a provider of recycling services for electronic equipment, from January 2008 to September 2013. Prior to CloudBlue, Mr. Altschuler was the co-founder and co-CEO of OfficeTiger, Inc. from 2000 to 2007. In addition to serving as our Chief Executive Officer, Mr. Altschuler also serves on the board of directors of the Maryland Tech Council and Regional Manufacturing Institute of Maryland.</w:t>
      </w:r>
    </w:p>
    <w:p>
      <w:pPr>
        <w:spacing w:after="0" w:line="3"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Mr. Altschuler received a B.A. from Princeton University and an M.B.A. from Harvard Business School. Mr. Altschuler was awarded a Fulbright Scholarship and studied at the University of Vienna in Austria. We believe that Mr. Altschuler is qualified to serve on the board of directors because of his experience building and leading our business since inception.</w:t>
      </w:r>
    </w:p>
    <w:p>
      <w:pPr>
        <w:spacing w:after="0" w:line="181" w:lineRule="exact"/>
        <w:rPr>
          <w:sz w:val="20"/>
          <w:szCs w:val="20"/>
          <w:color w:val="auto"/>
        </w:rPr>
      </w:pPr>
    </w:p>
    <w:p>
      <w:pPr>
        <w:ind w:left="160" w:right="20" w:firstLine="546"/>
        <w:spacing w:after="0"/>
        <w:rPr>
          <w:sz w:val="20"/>
          <w:szCs w:val="20"/>
          <w:color w:val="auto"/>
        </w:rPr>
      </w:pPr>
      <w:r>
        <w:rPr>
          <w:rFonts w:ascii="Arial" w:cs="Arial" w:eastAsia="Arial" w:hAnsi="Arial"/>
          <w:sz w:val="18"/>
          <w:szCs w:val="18"/>
          <w:b w:val="1"/>
          <w:bCs w:val="1"/>
          <w:color w:val="auto"/>
        </w:rPr>
        <w:t xml:space="preserve">James Rallo </w:t>
      </w:r>
      <w:r>
        <w:rPr>
          <w:rFonts w:ascii="Arial" w:cs="Arial" w:eastAsia="Arial" w:hAnsi="Arial"/>
          <w:sz w:val="18"/>
          <w:szCs w:val="18"/>
          <w:color w:val="auto"/>
        </w:rPr>
        <w:t>has served as our Chief Financial Officer since April 2020. Prior to joining Xometry, Mr. Rallo served as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Chief Financial Officer of Liquidity Services, a network of e-commerce marketplaces, from February 2005 to April 2019. Between roles at Liquidity Services and Xometry, Mr. Rallo briefly served as Chief Financial Officer of Stimwave Technologies LLC, a medical device company. Mr. Rallo is a Certified Public Accountant and received a B.S. in Business and Accounting from Washington and Lee University and an M.B.A. from the University of Maryland College Park.</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240" w:firstLine="546"/>
        <w:spacing w:after="0"/>
        <w:rPr>
          <w:sz w:val="20"/>
          <w:szCs w:val="20"/>
          <w:color w:val="auto"/>
        </w:rPr>
      </w:pPr>
      <w:r>
        <w:rPr>
          <w:rFonts w:ascii="Arial" w:cs="Arial" w:eastAsia="Arial" w:hAnsi="Arial"/>
          <w:sz w:val="18"/>
          <w:szCs w:val="18"/>
          <w:b w:val="1"/>
          <w:bCs w:val="1"/>
          <w:color w:val="auto"/>
        </w:rPr>
        <w:t xml:space="preserve">Peter Goguen </w:t>
      </w:r>
      <w:r>
        <w:rPr>
          <w:rFonts w:ascii="Arial" w:cs="Arial" w:eastAsia="Arial" w:hAnsi="Arial"/>
          <w:sz w:val="18"/>
          <w:szCs w:val="18"/>
          <w:color w:val="auto"/>
        </w:rPr>
        <w:t>has served as our Chief Operating Officer since March 2018. Prior to joining Xometry, Mr. Goguen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New Business Development and Launch for 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82" w:lineRule="exact"/>
        <w:rPr>
          <w:sz w:val="20"/>
          <w:szCs w:val="20"/>
          <w:color w:val="auto"/>
        </w:rPr>
      </w:pPr>
    </w:p>
    <w:p>
      <w:pPr>
        <w:ind w:left="160" w:right="100" w:firstLine="546"/>
        <w:spacing w:after="0"/>
        <w:rPr>
          <w:sz w:val="20"/>
          <w:szCs w:val="20"/>
          <w:color w:val="auto"/>
        </w:rPr>
      </w:pPr>
      <w:r>
        <w:rPr>
          <w:rFonts w:ascii="Arial" w:cs="Arial" w:eastAsia="Arial" w:hAnsi="Arial"/>
          <w:sz w:val="18"/>
          <w:szCs w:val="18"/>
          <w:b w:val="1"/>
          <w:bCs w:val="1"/>
          <w:color w:val="auto"/>
        </w:rPr>
        <w:t xml:space="preserve">Bill Cronin </w:t>
      </w:r>
      <w:r>
        <w:rPr>
          <w:rFonts w:ascii="Arial" w:cs="Arial" w:eastAsia="Arial" w:hAnsi="Arial"/>
          <w:sz w:val="18"/>
          <w:szCs w:val="18"/>
          <w:color w:val="auto"/>
        </w:rPr>
        <w:t>has served as our Chief Revenue Office since September 2018, and has served as our Senior Vice President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Marketing since February 2016. Prior to joining Xometry, Mr. Cronin served as the Vice President of Marketing for WeddingWire, a global marketplace for wedding professionals, from November 2013 to January 2016. Mr. Cronin previously was the VP of Marketing for USA Today and held a range of roles at Mastercard over 12 years including VP of Global Brand Building. Mr. Cronin received a B.A. from Dartmouth College.</w:t>
      </w:r>
    </w:p>
    <w:p>
      <w:pPr>
        <w:spacing w:after="0" w:line="182" w:lineRule="exact"/>
        <w:rPr>
          <w:sz w:val="20"/>
          <w:szCs w:val="20"/>
          <w:color w:val="auto"/>
        </w:rPr>
      </w:pPr>
    </w:p>
    <w:p>
      <w:pPr>
        <w:ind w:left="160" w:right="40" w:firstLine="546"/>
        <w:spacing w:after="0" w:line="243" w:lineRule="auto"/>
        <w:rPr>
          <w:sz w:val="20"/>
          <w:szCs w:val="20"/>
          <w:color w:val="auto"/>
        </w:rPr>
      </w:pPr>
      <w:r>
        <w:rPr>
          <w:rFonts w:ascii="Arial" w:cs="Arial" w:eastAsia="Arial" w:hAnsi="Arial"/>
          <w:sz w:val="18"/>
          <w:szCs w:val="18"/>
          <w:b w:val="1"/>
          <w:bCs w:val="1"/>
          <w:color w:val="auto"/>
        </w:rPr>
        <w:t xml:space="preserve">Kathy Mayerhofer </w:t>
      </w:r>
      <w:r>
        <w:rPr>
          <w:rFonts w:ascii="Arial" w:cs="Arial" w:eastAsia="Arial" w:hAnsi="Arial"/>
          <w:sz w:val="18"/>
          <w:szCs w:val="18"/>
          <w:color w:val="auto"/>
        </w:rPr>
        <w:t>has served as our Chief Sales Officer since February 2020, and previously served as our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Sales from 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178"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b w:val="1"/>
          <w:bCs w:val="1"/>
          <w:color w:val="auto"/>
        </w:rPr>
        <w:t xml:space="preserve">Laurence Zuriff </w:t>
      </w:r>
      <w:r>
        <w:rPr>
          <w:rFonts w:ascii="Arial" w:cs="Arial" w:eastAsia="Arial" w:hAnsi="Arial"/>
          <w:sz w:val="18"/>
          <w:szCs w:val="18"/>
          <w:color w:val="auto"/>
        </w:rPr>
        <w:t>is our co-founder and has served as our Chief Strategy Officer since April 2020, and as a member of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since our incorporation on May 29, 2013. Mr. Zuriff also continues to manage the investments for ZFI Capital (Zuriff Family Investments). He previously served as our Chief Financial Officer from September 2013 to April 2020. Mr. Zuriff received a B.A. in International Relations from Brown University and an M.A. in International Relations and International Economics from The John Hopkins University. We believe that Mr. Zuriff is qualified to serve on the board of directors because of his deep knowledge of our company and his industry experience.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Non-Employee Directors</w:t>
      </w:r>
    </w:p>
    <w:p>
      <w:pPr>
        <w:spacing w:after="0" w:line="208"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b w:val="1"/>
          <w:bCs w:val="1"/>
          <w:color w:val="auto"/>
        </w:rPr>
        <w:t xml:space="preserve">George Hornig </w:t>
      </w:r>
      <w:r>
        <w:rPr>
          <w:rFonts w:ascii="Arial" w:cs="Arial" w:eastAsia="Arial" w:hAnsi="Arial"/>
          <w:sz w:val="18"/>
          <w:szCs w:val="18"/>
          <w:color w:val="auto"/>
        </w:rPr>
        <w:t>has served as a member of our board of directors since October 2013 and as our Chairman of the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2021. Mr. Hornig serves as the Chairman and Founding Partner of The Seed Lab, an entrepreneur-led early-stage venture fund, a position he has held since November 2018. Mr. Hornig served as the Senior Managing Director and Chief Operating Officer of PineBridge Investments, a private, global asset manager, from November 2010 to December 2016. Mr. Hornig was the Chairman of the Audit Committee for KBL Merger Corp. IV from April 2017 to August 2020. From November 1996 to May 2018, Mr. Hornig served as Audit Committee Chairman of the Board of Forrester Research. Mr. Hornig received an A.B. in Economics from Harvard University, a J.D. from Harvard Law School and an M.B.A from Harvard Business School. We believe that Mr. Hornig is qualified to serve on the board of directors because of his experience in manufacturing, consumer products and outsourcing of business services.</w:t>
      </w:r>
    </w:p>
    <w:p>
      <w:pPr>
        <w:spacing w:after="0" w:line="184"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b w:val="1"/>
          <w:bCs w:val="1"/>
          <w:color w:val="auto"/>
        </w:rPr>
        <w:t xml:space="preserve">Emily Rollins </w:t>
      </w:r>
      <w:r>
        <w:rPr>
          <w:rFonts w:ascii="Arial" w:cs="Arial" w:eastAsia="Arial" w:hAnsi="Arial"/>
          <w:sz w:val="18"/>
          <w:szCs w:val="18"/>
          <w:color w:val="auto"/>
        </w:rPr>
        <w:t>has served as a member of our board of directors and as the chairperson of our audit committee since March 2021.</w:t>
      </w:r>
      <w:r>
        <w:rPr>
          <w:rFonts w:ascii="Arial" w:cs="Arial" w:eastAsia="Arial" w:hAnsi="Arial"/>
          <w:sz w:val="18"/>
          <w:szCs w:val="18"/>
          <w:b w:val="1"/>
          <w:bCs w:val="1"/>
          <w:color w:val="auto"/>
        </w:rPr>
        <w:t xml:space="preserve"> </w:t>
      </w:r>
      <w:r>
        <w:rPr>
          <w:rFonts w:ascii="Arial" w:cs="Arial" w:eastAsia="Arial" w:hAnsi="Arial"/>
          <w:sz w:val="18"/>
          <w:szCs w:val="18"/>
          <w:color w:val="auto"/>
        </w:rPr>
        <w:t>From September 1992 to September 2020, Ms. Rollins served in various positions at Deloitte &amp; Touche LLP including most recently as an Audit &amp; Assurance Partner, specializing in the technology, venture capital and life sciences industries. She currently serves on the board of Dolby Laboratories, Inc., a position she has held since February 2021. Ms. Rollins holds a B.A. in Accounting and International Relations from Claremont McKenna College. We believe that Ms. Rollins is qualified to serve on our board of directors due to her board and management experience with complex audit and reporting processes for technology and media companies.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80" w:firstLine="546"/>
        <w:spacing w:after="0" w:line="243" w:lineRule="auto"/>
        <w:rPr>
          <w:sz w:val="20"/>
          <w:szCs w:val="20"/>
          <w:color w:val="auto"/>
        </w:rPr>
      </w:pPr>
      <w:r>
        <w:rPr>
          <w:rFonts w:ascii="Arial" w:cs="Arial" w:eastAsia="Arial" w:hAnsi="Arial"/>
          <w:sz w:val="18"/>
          <w:szCs w:val="18"/>
          <w:b w:val="1"/>
          <w:bCs w:val="1"/>
          <w:color w:val="auto"/>
        </w:rPr>
        <w:t xml:space="preserve">Deborah Bial </w:t>
      </w:r>
      <w:r>
        <w:rPr>
          <w:rFonts w:ascii="Arial" w:cs="Arial" w:eastAsia="Arial" w:hAnsi="Arial"/>
          <w:sz w:val="18"/>
          <w:szCs w:val="18"/>
          <w:color w:val="auto"/>
        </w:rPr>
        <w:t>has served as a member of our board of directors since October 2020. Ms. Bial is the founder and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 Foundation, a youth leadership-development and college- success organization, a position she has held since 1989. Ms. Bial received a B.A. from Brandeis University and an Ed.M and Ed.D. from Harvard University. We believe that Ms. Bial is qualified to serve on the board of directors because of her extensive experience and leadership abilities.</w:t>
      </w:r>
    </w:p>
    <w:p>
      <w:pPr>
        <w:spacing w:after="0" w:line="178"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color w:val="auto"/>
        </w:rPr>
        <w:t xml:space="preserve">Craig Driscoll </w:t>
      </w:r>
      <w:r>
        <w:rPr>
          <w:rFonts w:ascii="Arial" w:cs="Arial" w:eastAsia="Arial" w:hAnsi="Arial"/>
          <w:sz w:val="18"/>
          <w:szCs w:val="18"/>
          <w:color w:val="auto"/>
        </w:rPr>
        <w:t>has served as a member of our board of directors since May 2019. Mr. Driscoll serves as General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Highland Capital Partners, a global venture capital firm, a position he has held since June 2017 and previously served as a Talent Partner from February 2006 to May 2017. In addition to serving on the board of Xometry, Mr. Driscoll serves on the board of directors of WhyHotel, an alternative hospitality service provider. Mr. Driscoll received a M.E. in Mechanical Engineering from Vanderbilt University. We believe that Mr. Driscoll is qualified to serve on the board of directors because of his experience in business development and team building experience building and advising companies from the earliest stages of growth.</w:t>
      </w:r>
    </w:p>
    <w:p>
      <w:pPr>
        <w:spacing w:after="0" w:line="181" w:lineRule="exact"/>
        <w:rPr>
          <w:sz w:val="20"/>
          <w:szCs w:val="20"/>
          <w:color w:val="auto"/>
        </w:rPr>
      </w:pPr>
    </w:p>
    <w:p>
      <w:pPr>
        <w:ind w:left="160" w:right="60" w:firstLine="546"/>
        <w:spacing w:after="0" w:line="238" w:lineRule="auto"/>
        <w:rPr>
          <w:sz w:val="20"/>
          <w:szCs w:val="20"/>
          <w:color w:val="auto"/>
        </w:rPr>
      </w:pPr>
      <w:r>
        <w:rPr>
          <w:rFonts w:ascii="Arial" w:cs="Arial" w:eastAsia="Arial" w:hAnsi="Arial"/>
          <w:sz w:val="18"/>
          <w:szCs w:val="18"/>
          <w:b w:val="1"/>
          <w:bCs w:val="1"/>
          <w:color w:val="auto"/>
        </w:rPr>
        <w:t xml:space="preserve">Fabio Rosati </w:t>
      </w:r>
      <w:r>
        <w:rPr>
          <w:rFonts w:ascii="Arial" w:cs="Arial" w:eastAsia="Arial" w:hAnsi="Arial"/>
          <w:sz w:val="18"/>
          <w:szCs w:val="18"/>
          <w:color w:val="auto"/>
        </w:rPr>
        <w:t>has served as a member of our board of directors since December 2017. Mr. Rosati is the Executive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Snagajob, a marketplace platform for connecting businesses with hourly workers, a position he has held since June 2019. He has been a member of the board of directors of Snagajob since 2017 and held the position of Chairman and acting CEO from July 2018 to May 2019. From May 2015 to July 2017 he served on the board of directors of Upwork, a position he held after serving as CEO from January 2014 to April 2015. Mr. Rosati is a board member of Smith.ai and Skysthelimit.org. Mr. Rosati received a B.S. in Finance and Accounting from Georgetown University. We believe that Mr. Rosati is qualified to serve on the board of directors because of his experience in the technology space.</w:t>
      </w:r>
    </w:p>
    <w:p>
      <w:pPr>
        <w:spacing w:after="0" w:line="181"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color w:val="auto"/>
        </w:rPr>
        <w:t xml:space="preserve">Katharine Weymouth </w:t>
      </w:r>
      <w:r>
        <w:rPr>
          <w:rFonts w:ascii="Arial" w:cs="Arial" w:eastAsia="Arial" w:hAnsi="Arial"/>
          <w:sz w:val="18"/>
          <w:szCs w:val="18"/>
          <w:color w:val="auto"/>
        </w:rPr>
        <w:t>has served as a member of our board of directors since October 2020. Ms. Weymouth is the Co-Founder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Senior Advisor of The Chef Market (formerly DineXpert), an on-demand platform for restaurants. Ms. Weymouth has been in this role since 2019 and has been with DineXpert since June of 2017. Ms. Weymouth was the Publisher and Chief Executive Officer of the Washington Post from February 2008 to September 2014. Since January 2015, Ms. Weymouth has served as a Trustee of the Philip L Graham Fund. Ms. Weymouth is a board member of Republic Services, Inc, Cable One, Inc., Sequoia Mutual Fund and The Graham Holdings Company. Ms. Weymouth received a B.A. in English Literature from Harvard University and a J.D. from Stanford Law School. We believe that Ms. Weymouth is qualified to serve on the board of directors because of her extensive executive and public company board experience.</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Nominee</w:t>
      </w:r>
    </w:p>
    <w:p>
      <w:pPr>
        <w:spacing w:after="0" w:line="208"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b w:val="1"/>
          <w:bCs w:val="1"/>
          <w:color w:val="auto"/>
        </w:rPr>
        <w:t xml:space="preserve">Ranjana Clark </w:t>
      </w:r>
      <w:r>
        <w:rPr>
          <w:rFonts w:ascii="Arial" w:cs="Arial" w:eastAsia="Arial" w:hAnsi="Arial"/>
          <w:sz w:val="18"/>
          <w:szCs w:val="18"/>
          <w:color w:val="auto"/>
        </w:rPr>
        <w:t>has been appointed as a member of our board of directors effective immediately after the consummation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Since July 2013, Ms. Clark has held a number of positions with Mitsubishi UFJ Financial Group, or MUFG, and is currently the Head of Global Transaction Banking, Head of Transaction Banking Americas, and Bay Area President. Prior to joining MUFG, Ms. Clark was the Chief Customer and Marketing Officer at PayPal from May 2011 to June 2013. Prior to that, Ms. Clark spent over 25 years in the financial services industry in roles spanning payments, marketing, strategy and business leadership. Ms. Clark currently serves on the board of directors of StanCorp Financial Group, Inc., a position she has held since July 2014. Ms. Clark received a B.A. from the University of Delhi, an M.B.A with an emphasis in Marketing from the Indian Institute of Management, Ahmedabad, and an M.B.A with an emphasis in Finance from Duke University’s Fuqua School of Business. We believe Ms. Clark is qualified to serve on our board of directors due to her extensive executive experience and deep knowledge of the financial services industry.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and, after the consummation of this offering, we will have nine directors. Six of our directors currently serve on the board of directors pursuant to the provisions of a voting agreement between us and several of our stockholders.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04"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10" w:lineRule="exact"/>
        <w:rPr>
          <w:sz w:val="20"/>
          <w:szCs w:val="20"/>
          <w:color w:val="auto"/>
        </w:rPr>
      </w:pPr>
    </w:p>
    <w:p>
      <w:pPr>
        <w:ind w:left="920" w:right="420" w:hanging="218"/>
        <w:spacing w:after="0" w:line="239"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 directors will be Randolph Altschuler, Deborah Bial and Craig Driscoll, whose terms will expire at the first annual meeting of stockholders to be held in 2022;</w:t>
      </w:r>
    </w:p>
    <w:p>
      <w:pPr>
        <w:spacing w:after="0" w:line="109" w:lineRule="exact"/>
        <w:rPr>
          <w:rFonts w:ascii="Arial" w:cs="Arial" w:eastAsia="Arial" w:hAnsi="Arial"/>
          <w:sz w:val="18"/>
          <w:szCs w:val="18"/>
          <w:color w:val="auto"/>
        </w:rPr>
      </w:pPr>
    </w:p>
    <w:p>
      <w:pPr>
        <w:ind w:left="920" w:right="520" w:hanging="218"/>
        <w:spacing w:after="0" w:line="239"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II directors will be George Hornig, Fabio Rosati and Katharine Weymouth, whose terms will expire at the second annual meeting of stockholders to be held in 2023; and</w:t>
      </w:r>
    </w:p>
    <w:p>
      <w:pPr>
        <w:spacing w:after="0" w:line="109"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III director will be Ranjana Clark, Emily Rollins and Laurence Zuriff, whose terms will expire at the third annual meeting of stockholders to be held in 2024.</w:t>
      </w:r>
    </w:p>
    <w:p>
      <w:pPr>
        <w:spacing w:after="0" w:line="20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Director Independence</w:t>
      </w:r>
    </w:p>
    <w:p>
      <w:pPr>
        <w:spacing w:after="0" w:line="230"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her or his background, employment and affiliations, our board of directors has determined that none of our directors, other than Mr. Altschuler and Mr. Zuriff, has any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Our board of directors has established an audit committee and a compensation committee, and will establish a nominating and corporate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6" w:right="5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3" w:lineRule="exact"/>
        <w:rPr>
          <w:sz w:val="20"/>
          <w:szCs w:val="20"/>
          <w:color w:val="auto"/>
        </w:rPr>
      </w:pPr>
    </w:p>
    <w:p>
      <w:pPr>
        <w:ind w:left="160" w:right="20" w:firstLine="546"/>
        <w:spacing w:after="0" w:line="232" w:lineRule="auto"/>
        <w:rPr>
          <w:sz w:val="20"/>
          <w:szCs w:val="20"/>
          <w:color w:val="auto"/>
        </w:rPr>
      </w:pPr>
      <w:r>
        <w:rPr>
          <w:rFonts w:ascii="Arial" w:cs="Arial" w:eastAsia="Arial" w:hAnsi="Arial"/>
          <w:sz w:val="18"/>
          <w:szCs w:val="18"/>
          <w:color w:val="auto"/>
        </w:rPr>
        <w:t>Our audit committee consists of George Hornig, Emily Rollins and Katharine Weymouth. Our board of directors has determined that each of Mr. Hornig, Ms. Rollins and Ms. Weymouth satisfies the independence requirements under Nasdaq listing standards and</w:t>
      </w:r>
    </w:p>
    <w:p>
      <w:pPr>
        <w:spacing w:after="0" w:line="1" w:lineRule="exact"/>
        <w:rPr>
          <w:sz w:val="20"/>
          <w:szCs w:val="20"/>
          <w:color w:val="auto"/>
        </w:rPr>
      </w:pPr>
    </w:p>
    <w:p>
      <w:pPr>
        <w:ind w:left="160" w:right="160"/>
        <w:spacing w:after="0" w:line="253" w:lineRule="auto"/>
        <w:rPr>
          <w:sz w:val="20"/>
          <w:szCs w:val="20"/>
          <w:color w:val="auto"/>
        </w:rPr>
      </w:pPr>
      <w:r>
        <w:rPr>
          <w:rFonts w:ascii="Arial" w:cs="Arial" w:eastAsia="Arial" w:hAnsi="Arial"/>
          <w:sz w:val="17"/>
          <w:szCs w:val="17"/>
          <w:color w:val="auto"/>
        </w:rPr>
        <w:t>Rule 10A-3(b)(1) of the Exchange Act. The chair of our audit committee is Emily Rollins,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92" w:lineRule="exact"/>
        <w:rPr>
          <w:sz w:val="20"/>
          <w:szCs w:val="20"/>
          <w:color w:val="auto"/>
        </w:rPr>
      </w:pPr>
    </w:p>
    <w:p>
      <w:pPr>
        <w:ind w:left="160" w:right="420" w:firstLine="546"/>
        <w:spacing w:after="0" w:line="237"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09" w:lineRule="exact"/>
        <w:rPr>
          <w:sz w:val="20"/>
          <w:szCs w:val="20"/>
          <w:color w:val="auto"/>
        </w:rPr>
      </w:pPr>
    </w:p>
    <w:p>
      <w:pPr>
        <w:ind w:left="920" w:hanging="218"/>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3" w:lineRule="exact"/>
        <w:rPr>
          <w:rFonts w:ascii="Arial" w:cs="Arial" w:eastAsia="Arial" w:hAnsi="Arial"/>
          <w:sz w:val="18"/>
          <w:szCs w:val="18"/>
          <w:color w:val="auto"/>
        </w:rPr>
      </w:pPr>
    </w:p>
    <w:p>
      <w:pPr>
        <w:ind w:left="920" w:right="86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09" w:lineRule="exact"/>
        <w:rPr>
          <w:rFonts w:ascii="Arial" w:cs="Arial" w:eastAsia="Arial" w:hAnsi="Arial"/>
          <w:sz w:val="18"/>
          <w:szCs w:val="18"/>
          <w:color w:val="auto"/>
        </w:rPr>
      </w:pPr>
    </w:p>
    <w:p>
      <w:pPr>
        <w:ind w:left="920" w:right="74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3" w:lineRule="exact"/>
        <w:rPr>
          <w:rFonts w:ascii="Arial" w:cs="Arial" w:eastAsia="Arial" w:hAnsi="Arial"/>
          <w:sz w:val="18"/>
          <w:szCs w:val="18"/>
          <w:color w:val="auto"/>
        </w:rPr>
      </w:pPr>
    </w:p>
    <w:p>
      <w:pPr>
        <w:jc w:val="both"/>
        <w:ind w:left="920" w:hanging="218"/>
        <w:spacing w:after="0" w:line="237"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08" w:lineRule="exact"/>
        <w:rPr>
          <w:rFonts w:ascii="Arial" w:cs="Arial" w:eastAsia="Arial" w:hAnsi="Arial"/>
          <w:sz w:val="18"/>
          <w:szCs w:val="18"/>
          <w:color w:val="auto"/>
        </w:rPr>
      </w:pPr>
    </w:p>
    <w:p>
      <w:pPr>
        <w:ind w:left="920" w:right="76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203" w:lineRule="exact"/>
        <w:rPr>
          <w:sz w:val="20"/>
          <w:szCs w:val="20"/>
          <w:color w:val="auto"/>
        </w:rPr>
      </w:pPr>
    </w:p>
    <w:p>
      <w:pPr>
        <w:ind w:left="160" w:right="420" w:firstLine="546"/>
        <w:spacing w:after="0" w:line="239"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The Nasdaq Global Select Market.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3" w:lineRule="exact"/>
        <w:rPr>
          <w:sz w:val="20"/>
          <w:szCs w:val="20"/>
          <w:color w:val="auto"/>
        </w:rPr>
      </w:pPr>
    </w:p>
    <w:p>
      <w:pPr>
        <w:ind w:left="160" w:right="20" w:firstLine="546"/>
        <w:spacing w:after="0" w:line="257" w:lineRule="auto"/>
        <w:rPr>
          <w:sz w:val="20"/>
          <w:szCs w:val="20"/>
          <w:color w:val="auto"/>
        </w:rPr>
      </w:pPr>
      <w:r>
        <w:rPr>
          <w:rFonts w:ascii="Arial" w:cs="Arial" w:eastAsia="Arial" w:hAnsi="Arial"/>
          <w:sz w:val="17"/>
          <w:szCs w:val="17"/>
          <w:color w:val="auto"/>
        </w:rPr>
        <w:t>Our compensation committee consists of Deborah Bial, Craig Driscoll, George Hornig and Fabio Rosati. The chair of our compensation committee is Mr. Rosati. Our board of directors has determined that each of Ms. Bial, Mr. Driscoll, Mr. Hornig and Mr. Rosati is independent under Nasdaq listing standards, a “non-employee director” as defined in Rule 16b-3 promulgated under the Exchange Act.</w:t>
      </w:r>
    </w:p>
    <w:p>
      <w:pPr>
        <w:spacing w:after="0" w:line="188"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09" w:lineRule="exact"/>
        <w:rPr>
          <w:sz w:val="20"/>
          <w:szCs w:val="20"/>
          <w:color w:val="auto"/>
        </w:rPr>
      </w:pPr>
    </w:p>
    <w:p>
      <w:pPr>
        <w:ind w:left="92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w:t>
      </w:r>
    </w:p>
    <w:p>
      <w:pPr>
        <w:spacing w:after="0" w:line="140"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evaluating and recommending to our board of directors succession plans for our executive officers;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3" w:lineRule="exact"/>
        <w:rPr>
          <w:rFonts w:ascii="Arial" w:cs="Arial" w:eastAsia="Arial" w:hAnsi="Arial"/>
          <w:sz w:val="18"/>
          <w:szCs w:val="18"/>
          <w:color w:val="auto"/>
        </w:rPr>
      </w:pPr>
    </w:p>
    <w:p>
      <w:pPr>
        <w:ind w:left="920" w:hanging="218"/>
        <w:spacing w:after="0" w:line="237"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08" w:lineRule="exact"/>
        <w:rPr>
          <w:rFonts w:ascii="Arial" w:cs="Arial" w:eastAsia="Arial" w:hAnsi="Arial"/>
          <w:sz w:val="18"/>
          <w:szCs w:val="18"/>
          <w:color w:val="auto"/>
        </w:rPr>
      </w:pPr>
    </w:p>
    <w:p>
      <w:pPr>
        <w:ind w:left="920" w:right="660" w:hanging="218"/>
        <w:spacing w:after="0" w:line="239"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203" w:lineRule="exact"/>
        <w:rPr>
          <w:sz w:val="20"/>
          <w:szCs w:val="20"/>
          <w:color w:val="auto"/>
        </w:rPr>
      </w:pPr>
    </w:p>
    <w:p>
      <w:pPr>
        <w:ind w:left="160" w:right="660" w:firstLine="546"/>
        <w:spacing w:after="0" w:line="239"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The Nasdaq Global Select Market.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3" w:lineRule="exact"/>
        <w:rPr>
          <w:sz w:val="20"/>
          <w:szCs w:val="20"/>
          <w:color w:val="auto"/>
        </w:rPr>
      </w:pPr>
    </w:p>
    <w:p>
      <w:pPr>
        <w:ind w:left="160" w:right="40" w:firstLine="546"/>
        <w:spacing w:after="0" w:line="257" w:lineRule="auto"/>
        <w:rPr>
          <w:sz w:val="20"/>
          <w:szCs w:val="20"/>
          <w:color w:val="auto"/>
        </w:rPr>
      </w:pPr>
      <w:r>
        <w:rPr>
          <w:rFonts w:ascii="Arial" w:cs="Arial" w:eastAsia="Arial" w:hAnsi="Arial"/>
          <w:sz w:val="17"/>
          <w:szCs w:val="17"/>
          <w:color w:val="auto"/>
        </w:rPr>
        <w:t>Our nominating and corporate governance committee will consist of Deborah Bial, Ranjana Clark, Fabio Rosati and Katharine Weymouth. The chair of our nominating and corporate governance committee will be Ms. Weymouth. Our board of directors has determined that each member of the nominating and corporate governance committee is independent under the Nasdaq listing standards.</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114" w:lineRule="exact"/>
        <w:rPr>
          <w:sz w:val="20"/>
          <w:szCs w:val="20"/>
          <w:color w:val="auto"/>
        </w:rPr>
      </w:pPr>
    </w:p>
    <w:p>
      <w:pPr>
        <w:ind w:left="920" w:right="1140" w:hanging="218"/>
        <w:spacing w:after="0" w:line="239"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09" w:lineRule="exact"/>
        <w:rPr>
          <w:rFonts w:ascii="Arial" w:cs="Arial" w:eastAsia="Arial" w:hAnsi="Arial"/>
          <w:sz w:val="18"/>
          <w:szCs w:val="18"/>
          <w:color w:val="auto"/>
        </w:rPr>
      </w:pPr>
    </w:p>
    <w:p>
      <w:pPr>
        <w:ind w:left="920" w:right="800" w:hanging="218"/>
        <w:spacing w:after="0" w:line="239"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25" w:lineRule="exact"/>
        <w:rPr>
          <w:rFonts w:ascii="Arial" w:cs="Arial" w:eastAsia="Arial" w:hAnsi="Arial"/>
          <w:sz w:val="17"/>
          <w:szCs w:val="17"/>
          <w:color w:val="auto"/>
        </w:rPr>
      </w:pPr>
    </w:p>
    <w:p>
      <w:pPr>
        <w:ind w:left="920" w:hanging="218"/>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08"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The Nasdaq Global Select Market.</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Code of Conduct</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www.xometry.com.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6"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color w:val="auto"/>
        </w:rPr>
        <w:t>through, our website is not incorporated by reference into this prospectus, and you should not consider information on our website to be part of this prospectus.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0" w:lineRule="exact"/>
        <w:rPr>
          <w:sz w:val="20"/>
          <w:szCs w:val="20"/>
          <w:color w:val="auto"/>
        </w:rPr>
      </w:pPr>
    </w:p>
    <w:p>
      <w:pPr>
        <w:ind w:left="160" w:right="20" w:firstLine="546"/>
        <w:spacing w:after="0" w:line="257"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Non-Employee Director Compensation</w:t>
      </w:r>
    </w:p>
    <w:p>
      <w:pPr>
        <w:spacing w:after="0" w:line="230" w:lineRule="exact"/>
        <w:rPr>
          <w:sz w:val="20"/>
          <w:szCs w:val="20"/>
          <w:color w:val="auto"/>
        </w:rPr>
      </w:pPr>
    </w:p>
    <w:p>
      <w:pPr>
        <w:ind w:left="160" w:right="200" w:firstLine="546"/>
        <w:spacing w:after="0" w:line="235" w:lineRule="auto"/>
        <w:rPr>
          <w:sz w:val="20"/>
          <w:szCs w:val="20"/>
          <w:color w:val="auto"/>
        </w:rPr>
      </w:pPr>
      <w:r>
        <w:rPr>
          <w:rFonts w:ascii="Arial" w:cs="Arial" w:eastAsia="Arial" w:hAnsi="Arial"/>
          <w:sz w:val="18"/>
          <w:szCs w:val="18"/>
          <w:color w:val="auto"/>
        </w:rPr>
        <w:t>During the year ended December 31, 2020, we did not pay compensation to any of our non-employee directors for service on our board of directors, other than as described below. While we have not had a formal director compensation policy prior to this offering, in connection with the appointments of Ms. Bial and Ms. Weymouth to our board of directors in 2020, we granted stock options to each of them, as further described below. We have reimbursed and will continue to reimburse all of our non-employee directors for their reasonable out-of-pocket expenses incurred in attending board of directors and committee meetings.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Non-Employee Director Compensation Table</w:t>
      </w:r>
    </w:p>
    <w:p>
      <w:pPr>
        <w:spacing w:after="0" w:line="123"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The following table sets forth information regarding compensation earned by or paid to our non-employee directors for the year ended December 31, 2020:</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300" w:type="dxa"/>
            <w:vAlign w:val="bottom"/>
            <w:vMerge w:val="restart"/>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Fees Earned or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0" w:type="dxa"/>
            <w:vAlign w:val="bottom"/>
            <w:tcBorders>
              <w:bottom w:val="single" w:sz="8" w:color="auto"/>
            </w:tcBorders>
            <w:vMerge w:val="continue"/>
          </w:tcPr>
          <w:p>
            <w:pPr>
              <w:spacing w:after="0"/>
              <w:rPr>
                <w:sz w:val="15"/>
                <w:szCs w:val="15"/>
                <w:color w:val="auto"/>
              </w:rPr>
            </w:pPr>
          </w:p>
        </w:tc>
        <w:tc>
          <w:tcPr>
            <w:tcW w:w="6300" w:type="dxa"/>
            <w:vAlign w:val="bottom"/>
            <w:vMerge w:val="continue"/>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 in Cash</w:t>
            </w:r>
          </w:p>
        </w:tc>
        <w:tc>
          <w:tcPr>
            <w:tcW w:w="780" w:type="dxa"/>
            <w:vAlign w:val="bottom"/>
          </w:tcPr>
          <w:p>
            <w:pPr>
              <w:spacing w:after="0"/>
              <w:rPr>
                <w:sz w:val="15"/>
                <w:szCs w:val="15"/>
                <w:color w:val="auto"/>
              </w:rPr>
            </w:pPr>
          </w:p>
        </w:tc>
        <w:tc>
          <w:tcPr>
            <w:tcW w:w="1580" w:type="dxa"/>
            <w:vAlign w:val="bottom"/>
            <w:gridSpan w:val="3"/>
          </w:tcPr>
          <w:p>
            <w:pPr>
              <w:spacing w:after="0" w:line="164"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(1)(2)</w:t>
            </w:r>
          </w:p>
        </w:tc>
        <w:tc>
          <w:tcPr>
            <w:tcW w:w="1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7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George Hornig</w:t>
            </w:r>
          </w:p>
        </w:tc>
        <w:tc>
          <w:tcPr>
            <w:tcW w:w="44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20"/>
              <w:spacing w:after="0" w:line="188"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ind w:left="420"/>
              <w:spacing w:after="0" w:line="188"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380"/>
              <w:spacing w:after="0" w:line="188"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00" w:type="dxa"/>
            <w:vAlign w:val="bottom"/>
            <w:gridSpan w:val="2"/>
          </w:tcPr>
          <w:p>
            <w:pPr>
              <w:spacing w:after="0" w:line="201" w:lineRule="exact"/>
              <w:rPr>
                <w:sz w:val="20"/>
                <w:szCs w:val="20"/>
                <w:color w:val="auto"/>
              </w:rPr>
            </w:pPr>
            <w:r>
              <w:rPr>
                <w:rFonts w:ascii="Arial" w:cs="Arial" w:eastAsia="Arial" w:hAnsi="Arial"/>
                <w:sz w:val="18"/>
                <w:szCs w:val="18"/>
                <w:color w:val="auto"/>
              </w:rPr>
              <w:t>Emily Rollins</w:t>
            </w:r>
            <w:r>
              <w:rPr>
                <w:rFonts w:ascii="Arial" w:cs="Arial" w:eastAsia="Arial" w:hAnsi="Arial"/>
                <w:sz w:val="15"/>
                <w:szCs w:val="15"/>
                <w:color w:val="auto"/>
              </w:rPr>
              <w:t>(3)</w:t>
            </w:r>
          </w:p>
        </w:tc>
        <w:tc>
          <w:tcPr>
            <w:tcW w:w="440" w:type="dxa"/>
            <w:vAlign w:val="bottom"/>
          </w:tcPr>
          <w:p>
            <w:pPr>
              <w:spacing w:after="0"/>
              <w:rPr>
                <w:sz w:val="17"/>
                <w:szCs w:val="17"/>
                <w:color w:val="auto"/>
              </w:rPr>
            </w:pPr>
          </w:p>
        </w:tc>
        <w:tc>
          <w:tcPr>
            <w:tcW w:w="60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Deborah Bial</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312,200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312,200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00" w:type="dxa"/>
            <w:vAlign w:val="bottom"/>
            <w:gridSpan w:val="2"/>
          </w:tcPr>
          <w:p>
            <w:pPr>
              <w:spacing w:after="0" w:line="201" w:lineRule="exact"/>
              <w:rPr>
                <w:sz w:val="20"/>
                <w:szCs w:val="20"/>
                <w:color w:val="auto"/>
              </w:rPr>
            </w:pPr>
            <w:r>
              <w:rPr>
                <w:rFonts w:ascii="Arial" w:cs="Arial" w:eastAsia="Arial" w:hAnsi="Arial"/>
                <w:sz w:val="18"/>
                <w:szCs w:val="18"/>
                <w:color w:val="auto"/>
              </w:rPr>
              <w:t>Craig Driscoll</w:t>
            </w:r>
          </w:p>
        </w:tc>
        <w:tc>
          <w:tcPr>
            <w:tcW w:w="440" w:type="dxa"/>
            <w:vAlign w:val="bottom"/>
          </w:tcPr>
          <w:p>
            <w:pPr>
              <w:spacing w:after="0"/>
              <w:rPr>
                <w:sz w:val="17"/>
                <w:szCs w:val="17"/>
                <w:color w:val="auto"/>
              </w:rPr>
            </w:pPr>
          </w:p>
        </w:tc>
        <w:tc>
          <w:tcPr>
            <w:tcW w:w="60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Fabio Rosati</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700" w:type="dxa"/>
            <w:vAlign w:val="bottom"/>
            <w:gridSpan w:val="2"/>
          </w:tcPr>
          <w:p>
            <w:pPr>
              <w:spacing w:after="0"/>
              <w:rPr>
                <w:sz w:val="20"/>
                <w:szCs w:val="20"/>
                <w:color w:val="auto"/>
              </w:rPr>
            </w:pPr>
            <w:r>
              <w:rPr>
                <w:rFonts w:ascii="Arial" w:cs="Arial" w:eastAsia="Arial" w:hAnsi="Arial"/>
                <w:sz w:val="18"/>
                <w:szCs w:val="18"/>
                <w:color w:val="auto"/>
              </w:rPr>
              <w:t>Katharine Weymouth</w:t>
            </w:r>
          </w:p>
        </w:tc>
        <w:tc>
          <w:tcPr>
            <w:tcW w:w="4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312,200</w:t>
            </w:r>
          </w:p>
        </w:tc>
        <w:tc>
          <w:tcPr>
            <w:tcW w:w="1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5"/>
              </w:rPr>
              <w:t>312,200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9" w:lineRule="exact"/>
        <w:rPr>
          <w:sz w:val="20"/>
          <w:szCs w:val="20"/>
          <w:color w:val="auto"/>
        </w:rPr>
      </w:pPr>
    </w:p>
    <w:p>
      <w:pPr>
        <w:ind w:left="600" w:right="20" w:hanging="433"/>
        <w:spacing w:after="0" w:line="239"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reported represent the aggregate grant date fair value of stock options granted to our directors during 2020 under our 2016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ind w:left="600" w:right="140" w:hanging="433"/>
        <w:spacing w:after="0" w:line="25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following table provides information regarding the number of shares of our Class A common stock underlying options granted to our non-employee directors that were outstanding as of December 31, 2020.</w:t>
      </w:r>
    </w:p>
    <w:p>
      <w:pPr>
        <w:spacing w:after="0" w:line="8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640" w:type="dxa"/>
            <w:vAlign w:val="bottom"/>
            <w:vMerge w:val="restart"/>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400" w:type="dxa"/>
            <w:vAlign w:val="bottom"/>
            <w:tcBorders>
              <w:bottom w:val="single" w:sz="8" w:color="auto"/>
            </w:tcBorders>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70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George Hornig</w:t>
            </w: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40" w:type="dxa"/>
            <w:vAlign w:val="bottom"/>
            <w:gridSpan w:val="2"/>
            <w:vMerge w:val="continue"/>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tcPr>
          <w:p>
            <w:pPr>
              <w:spacing w:after="0"/>
              <w:rPr>
                <w:sz w:val="20"/>
                <w:szCs w:val="20"/>
                <w:color w:val="auto"/>
              </w:rPr>
            </w:pPr>
            <w:r>
              <w:rPr>
                <w:rFonts w:ascii="Arial" w:cs="Arial" w:eastAsia="Arial" w:hAnsi="Arial"/>
                <w:sz w:val="14"/>
                <w:szCs w:val="14"/>
                <w:color w:val="auto"/>
              </w:rPr>
              <w:t>Emily Rollins</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Deborah Bial</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60"/>
        </w:trPr>
        <w:tc>
          <w:tcPr>
            <w:tcW w:w="7040" w:type="dxa"/>
            <w:vAlign w:val="bottom"/>
            <w:gridSpan w:val="2"/>
          </w:tcPr>
          <w:p>
            <w:pPr>
              <w:spacing w:after="0"/>
              <w:rPr>
                <w:sz w:val="20"/>
                <w:szCs w:val="20"/>
                <w:color w:val="auto"/>
              </w:rPr>
            </w:pPr>
            <w:r>
              <w:rPr>
                <w:rFonts w:ascii="Arial" w:cs="Arial" w:eastAsia="Arial" w:hAnsi="Arial"/>
                <w:sz w:val="14"/>
                <w:szCs w:val="14"/>
                <w:color w:val="auto"/>
              </w:rPr>
              <w:t>Craig Driscoll</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Fabio Rosati</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26,628</w:t>
            </w:r>
          </w:p>
        </w:tc>
        <w:tc>
          <w:tcPr>
            <w:tcW w:w="0" w:type="dxa"/>
            <w:vAlign w:val="bottom"/>
          </w:tcPr>
          <w:p>
            <w:pPr>
              <w:spacing w:after="0"/>
              <w:rPr>
                <w:sz w:val="1"/>
                <w:szCs w:val="1"/>
                <w:color w:val="auto"/>
              </w:rPr>
            </w:pPr>
          </w:p>
        </w:tc>
      </w:tr>
      <w:tr>
        <w:trPr>
          <w:trHeight w:val="176"/>
        </w:trPr>
        <w:tc>
          <w:tcPr>
            <w:tcW w:w="7040" w:type="dxa"/>
            <w:vAlign w:val="bottom"/>
            <w:gridSpan w:val="2"/>
          </w:tcPr>
          <w:p>
            <w:pPr>
              <w:spacing w:after="0"/>
              <w:rPr>
                <w:sz w:val="20"/>
                <w:szCs w:val="20"/>
                <w:color w:val="auto"/>
              </w:rPr>
            </w:pPr>
            <w:r>
              <w:rPr>
                <w:rFonts w:ascii="Arial" w:cs="Arial" w:eastAsia="Arial" w:hAnsi="Arial"/>
                <w:sz w:val="14"/>
                <w:szCs w:val="14"/>
                <w:color w:val="auto"/>
              </w:rPr>
              <w:t>Katharine Weymouth</w:t>
            </w:r>
          </w:p>
        </w:tc>
        <w:tc>
          <w:tcPr>
            <w:tcW w:w="1240" w:type="dxa"/>
            <w:vAlign w:val="bottom"/>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Ms. Rollins joined our board in March 2021.</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In October 2020, in connection with their commencement of services, we granted each of Ms. Bial and Ms. Weymouth stock options to purchase 70,000 shares of our Class A common stock, with an exercise price of $4.46 per share. Each option vests in 48 equal monthly installments, commencing on September 26, 2020, subject to the director’s continuous service with us. In the event of a change in control of our company, the options will vest in full, subject to the director’s continuous service through such date.</w:t>
      </w:r>
    </w:p>
    <w:p>
      <w:pPr>
        <w:spacing w:after="0" w:line="202"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In February 2021, in connection with her commencement of services, we granted Ms. Rollins stock options to purchase 70,000 shares of our Class A common stock, with an exercise price of $12.32 per share. Each option vests in 48 equal monthly installments, commencing on March 2, 2021, subject to the Ms. Rollins’ continuous service with us. In the event of a change in control of our company, the options will vest in full, subject to Ms. Rollins’ continuous service through such date.</w:t>
      </w:r>
    </w:p>
    <w:p>
      <w:pPr>
        <w:spacing w:after="0" w:line="202" w:lineRule="exact"/>
        <w:rPr>
          <w:sz w:val="20"/>
          <w:szCs w:val="20"/>
          <w:color w:val="auto"/>
        </w:rPr>
      </w:pPr>
    </w:p>
    <w:p>
      <w:pPr>
        <w:ind w:left="160" w:right="40" w:firstLine="546"/>
        <w:spacing w:after="0" w:line="250" w:lineRule="auto"/>
        <w:rPr>
          <w:sz w:val="20"/>
          <w:szCs w:val="20"/>
          <w:color w:val="auto"/>
        </w:rPr>
      </w:pPr>
      <w:r>
        <w:rPr>
          <w:rFonts w:ascii="Arial" w:cs="Arial" w:eastAsia="Arial" w:hAnsi="Arial"/>
          <w:sz w:val="17"/>
          <w:szCs w:val="17"/>
          <w:color w:val="auto"/>
        </w:rPr>
        <w:t>In June 2021, Ranjana Clark was appointed as a member of our board of directors effective immediately after the consummation of this offering. In connection with her commencement of services and effective upon the consummation of this offering, our board granted Ms. Clark restricted stock units, or RSUs, under our 2021 Plan, representing a contingent right to receive shares of our Class A common stock with an aggregate value of $100,000, with the number of shares to be determined using the initial public offering price. Based on an assumed initial public offering price of $40.00 per share, the midpoint of the estimated pricing range set forth on the cover page of this prospectus, the RSUs to be granted to Ms. Clark will represent a contingent right to receive 2,500 shares of our Class A common stock.</w:t>
      </w:r>
    </w:p>
    <w:p>
      <w:pPr>
        <w:spacing w:after="0" w:line="196" w:lineRule="exact"/>
        <w:rPr>
          <w:sz w:val="20"/>
          <w:szCs w:val="20"/>
          <w:color w:val="auto"/>
        </w:rPr>
      </w:pPr>
    </w:p>
    <w:p>
      <w:pPr>
        <w:jc w:val="both"/>
        <w:ind w:left="160" w:right="80" w:firstLine="546"/>
        <w:spacing w:after="0" w:line="237" w:lineRule="auto"/>
        <w:rPr>
          <w:sz w:val="20"/>
          <w:szCs w:val="20"/>
          <w:color w:val="auto"/>
        </w:rPr>
      </w:pPr>
      <w:r>
        <w:rPr>
          <w:rFonts w:ascii="Arial" w:cs="Arial" w:eastAsia="Arial" w:hAnsi="Arial"/>
          <w:sz w:val="18"/>
          <w:szCs w:val="18"/>
          <w:color w:val="auto"/>
        </w:rPr>
        <w:t>Each of Mr. Altschuler, our co-founder and Chief Executive Officer, and Mr. Zuriff, our co-founder and Chief Strategy Officer, is also a director but does not receive any additional compensation for his service as a director. See the section titled “Executive Compensation” for more information regarding the compensation earned by these executive officers.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23"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Our board of directors adopted a non-employee director compensation policy that will become effective upon the execution and delivery of the underwriting agreement related to this offering, or the effective date, and that is applicable to all of our non-employee directors. This compensation policy provides that each such non-employee director will receive the following compensation for service on our board of directors:</w:t>
      </w:r>
    </w:p>
    <w:p>
      <w:pPr>
        <w:spacing w:after="0" w:line="109" w:lineRule="exact"/>
        <w:rPr>
          <w:sz w:val="20"/>
          <w:szCs w:val="20"/>
          <w:color w:val="auto"/>
        </w:rPr>
      </w:pPr>
    </w:p>
    <w:p>
      <w:pPr>
        <w:ind w:left="920" w:hanging="218"/>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annual cash retainer of $35,000;</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annual cash retainer of $40,000 for service as independent chair of the board of directors;</w:t>
      </w:r>
    </w:p>
    <w:p>
      <w:pPr>
        <w:spacing w:after="0" w:line="113" w:lineRule="exact"/>
        <w:rPr>
          <w:rFonts w:ascii="Arial" w:cs="Arial" w:eastAsia="Arial" w:hAnsi="Arial"/>
          <w:sz w:val="18"/>
          <w:szCs w:val="18"/>
          <w:color w:val="auto"/>
        </w:rPr>
      </w:pPr>
    </w:p>
    <w:p>
      <w:pPr>
        <w:ind w:left="920" w:right="120" w:hanging="218"/>
        <w:spacing w:after="0" w:line="239"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annual cash retainer of $9,000, $5,000 and $3,000 for service as a member of the audit committee, compensation committee and the nominating and corporate governance committee, respectively;</w:t>
      </w:r>
    </w:p>
    <w:p>
      <w:pPr>
        <w:spacing w:after="0" w:line="109" w:lineRule="exact"/>
        <w:rPr>
          <w:rFonts w:ascii="Arial" w:cs="Arial" w:eastAsia="Arial" w:hAnsi="Arial"/>
          <w:sz w:val="18"/>
          <w:szCs w:val="18"/>
          <w:color w:val="auto"/>
        </w:rPr>
      </w:pPr>
    </w:p>
    <w:p>
      <w:pPr>
        <w:ind w:left="920" w:right="560" w:hanging="218"/>
        <w:spacing w:after="0" w:line="237"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annual cash retainer of $18,000, $10,000 and $6,000 for service as chair of the audit committee, chair of the compensation committee and chair of the nominating and corporate governance committee, respectively (in lieu of the committee member retainer above);</w:t>
      </w:r>
    </w:p>
    <w:p>
      <w:pPr>
        <w:spacing w:after="0" w:line="108" w:lineRule="exact"/>
        <w:rPr>
          <w:rFonts w:ascii="Arial" w:cs="Arial" w:eastAsia="Arial" w:hAnsi="Arial"/>
          <w:sz w:val="18"/>
          <w:szCs w:val="18"/>
          <w:color w:val="auto"/>
        </w:rPr>
      </w:pPr>
    </w:p>
    <w:p>
      <w:pPr>
        <w:ind w:left="920" w:right="120" w:hanging="218"/>
        <w:spacing w:after="0" w:line="239"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initial RSU award, or initial RSU award, granted upon a director’s initial election or appointment to the board, vesting in three equal annual installments; and</w:t>
      </w:r>
    </w:p>
    <w:p>
      <w:pPr>
        <w:spacing w:after="0" w:line="109" w:lineRule="exact"/>
        <w:rPr>
          <w:rFonts w:ascii="Arial" w:cs="Arial" w:eastAsia="Arial" w:hAnsi="Arial"/>
          <w:sz w:val="18"/>
          <w:szCs w:val="18"/>
          <w:color w:val="auto"/>
        </w:rPr>
      </w:pPr>
    </w:p>
    <w:p>
      <w:pPr>
        <w:ind w:left="920" w:right="300" w:hanging="218"/>
        <w:spacing w:after="0" w:line="237"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annual RSU award, or refresher RSU award, granted as of January 1 of each year after the effective date to each non-employee director who continues to serve on such date. Such refresher RSU awards will have an aggregate grant date value equal to $130,000, and will vest on the first anniversary of their grant date.</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Each of the RSU awards described above will be granted under our 2021 Plan, the terms of which are described in more detail below under “Executive Compensation—Equity Incentive Plans—2021 Equity Incentive Plan.” Each such RSU award will vest subject to the director’s continuous service with us, provided that each RSU award will vest in full upon a change in control of the company.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60"/>
          </w:cols>
          <w:pgMar w:left="320" w:top="456" w:right="5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30"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Our named executive officers, consisting of our principal executive officer and the next two most highly compensated executive officers, as of December 31, 2020, were:</w:t>
      </w:r>
    </w:p>
    <w:p>
      <w:pPr>
        <w:spacing w:after="0" w:line="109" w:lineRule="exact"/>
        <w:rPr>
          <w:sz w:val="20"/>
          <w:szCs w:val="20"/>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Randolph Altschuler, our Co-Founder and Chief Executive Officer;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James Rallo, our Chief Financial Officer;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Peter Goguen, our Chief Operating Officer.</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2020 Summary Compensation Table</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year ended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Non-Equity</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Incentive Plan</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6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Name and Principal Position</w:t>
            </w:r>
          </w:p>
        </w:tc>
        <w:tc>
          <w:tcPr>
            <w:tcW w:w="96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Salary</w:t>
            </w:r>
          </w:p>
        </w:tc>
        <w:tc>
          <w:tcPr>
            <w:tcW w:w="1140" w:type="dxa"/>
            <w:vAlign w:val="bottom"/>
            <w:gridSpan w:val="2"/>
          </w:tcPr>
          <w:p>
            <w:pPr>
              <w:jc w:val="center"/>
              <w:ind w:right="364"/>
              <w:spacing w:after="0" w:line="157" w:lineRule="exact"/>
              <w:rPr>
                <w:sz w:val="20"/>
                <w:szCs w:val="20"/>
                <w:color w:val="auto"/>
              </w:rPr>
            </w:pPr>
            <w:r>
              <w:rPr>
                <w:rFonts w:ascii="Arial" w:cs="Arial" w:eastAsia="Arial" w:hAnsi="Arial"/>
                <w:sz w:val="14"/>
                <w:szCs w:val="14"/>
                <w:b w:val="1"/>
                <w:bCs w:val="1"/>
                <w:color w:val="auto"/>
              </w:rPr>
              <w:t>Bonus</w:t>
            </w: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Awards</w:t>
            </w:r>
          </w:p>
        </w:tc>
        <w:tc>
          <w:tcPr>
            <w:tcW w:w="144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960" w:type="dxa"/>
            <w:vAlign w:val="bottom"/>
            <w:gridSpan w:val="2"/>
            <w:vMerge w:val="continue"/>
          </w:tcPr>
          <w:p>
            <w:pPr>
              <w:spacing w:after="0"/>
              <w:rPr>
                <w:sz w:val="15"/>
                <w:szCs w:val="15"/>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40" w:type="dxa"/>
            <w:vAlign w:val="bottom"/>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Randolph Altschuler</w:t>
            </w: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100,000</w:t>
            </w:r>
          </w:p>
        </w:tc>
        <w:tc>
          <w:tcPr>
            <w:tcW w:w="440" w:type="dxa"/>
            <w:vAlign w:val="bottom"/>
            <w:tcBorders>
              <w:top w:val="single" w:sz="8" w:color="CCEEFF"/>
            </w:tcBorders>
            <w:shd w:val="clear" w:color="auto" w:fill="CCEEFF"/>
          </w:tcPr>
          <w:p>
            <w:pPr>
              <w:jc w:val="right"/>
              <w:ind w:right="184"/>
              <w:spacing w:after="0" w:line="161" w:lineRule="exact"/>
              <w:rPr>
                <w:sz w:val="20"/>
                <w:szCs w:val="20"/>
                <w:color w:val="auto"/>
              </w:rPr>
            </w:pPr>
            <w:r>
              <w:rPr>
                <w:rFonts w:ascii="Arial" w:cs="Arial" w:eastAsia="Arial" w:hAnsi="Arial"/>
                <w:sz w:val="15"/>
                <w:szCs w:val="15"/>
                <w:color w:val="auto"/>
                <w:w w:val="87"/>
              </w:rPr>
              <w:t>(3)</w:t>
            </w:r>
          </w:p>
        </w:tc>
        <w:tc>
          <w:tcPr>
            <w:tcW w:w="840" w:type="dxa"/>
            <w:vAlign w:val="bottom"/>
            <w:tcBorders>
              <w:top w:val="single" w:sz="8" w:color="auto"/>
            </w:tcBorders>
            <w:shd w:val="clear" w:color="auto" w:fill="CCEEFF"/>
          </w:tcPr>
          <w:p>
            <w:pPr>
              <w:ind w:left="580"/>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ind w:left="561"/>
              <w:spacing w:after="0" w:line="17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720"/>
              <w:spacing w:after="0" w:line="17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225,000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line="182" w:lineRule="exact"/>
              <w:rPr>
                <w:sz w:val="20"/>
                <w:szCs w:val="20"/>
                <w:color w:val="auto"/>
              </w:rPr>
            </w:pPr>
            <w:r>
              <w:rPr>
                <w:rFonts w:ascii="Arial" w:cs="Arial" w:eastAsia="Arial" w:hAnsi="Arial"/>
                <w:sz w:val="18"/>
                <w:szCs w:val="18"/>
                <w:color w:val="auto"/>
              </w:rPr>
              <w:t>James Rallo</w:t>
            </w:r>
            <w:r>
              <w:rPr>
                <w:rFonts w:ascii="Arial" w:cs="Arial" w:eastAsia="Arial" w:hAnsi="Arial"/>
                <w:sz w:val="15"/>
                <w:szCs w:val="15"/>
                <w:color w:val="auto"/>
              </w:rPr>
              <w:t>(2)</w:t>
            </w:r>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223,125</w:t>
            </w:r>
          </w:p>
        </w:tc>
        <w:tc>
          <w:tcPr>
            <w:tcW w:w="1140" w:type="dxa"/>
            <w:vAlign w:val="bottom"/>
            <w:gridSpan w:val="2"/>
          </w:tcPr>
          <w:p>
            <w:pPr>
              <w:ind w:left="42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1,674,700</w:t>
            </w:r>
          </w:p>
        </w:tc>
        <w:tc>
          <w:tcPr>
            <w:tcW w:w="1440" w:type="dxa"/>
            <w:vAlign w:val="bottom"/>
            <w:gridSpan w:val="2"/>
          </w:tcPr>
          <w:p>
            <w:pPr>
              <w:jc w:val="center"/>
              <w:ind w:left="141"/>
              <w:spacing w:after="0" w:line="182" w:lineRule="exact"/>
              <w:rPr>
                <w:sz w:val="20"/>
                <w:szCs w:val="20"/>
                <w:color w:val="auto"/>
              </w:rPr>
            </w:pPr>
            <w:r>
              <w:rPr>
                <w:rFonts w:ascii="Arial" w:cs="Arial" w:eastAsia="Arial" w:hAnsi="Arial"/>
                <w:sz w:val="18"/>
                <w:szCs w:val="18"/>
                <w:color w:val="auto"/>
              </w:rPr>
              <w:t>74,696</w:t>
            </w:r>
            <w:r>
              <w:rPr>
                <w:rFonts w:ascii="Arial" w:cs="Arial" w:eastAsia="Arial" w:hAnsi="Arial"/>
                <w:sz w:val="15"/>
                <w:szCs w:val="15"/>
                <w:color w:val="auto"/>
              </w:rPr>
              <w:t>(4)</w:t>
            </w:r>
          </w:p>
        </w:tc>
        <w:tc>
          <w:tcPr>
            <w:tcW w:w="1440" w:type="dxa"/>
            <w:vAlign w:val="bottom"/>
            <w:gridSpan w:val="2"/>
          </w:tcPr>
          <w:p>
            <w:pPr>
              <w:ind w:left="72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1,972,521</w:t>
            </w:r>
          </w:p>
        </w:tc>
        <w:tc>
          <w:tcPr>
            <w:tcW w:w="0" w:type="dxa"/>
            <w:vAlign w:val="bottom"/>
          </w:tcPr>
          <w:p>
            <w:pPr>
              <w:spacing w:after="0"/>
              <w:rPr>
                <w:sz w:val="1"/>
                <w:szCs w:val="1"/>
                <w:color w:val="auto"/>
              </w:rPr>
            </w:pPr>
          </w:p>
        </w:tc>
      </w:tr>
      <w:tr>
        <w:trPr>
          <w:trHeight w:val="231"/>
        </w:trPr>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9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Peter Goguen</w:t>
            </w:r>
          </w:p>
        </w:tc>
        <w:tc>
          <w:tcPr>
            <w:tcW w:w="96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8"/>
                <w:szCs w:val="18"/>
                <w:color w:val="auto"/>
              </w:rPr>
              <w:t>133,800</w:t>
            </w:r>
          </w:p>
        </w:tc>
        <w:tc>
          <w:tcPr>
            <w:tcW w:w="114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8"/>
                <w:szCs w:val="18"/>
                <w:color w:val="auto"/>
              </w:rPr>
              <w:t>182,500</w:t>
            </w:r>
          </w:p>
        </w:tc>
        <w:tc>
          <w:tcPr>
            <w:tcW w:w="1440" w:type="dxa"/>
            <w:vAlign w:val="bottom"/>
            <w:gridSpan w:val="2"/>
            <w:shd w:val="clear" w:color="auto" w:fill="CCEEFF"/>
          </w:tcPr>
          <w:p>
            <w:pPr>
              <w:jc w:val="center"/>
              <w:ind w:left="141"/>
              <w:spacing w:after="0" w:line="183"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299,769</w:t>
            </w:r>
            <w:r>
              <w:rPr>
                <w:rFonts w:ascii="Arial" w:cs="Arial" w:eastAsia="Arial" w:hAnsi="Arial"/>
                <w:sz w:val="15"/>
                <w:szCs w:val="15"/>
                <w:color w:val="auto"/>
              </w:rPr>
              <w:t>(5)</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616,069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2" w:lineRule="exact"/>
        <w:rPr>
          <w:sz w:val="20"/>
          <w:szCs w:val="20"/>
          <w:color w:val="auto"/>
        </w:rPr>
      </w:pPr>
    </w:p>
    <w:p>
      <w:pPr>
        <w:ind w:left="600" w:right="180" w:hanging="433"/>
        <w:spacing w:after="0" w:line="239"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financial statements included in this prospectus.</w:t>
      </w:r>
    </w:p>
    <w:p>
      <w:pPr>
        <w:ind w:left="600" w:hanging="433"/>
        <w:spacing w:after="0"/>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Rallo joined the Company in April 2020.</w:t>
      </w:r>
    </w:p>
    <w:p>
      <w:pPr>
        <w:ind w:left="600" w:hanging="433"/>
        <w:spacing w:after="0"/>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a discretionary bonus earned by Mr. Altschuler in 2020 and paid in March 2021.</w:t>
      </w:r>
    </w:p>
    <w:p>
      <w:pPr>
        <w:ind w:left="600" w:right="100" w:hanging="433"/>
        <w:spacing w:after="0" w:line="239"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Rallo is eligible to receive an annual performance bonus with a target amount of 33% of his annual base salary. However, for his first year of employment with the Company, Mr. Rallo was entitled to a guaranteed target bonus, prorated for the number of days he was employed by the Company, subject to his continued employment through December 31, 2020.</w:t>
      </w:r>
    </w:p>
    <w:p>
      <w:pPr>
        <w:ind w:left="600" w:right="740" w:hanging="433"/>
        <w:spacing w:after="0" w:line="254"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amounts received by Mr. Goguen pursuant to a consulting agreement. For more information, please see “Certain Relationships and Related Party Transactions.”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23" w:lineRule="exact"/>
        <w:rPr>
          <w:sz w:val="20"/>
          <w:szCs w:val="20"/>
          <w:color w:val="auto"/>
        </w:rPr>
      </w:pPr>
    </w:p>
    <w:p>
      <w:pPr>
        <w:jc w:val="both"/>
        <w:ind w:left="160" w:right="260" w:firstLine="546"/>
        <w:spacing w:after="0" w:line="237" w:lineRule="auto"/>
        <w:rPr>
          <w:sz w:val="20"/>
          <w:szCs w:val="20"/>
          <w:color w:val="auto"/>
        </w:rPr>
      </w:pPr>
      <w:r>
        <w:rPr>
          <w:rFonts w:ascii="Arial" w:cs="Arial" w:eastAsia="Arial" w:hAnsi="Arial"/>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The 2020 base salaries for our named executive officers were as stated in the table above.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Xometry’s board of directors and compensation committee will oversee the compensation policies, plans and programs and review and determine compensation to be paid to Xometry’s executive officers, directors and other senior management, as appropriate. The compensation policies followed by Xometry will be intended to provide for compensation that is sufficient to attract, motivate and retain executives and other individuals and to establish an appropriate relationship between executive compensation and the creation of stockholder value.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3"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Equity-based compensation has been and will continue to be an important foundation in executive compensation packages, as Xometry believes it is important to maintain a strong link between executive incentives and the creation of stockholder value. Xometry believes that performance and equity-based compensation can be an important component of the total executive compensation package for maximizing stockholder value while, at the same time, attracting, motivating and retaining high-quality executives.</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Formal guidelines for the allocation of equity-based compensation to the named executive officers by Xometry have not yet been determined, but it is expected that equity-based compensation will be an important element of Xometry’s compensation arrangements for both executive officers and directors, and that the executive officers will also be eligible to participate in future equity or employee stock purchase plans.</w:t>
      </w:r>
    </w:p>
    <w:p>
      <w:pPr>
        <w:spacing w:after="0" w:line="202" w:lineRule="exact"/>
        <w:rPr>
          <w:sz w:val="20"/>
          <w:szCs w:val="20"/>
          <w:color w:val="auto"/>
        </w:rPr>
      </w:pPr>
    </w:p>
    <w:p>
      <w:pPr>
        <w:jc w:val="both"/>
        <w:ind w:left="160" w:right="20" w:firstLine="546"/>
        <w:spacing w:after="0" w:line="236" w:lineRule="auto"/>
        <w:rPr>
          <w:sz w:val="20"/>
          <w:szCs w:val="20"/>
          <w:color w:val="auto"/>
        </w:rPr>
      </w:pPr>
      <w:r>
        <w:rPr>
          <w:rFonts w:ascii="Arial" w:cs="Arial" w:eastAsia="Arial" w:hAnsi="Arial"/>
          <w:sz w:val="18"/>
          <w:szCs w:val="18"/>
          <w:color w:val="auto"/>
        </w:rPr>
        <w:t>In March 2021, we granted each of Mr. Altschuler, Mr. Rallo and Mr. Goguen stock options to purchase 142,275, 10,000 and 50,000 shares of our Class A common stock, respectively. Each option vests over a four-year period, with 25% of the shares subject to the option vesting on the first anniversary of the vesting commencement date, with the remaining 75% vesting in equal monthly installments over the three years thereafter, subject to the officer’s continuous service with us.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have a bonus policy and a historical practice of setting target bonus amounts for our executive officers expressed as a percentage of base salary. Our practice has been to provide for annual bonus payments to our executive officers conditioned upon the achievement of certain performance goals established by our board of directors. We have historically established target bonus amounts which we felt was appropriate considering factors such as compensation opportunities that these executive officers were foregoing from their prior employers, cash bonuses provided to executive officers of our peer companies, the executive officer’s anticipated role criticality relative to others at our company, and the determination by our board of directors or committee thereof of the essential need to attract and retain these executive officers.</w:t>
      </w:r>
    </w:p>
    <w:p>
      <w:pPr>
        <w:spacing w:after="0" w:line="206"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For 2020, although Mr. Altschuler was not eligible to receive a target bonus based on the attainment of company performance goals set by the compensation committee, Mr. Altschuler earned a discretionary bonus of $100,000 which was paid in March 2021.</w:t>
      </w:r>
    </w:p>
    <w:p>
      <w:pPr>
        <w:spacing w:after="0" w:line="203"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For 2020, Mr. Rallo received a guaranteed target bonus of $74,696 which was based on his 33% annual performance target prorated for the number of days he was employed by the Company. Going forward, he is eligible to receive an annual performance bonus with a target amount of 33% of his annual base salary, based on the bonus plan formula used for our senior executives.</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For 2020, Mr. Goguen was eligible to receive a target bonus of $100,140, or 30% of his base salary, based on the attainment of company performance goals set by the compensation committee. Mr. Goguen received an aggregate target bonus of $91,911 in 2020. Mr. Goguen’s bonus target decreased from 30% to 20% effective February 2021.</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Outstanding Equity Awards</w:t>
      </w:r>
    </w:p>
    <w:p>
      <w:pPr>
        <w:spacing w:after="0" w:line="230"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40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9"/>
              </w:rPr>
              <w:t>Option Awards</w:t>
            </w:r>
            <w:r>
              <w:rPr>
                <w:rFonts w:ascii="Arial" w:cs="Arial" w:eastAsia="Arial" w:hAnsi="Arial"/>
                <w:sz w:val="24"/>
                <w:szCs w:val="24"/>
                <w:b w:val="1"/>
                <w:bCs w:val="1"/>
                <w:color w:val="auto"/>
                <w:w w:val="99"/>
                <w:vertAlign w:val="superscript"/>
              </w:rPr>
              <w:t>(1)</w:t>
            </w:r>
          </w:p>
        </w:tc>
        <w:tc>
          <w:tcPr>
            <w:tcW w:w="4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Number of</w:t>
            </w:r>
          </w:p>
        </w:tc>
        <w:tc>
          <w:tcPr>
            <w:tcW w:w="1620" w:type="dxa"/>
            <w:vAlign w:val="bottom"/>
            <w:gridSpan w:val="2"/>
          </w:tcPr>
          <w:p>
            <w:pPr>
              <w:jc w:val="center"/>
              <w:ind w:right="584"/>
              <w:spacing w:after="0" w:line="141"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Securities</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Underlying</w:t>
            </w:r>
          </w:p>
        </w:tc>
        <w:tc>
          <w:tcPr>
            <w:tcW w:w="1620" w:type="dxa"/>
            <w:vAlign w:val="bottom"/>
            <w:gridSpan w:val="2"/>
          </w:tcPr>
          <w:p>
            <w:pPr>
              <w:jc w:val="center"/>
              <w:ind w:right="564"/>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Unexercised</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Unexercised</w:t>
            </w: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620" w:type="dxa"/>
            <w:vAlign w:val="bottom"/>
            <w:vMerge w:val="restart"/>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Options</w:t>
            </w:r>
          </w:p>
        </w:tc>
        <w:tc>
          <w:tcPr>
            <w:tcW w:w="1620" w:type="dxa"/>
            <w:vAlign w:val="bottom"/>
            <w:gridSpan w:val="2"/>
          </w:tcPr>
          <w:p>
            <w:pPr>
              <w:jc w:val="center"/>
              <w:ind w:right="564"/>
              <w:spacing w:after="0"/>
              <w:rPr>
                <w:sz w:val="20"/>
                <w:szCs w:val="20"/>
                <w:color w:val="auto"/>
              </w:rPr>
            </w:pPr>
            <w:r>
              <w:rPr>
                <w:rFonts w:ascii="Arial" w:cs="Arial" w:eastAsia="Arial" w:hAnsi="Arial"/>
                <w:sz w:val="14"/>
                <w:szCs w:val="14"/>
                <w:b w:val="1"/>
                <w:bCs w:val="1"/>
                <w:color w:val="auto"/>
              </w:rPr>
              <w:t>Options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Exercisable</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15"/>
                <w:szCs w:val="15"/>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Price</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7"/>
        </w:trPr>
        <w:tc>
          <w:tcPr>
            <w:tcW w:w="60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Randolph Altschuler</w:t>
            </w: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145,832</w:t>
            </w:r>
          </w:p>
        </w:tc>
        <w:tc>
          <w:tcPr>
            <w:tcW w:w="4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54,168</w:t>
            </w:r>
          </w:p>
        </w:tc>
        <w:tc>
          <w:tcPr>
            <w:tcW w:w="640" w:type="dxa"/>
            <w:vAlign w:val="bottom"/>
            <w:tcBorders>
              <w:top w:val="single" w:sz="8" w:color="CCEEFF"/>
            </w:tcBorders>
            <w:shd w:val="clear" w:color="auto" w:fill="CCEEFF"/>
          </w:tcPr>
          <w:p>
            <w:pPr>
              <w:jc w:val="right"/>
              <w:ind w:right="384"/>
              <w:spacing w:after="0" w:line="164" w:lineRule="exact"/>
              <w:rPr>
                <w:sz w:val="20"/>
                <w:szCs w:val="20"/>
                <w:color w:val="auto"/>
              </w:rPr>
            </w:pPr>
            <w:r>
              <w:rPr>
                <w:rFonts w:ascii="Arial" w:cs="Arial" w:eastAsia="Arial" w:hAnsi="Arial"/>
                <w:sz w:val="15"/>
                <w:szCs w:val="15"/>
                <w:color w:val="auto"/>
                <w:w w:val="87"/>
              </w:rPr>
              <w:t>(2)</w:t>
            </w:r>
          </w:p>
        </w:tc>
        <w:tc>
          <w:tcPr>
            <w:tcW w:w="1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1.65</w:t>
            </w:r>
          </w:p>
        </w:tc>
        <w:tc>
          <w:tcPr>
            <w:tcW w:w="4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1/29/2028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3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102,195</w:t>
            </w:r>
          </w:p>
        </w:tc>
        <w:tc>
          <w:tcPr>
            <w:tcW w:w="1620" w:type="dxa"/>
            <w:vAlign w:val="bottom"/>
            <w:gridSpan w:val="2"/>
          </w:tcPr>
          <w:p>
            <w:pPr>
              <w:jc w:val="right"/>
              <w:ind w:right="384"/>
              <w:spacing w:after="0" w:line="201" w:lineRule="exact"/>
              <w:rPr>
                <w:sz w:val="20"/>
                <w:szCs w:val="20"/>
                <w:color w:val="auto"/>
              </w:rPr>
            </w:pPr>
            <w:r>
              <w:rPr>
                <w:rFonts w:ascii="Arial" w:cs="Arial" w:eastAsia="Arial" w:hAnsi="Arial"/>
                <w:sz w:val="18"/>
                <w:szCs w:val="18"/>
                <w:color w:val="auto"/>
              </w:rPr>
              <w:t>155,984</w:t>
            </w:r>
            <w:r>
              <w:rPr>
                <w:rFonts w:ascii="Arial" w:cs="Arial" w:eastAsia="Arial" w:hAnsi="Arial"/>
                <w:sz w:val="15"/>
                <w:szCs w:val="15"/>
                <w:color w:val="auto"/>
              </w:rPr>
              <w:t>(3)</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3.65</w:t>
            </w:r>
          </w:p>
        </w:tc>
        <w:tc>
          <w:tcPr>
            <w:tcW w:w="4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8/7/2029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Rallo</w:t>
            </w:r>
          </w:p>
        </w:tc>
        <w:tc>
          <w:tcPr>
            <w:tcW w:w="132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4"/>
              <w:spacing w:after="0" w:line="201" w:lineRule="exact"/>
              <w:rPr>
                <w:sz w:val="20"/>
                <w:szCs w:val="20"/>
                <w:color w:val="auto"/>
              </w:rPr>
            </w:pPr>
            <w:r>
              <w:rPr>
                <w:rFonts w:ascii="Arial" w:cs="Arial" w:eastAsia="Arial" w:hAnsi="Arial"/>
                <w:sz w:val="18"/>
                <w:szCs w:val="18"/>
                <w:color w:val="auto"/>
              </w:rPr>
              <w:t>458,822</w:t>
            </w:r>
            <w:r>
              <w:rPr>
                <w:rFonts w:ascii="Arial" w:cs="Arial" w:eastAsia="Arial" w:hAnsi="Arial"/>
                <w:sz w:val="15"/>
                <w:szCs w:val="15"/>
                <w:color w:val="auto"/>
              </w:rPr>
              <w:t>(4)</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3.65</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5/5/2030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Peter Goguen</w:t>
            </w:r>
          </w:p>
        </w:tc>
        <w:tc>
          <w:tcPr>
            <w:tcW w:w="13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50,000</w:t>
            </w:r>
          </w:p>
        </w:tc>
        <w:tc>
          <w:tcPr>
            <w:tcW w:w="1620" w:type="dxa"/>
            <w:vAlign w:val="bottom"/>
            <w:gridSpan w:val="2"/>
          </w:tcPr>
          <w:p>
            <w:pPr>
              <w:jc w:val="right"/>
              <w:ind w:right="664"/>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1.65</w:t>
            </w:r>
          </w:p>
        </w:tc>
        <w:tc>
          <w:tcPr>
            <w:tcW w:w="4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4/5/2028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19,166</w:t>
            </w:r>
          </w:p>
        </w:tc>
        <w:tc>
          <w:tcPr>
            <w:tcW w:w="1620" w:type="dxa"/>
            <w:vAlign w:val="bottom"/>
            <w:gridSpan w:val="2"/>
            <w:shd w:val="clear" w:color="auto" w:fill="CCEEFF"/>
          </w:tcPr>
          <w:p>
            <w:pPr>
              <w:jc w:val="right"/>
              <w:ind w:right="384"/>
              <w:spacing w:after="0" w:line="201" w:lineRule="exact"/>
              <w:rPr>
                <w:sz w:val="20"/>
                <w:szCs w:val="20"/>
                <w:color w:val="auto"/>
              </w:rPr>
            </w:pPr>
            <w:r>
              <w:rPr>
                <w:rFonts w:ascii="Arial" w:cs="Arial" w:eastAsia="Arial" w:hAnsi="Arial"/>
                <w:sz w:val="18"/>
                <w:szCs w:val="18"/>
                <w:color w:val="auto"/>
              </w:rPr>
              <w:t>20,834</w:t>
            </w:r>
            <w:r>
              <w:rPr>
                <w:rFonts w:ascii="Arial" w:cs="Arial" w:eastAsia="Arial" w:hAnsi="Arial"/>
                <w:sz w:val="15"/>
                <w:szCs w:val="15"/>
                <w:color w:val="auto"/>
              </w:rPr>
              <w:t>(5)</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1.68</w:t>
            </w: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2/19/2029</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84"/>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4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4/27/2030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9" w:lineRule="exact"/>
        <w:rPr>
          <w:sz w:val="20"/>
          <w:szCs w:val="20"/>
          <w:color w:val="auto"/>
        </w:rPr>
      </w:pPr>
    </w:p>
    <w:p>
      <w:pPr>
        <w:ind w:left="600" w:right="320" w:hanging="433"/>
        <w:spacing w:after="0" w:line="23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All option awards listed in this table were granted pursuant to our 2016 Plan, the terms of which are described below under “Executive Compensation—Employee Benefit Plans”.</w:t>
      </w:r>
    </w:p>
    <w:p>
      <w:pPr>
        <w:ind w:left="600" w:right="320" w:hanging="433"/>
        <w:spacing w:after="0" w:line="23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January 1, 2019, with the remaining 75% vesting in equal monthly installments over the three years thereafter, subject to Mr. Altschuler’s continuous service through each such vesting date.</w:t>
      </w:r>
    </w:p>
    <w:p>
      <w:pPr>
        <w:ind w:left="600" w:right="60" w:hanging="433"/>
        <w:spacing w:after="0" w:line="23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May 2, 2020, with the remaining 75% vesting in equal monthly installments over the three years thereafter, subject to Mr. Altschuler’s continuous service through each such vesting date.</w:t>
      </w:r>
    </w:p>
    <w:p>
      <w:pPr>
        <w:ind w:left="600" w:right="460" w:hanging="433"/>
        <w:spacing w:after="0" w:line="23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April 13, 2021, with the remaining 75% vesting in equal monthly installments over the three years thereafter, subject in each case to Mr. Rallo’s continuous service through each such vesting date.</w:t>
      </w:r>
    </w:p>
    <w:p>
      <w:pPr>
        <w:ind w:left="600" w:right="320" w:hanging="433"/>
        <w:spacing w:after="0" w:line="23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January 1, 2020, with the remaining 75% vesting in equal monthly installments over the three years thereafter, subject to Mr. Goguen’s continuous service through each such vesting date.</w:t>
      </w:r>
    </w:p>
    <w:p>
      <w:pPr>
        <w:ind w:left="600" w:right="460" w:hanging="433"/>
        <w:spacing w:after="0" w:line="254"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April 28, 2021, with the remaining 75% vesting in equal monthly installments over the three years thereafter, subject in each case to Mr. Goguen’s continuous service through each such vesting date.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Employment Agreements</w:t>
      </w:r>
    </w:p>
    <w:p>
      <w:pPr>
        <w:spacing w:after="0" w:line="230" w:lineRule="exact"/>
        <w:rPr>
          <w:sz w:val="20"/>
          <w:szCs w:val="20"/>
          <w:color w:val="auto"/>
        </w:rPr>
      </w:pPr>
    </w:p>
    <w:p>
      <w:pPr>
        <w:jc w:val="both"/>
        <w:ind w:left="160" w:right="40" w:firstLine="546"/>
        <w:spacing w:after="0" w:line="236" w:lineRule="auto"/>
        <w:rPr>
          <w:sz w:val="20"/>
          <w:szCs w:val="20"/>
          <w:color w:val="auto"/>
        </w:rPr>
      </w:pPr>
      <w:r>
        <w:rPr>
          <w:rFonts w:ascii="Arial" w:cs="Arial" w:eastAsia="Arial" w:hAnsi="Arial"/>
          <w:sz w:val="18"/>
          <w:szCs w:val="18"/>
          <w:color w:val="auto"/>
        </w:rPr>
        <w:t>We expect to enter into amended and restated employment agreements with each of our named executive officers that will become effective upon the closing for this offering. The agreements generally provide for at-will employment without any specific term and set forth the named executive officer’s initial base salary, bonus potential, eligibility for employee benefits and severance benefits upon a qualifying termination of employment.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material terms of each agreement are described below.</w:t>
      </w:r>
    </w:p>
    <w:p>
      <w:pPr>
        <w:spacing w:after="0" w:line="186" w:lineRule="exact"/>
        <w:rPr>
          <w:sz w:val="20"/>
          <w:szCs w:val="20"/>
          <w:color w:val="auto"/>
        </w:rPr>
      </w:pPr>
    </w:p>
    <w:p>
      <w:pPr>
        <w:ind w:left="720"/>
        <w:spacing w:after="0"/>
        <w:tabs>
          <w:tab w:leader="none" w:pos="2680" w:val="left"/>
        </w:tabs>
        <w:rPr>
          <w:sz w:val="20"/>
          <w:szCs w:val="20"/>
          <w:color w:val="auto"/>
        </w:rPr>
      </w:pPr>
      <w:r>
        <w:rPr>
          <w:rFonts w:ascii="Arial" w:cs="Arial" w:eastAsia="Arial" w:hAnsi="Arial"/>
          <w:sz w:val="18"/>
          <w:szCs w:val="18"/>
          <w:b w:val="1"/>
          <w:bCs w:val="1"/>
          <w:i w:val="1"/>
          <w:iCs w:val="1"/>
          <w:color w:val="auto"/>
        </w:rPr>
        <w:t>Randolph Altschuler.</w:t>
      </w:r>
      <w:r>
        <w:rPr>
          <w:sz w:val="20"/>
          <w:szCs w:val="20"/>
          <w:color w:val="auto"/>
        </w:rPr>
        <w:tab/>
      </w:r>
      <w:r>
        <w:rPr>
          <w:rFonts w:ascii="Arial" w:cs="Arial" w:eastAsia="Arial" w:hAnsi="Arial"/>
          <w:sz w:val="17"/>
          <w:szCs w:val="17"/>
          <w:color w:val="auto"/>
        </w:rPr>
        <w:t>We expect to enter into an amended and restated employment agreement with Randolph Altschuler, our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Chief Executive Officer. The agreement amends, restates, and supersedes any prior employment agreement between us and Mr.</w:t>
      </w:r>
    </w:p>
    <w:p>
      <w:pPr>
        <w:ind w:left="160"/>
        <w:spacing w:after="0" w:line="232" w:lineRule="auto"/>
        <w:rPr>
          <w:sz w:val="20"/>
          <w:szCs w:val="20"/>
          <w:color w:val="auto"/>
        </w:rPr>
      </w:pPr>
      <w:r>
        <w:rPr>
          <w:rFonts w:ascii="Arial" w:cs="Arial" w:eastAsia="Arial" w:hAnsi="Arial"/>
          <w:sz w:val="18"/>
          <w:szCs w:val="18"/>
          <w:color w:val="auto"/>
        </w:rPr>
        <w:t>Altschuler regarding his employment terms. The amended and restated employment agreement has no specific term and provides for at-</w:t>
      </w:r>
    </w:p>
    <w:p>
      <w:pPr>
        <w:ind w:left="160"/>
        <w:spacing w:after="0" w:line="233" w:lineRule="auto"/>
        <w:rPr>
          <w:sz w:val="20"/>
          <w:szCs w:val="20"/>
          <w:color w:val="auto"/>
        </w:rPr>
      </w:pPr>
      <w:r>
        <w:rPr>
          <w:rFonts w:ascii="Arial" w:cs="Arial" w:eastAsia="Arial" w:hAnsi="Arial"/>
          <w:sz w:val="18"/>
          <w:szCs w:val="18"/>
          <w:color w:val="auto"/>
        </w:rPr>
        <w:t>will employment. Pursuant to his agreement, commencing on July 1, 2021, Mr. Altschuler is entitled to an initial annual base salary of</w:t>
      </w:r>
    </w:p>
    <w:p>
      <w:pPr>
        <w:ind w:left="160"/>
        <w:spacing w:after="0" w:line="232" w:lineRule="auto"/>
        <w:rPr>
          <w:sz w:val="20"/>
          <w:szCs w:val="20"/>
          <w:color w:val="auto"/>
        </w:rPr>
      </w:pPr>
      <w:r>
        <w:rPr>
          <w:rFonts w:ascii="Arial" w:cs="Arial" w:eastAsia="Arial" w:hAnsi="Arial"/>
          <w:sz w:val="18"/>
          <w:szCs w:val="18"/>
          <w:color w:val="auto"/>
        </w:rPr>
        <w:t>$420,000. Additionally, he is eligible to receive an annual performance bonus of up to 75% of his annual base salary, based on our board</w:t>
      </w:r>
    </w:p>
    <w:p>
      <w:pPr>
        <w:ind w:left="160"/>
        <w:spacing w:after="0" w:line="233" w:lineRule="auto"/>
        <w:rPr>
          <w:sz w:val="20"/>
          <w:szCs w:val="20"/>
          <w:color w:val="auto"/>
        </w:rPr>
      </w:pPr>
      <w:r>
        <w:rPr>
          <w:rFonts w:ascii="Arial" w:cs="Arial" w:eastAsia="Arial" w:hAnsi="Arial"/>
          <w:sz w:val="18"/>
          <w:szCs w:val="18"/>
          <w:color w:val="auto"/>
        </w:rPr>
        <w:t>of directors’ assessment of Mr. Altschuler’s performance and our attainment of targeted goals over the applicable calendar year, with the</w:t>
      </w:r>
    </w:p>
    <w:p>
      <w:pPr>
        <w:ind w:left="160"/>
        <w:spacing w:after="0"/>
        <w:rPr>
          <w:sz w:val="20"/>
          <w:szCs w:val="20"/>
          <w:color w:val="auto"/>
        </w:rPr>
      </w:pPr>
      <w:r>
        <w:rPr>
          <w:rFonts w:ascii="Arial" w:cs="Arial" w:eastAsia="Arial" w:hAnsi="Arial"/>
          <w:sz w:val="17"/>
          <w:szCs w:val="17"/>
          <w:color w:val="auto"/>
        </w:rPr>
        <w:t>exception of any annual performance bonus attributable to 2021 which shall be prorated for the number of days between the effective date</w:t>
      </w:r>
    </w:p>
    <w:p>
      <w:pPr>
        <w:ind w:left="160"/>
        <w:spacing w:after="0" w:line="238" w:lineRule="auto"/>
        <w:rPr>
          <w:sz w:val="20"/>
          <w:szCs w:val="20"/>
          <w:color w:val="auto"/>
        </w:rPr>
      </w:pPr>
      <w:r>
        <w:rPr>
          <w:rFonts w:ascii="Arial" w:cs="Arial" w:eastAsia="Arial" w:hAnsi="Arial"/>
          <w:sz w:val="18"/>
          <w:szCs w:val="18"/>
          <w:color w:val="auto"/>
        </w:rPr>
        <w:t>of the amended and restated employment agreement and December 31, 2021. Mr. Altschuler’s eligibility for any annual bonus for the</w:t>
      </w:r>
    </w:p>
    <w:p>
      <w:pPr>
        <w:ind w:left="160"/>
        <w:spacing w:after="0"/>
        <w:rPr>
          <w:sz w:val="20"/>
          <w:szCs w:val="20"/>
          <w:color w:val="auto"/>
        </w:rPr>
      </w:pPr>
      <w:r>
        <w:rPr>
          <w:rFonts w:ascii="Arial" w:cs="Arial" w:eastAsia="Arial" w:hAnsi="Arial"/>
          <w:sz w:val="18"/>
          <w:szCs w:val="18"/>
          <w:color w:val="auto"/>
        </w:rPr>
        <w:t>portion of</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0"/>
        <w:spacing w:after="0" w:line="237" w:lineRule="auto"/>
        <w:rPr>
          <w:sz w:val="20"/>
          <w:szCs w:val="20"/>
          <w:color w:val="auto"/>
        </w:rPr>
      </w:pPr>
      <w:r>
        <w:rPr>
          <w:rFonts w:ascii="Arial" w:cs="Arial" w:eastAsia="Arial" w:hAnsi="Arial"/>
          <w:sz w:val="18"/>
          <w:szCs w:val="18"/>
          <w:color w:val="auto"/>
        </w:rPr>
        <w:t>2021 prior to the effective date of the amended and restated employment agreement remains subject to the terms in effect for such time period. In addition, pursuant to the amended and restated employment agreement, Mr. Altschuler remains eligible to be considered for future equity awards as may be determined at the discretion of our board of directors.</w:t>
      </w:r>
    </w:p>
    <w:p>
      <w:pPr>
        <w:spacing w:after="0" w:line="203"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Pursuant to Mr. Altschuler’s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twelve months of base salary, less applicable tax withholdings and paid in accordance with our regular payroll practices; and (2) up to twelve months of COBRA premiums paid by us. In addition, if Mr. Altschuler resigns for Good Reason or we terminate his employment without Cause within three months prior to or twelve months following the effective date of a Change in Control, then he will also be eligible to receive the following severance benefits: (1) an amount equal to his full target annual performance bonus for the calendar year in which his termination occurs, less applicable tax withholdings; (2) an amount equal to his prorated annual performance bonus for the calendar year in which his termination occurs, calculated based on the number of days he was employed during the applicable calendar year, less applicable tax withholdings; and (3) all of the outstanding and unvested time-based equity awards he held immediately prior to his termination date will become fully vested and immediately exercisable. As a condition to receiving the severance benefits set forth above, Mr. Altschuler must sign and comply with a separation agreement in a form presented by us, containing among other terms a general release of claims.</w:t>
      </w:r>
    </w:p>
    <w:p>
      <w:pPr>
        <w:spacing w:after="0" w:line="175"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b w:val="1"/>
          <w:bCs w:val="1"/>
          <w:i w:val="1"/>
          <w:iCs w:val="1"/>
          <w:color w:val="auto"/>
        </w:rPr>
        <w:t xml:space="preserve">James Rallo. </w:t>
      </w:r>
      <w:r>
        <w:rPr>
          <w:rFonts w:ascii="Arial" w:cs="Arial" w:eastAsia="Arial" w:hAnsi="Arial"/>
          <w:sz w:val="18"/>
          <w:szCs w:val="18"/>
          <w:color w:val="auto"/>
        </w:rPr>
        <w:t>We expect to enter into an amended and restated employment agreement with James Rallo, our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The agreement amends, restates, and supersedes the employment agreement between us and Mr. Rallo dated April 13, 2020. The amended and restated employment agreement has no specific term and provides for at-will employment. Pursuant to his agreement, commencing on July 1, 2021, Mr. Rallo is entitled to an initial annual base salary of $370,000. Additionally, he is eligible to receive an annual performance bonus of up to 50% of his annual base salary, based on our board of directors’ assessment of Mr. Rallo’s performance and our attainment of targeted goals over the applicable calendar year, with the exception of any annual performance bonus attributable to 2021 which shall be prorated for the number of days between the effective date of the amended and restated employment agreement and December 31, 2021. Mr. Rallo’s eligibility for any annual bonus for the portion of 2021 prior to the effective date of the amended and restated employment agreement remains subject to the terms in effect for such time period. In addition, pursuant to the amended and restated employment agreement, Mr. Rallo remains eligible to be considered for future equity awards as may be determined at the discretion of our board of directors.</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Pursuant to Mr. Rallo’s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twelve months of base salary, less applicable tax withholdings and paid in accordance with our regular payroll practices; and (2) up to twelve months of COBRA premiums paid by us. In addition, if Mr. Rallo resigns for Good Reason or we terminate his employment without Cause within three months prior to or twelve months following the effective date of a Change in Control, then he will also be eligible to receive the following severance benefits: (1) an amount equal to his full target annual performance bonus for the calendar year in which his termination occurs, less applicable tax withholdings; (2) an amount equal to his prorated annual performance bonus for the calendar year in which his termination occurs, calculated based on the number of days he was employed during the applicable calendar year, less applicable tax withholdings; and (3) all of the outstanding and unvested time-based equity awards he held immediately prior to his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20"/>
        <w:spacing w:after="0" w:line="237" w:lineRule="auto"/>
        <w:rPr>
          <w:sz w:val="20"/>
          <w:szCs w:val="20"/>
          <w:color w:val="auto"/>
        </w:rPr>
      </w:pPr>
      <w:r>
        <w:rPr>
          <w:rFonts w:ascii="Arial" w:cs="Arial" w:eastAsia="Arial" w:hAnsi="Arial"/>
          <w:sz w:val="18"/>
          <w:szCs w:val="18"/>
          <w:color w:val="auto"/>
        </w:rPr>
        <w:t>termination date will become fully vested and immediately exercisable. As a condition to receiving the severance benefits set forth above, Mr. Rallo must sign and comply with a separation agreement in a form presented by us, containing among other terms a general release of claims.</w:t>
      </w:r>
    </w:p>
    <w:p>
      <w:pPr>
        <w:spacing w:after="0" w:line="181"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b w:val="1"/>
          <w:bCs w:val="1"/>
          <w:i w:val="1"/>
          <w:iCs w:val="1"/>
          <w:color w:val="auto"/>
        </w:rPr>
        <w:t xml:space="preserve">Peter Goguen. </w:t>
      </w:r>
      <w:r>
        <w:rPr>
          <w:rFonts w:ascii="Arial" w:cs="Arial" w:eastAsia="Arial" w:hAnsi="Arial"/>
          <w:sz w:val="18"/>
          <w:szCs w:val="18"/>
          <w:color w:val="auto"/>
        </w:rPr>
        <w:t>We expect to enter into an amended and restated employment agreement with Peter Goguen,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The agreement amends, restates, and supersedes the offer letter agreement between us and Mr. Goguen dated February 26, 2018. The amended and restated employment agreement has no specific term and provides for at-will employment. Pursuant to his agreement, commencing on July 1, 2021, Mr. Goguen is entitled to an initial annual base salary of $345,000. Additionally, he is eligible to receive an annual performance bonus of up to 50% of his annual base salary, based on our board of directors’ assessment of Mr. Goguen’s performance and our attainment of targeted goals over the applicable calendar year, with the exception of any annual performance bonus attributable to 2021 which shall be prorated for the number of days between the effective date of the amended and restated employment agreement and December 31, 2021. Mr. Goguen’s eligibility for any annual bonus for the portion of 2021 prior to the effective date of the amended and restated employment agreement remains subject to the terms in effect for such time period. In addition, pursuant to the amended and restated employment agreement, Mr. Goguen remains eligible to be considered for future equity awards as may be determined at the discretion of our board of directors.</w:t>
      </w:r>
    </w:p>
    <w:p>
      <w:pPr>
        <w:spacing w:after="0" w:line="204"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Pursuant to Mr. Goguen’s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six months of base salary, less applicable tax withholdings and paid in accordance with our regular payroll practices; and (2) up to six months of COBRA premiums paid by us. In addition, if Mr. Goguen resigns for Good Reason or we terminate his employment without Cause within three months prior to or twelve months following the effective date of a Change in Control, then he will also be eligible to receive the following severance benefits: (1) an amount equal to his 50% of his target annual performance bonus for the calendar year in which his termination occurs, less applicable tax withholdings; (2) an amount equal to his annual performance bonus for the calendar year in which his termination occurs, less applicable tax withholdings; and (3) all of the outstanding and unvested time-based equity awards he held immediately prior to his termination date will become fully vested and immediately exercisable. As a condition to receiving the severance benefits set forth above, Mr. Goguen must sign and comply with a separation agreement in a form presented by us, containing among other terms a general release of claims.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6"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Employee Benefit Plans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401(k) Plan</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Xometry provides a retirement savings plan for the benefit of its employees, including its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2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Xometry’s named executive officers are eligible to participate in Xometry’s health and welfare plans to the same extent as all full-time employees.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Incentive Plans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23"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Our board of directors has adopted the 2021 Equity Incentive Plan, or the 2021 Plan, that will become effective on the date of the underwriting agreement related to this offering. No grants will be made under our 2021 Plan prior to its effectiveness. Once our 2021 Plan becomes effective, no further grants will be made under our 2016 Plan.</w:t>
      </w:r>
    </w:p>
    <w:p>
      <w:pPr>
        <w:spacing w:after="0" w:line="181" w:lineRule="exact"/>
        <w:rPr>
          <w:sz w:val="20"/>
          <w:szCs w:val="20"/>
          <w:color w:val="auto"/>
        </w:rPr>
      </w:pPr>
    </w:p>
    <w:p>
      <w:pPr>
        <w:ind w:left="160" w:right="160" w:firstLine="546"/>
        <w:spacing w:after="0"/>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Our 2021 Plan provides for the grant of incentive stock options, or ISOs, nonstatutory stock options, or NSOs,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rights, 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2"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b w:val="1"/>
          <w:bCs w:val="1"/>
          <w:i w:val="1"/>
          <w:iCs w:val="1"/>
          <w:color w:val="auto"/>
        </w:rPr>
        <w:t xml:space="preserve">Authorized Shares. </w:t>
      </w:r>
      <w:r>
        <w:rPr>
          <w:rFonts w:ascii="Arial" w:cs="Arial" w:eastAsia="Arial" w:hAnsi="Arial"/>
          <w:sz w:val="18"/>
          <w:szCs w:val="18"/>
          <w:color w:val="auto"/>
        </w:rPr>
        <w:t>The maximum number of shares of common stock that may be issued under our 2021 Plan is 4,026,588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The number of shares of common stock reserved for issuance under our 2021 Plan will automatically increase on January 1 of each year, beginning on January 1, 2022, and continuing through and including January 1, 2031, by 5% of the aggregate number of shares of common stock of all classes issued and outstanding on December 31 of the preceding calendar year, or a lesser number of shares determined by our board of directors prior to the applicable January 1. The maximum number of shares that may be issued upon the exercise of ISOs under our 2021 Plan is 4,026,588 shares.</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Shares issued under our 2021 Plan will be authorized but unissued or reacquired shares of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40"/>
          </w:cols>
          <w:pgMar w:left="320" w:top="456" w:right="5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80" w:firstLine="546"/>
        <w:spacing w:after="0" w:line="235" w:lineRule="auto"/>
        <w:rPr>
          <w:sz w:val="20"/>
          <w:szCs w:val="20"/>
          <w:color w:val="auto"/>
        </w:rPr>
      </w:pPr>
      <w:r>
        <w:rPr>
          <w:rFonts w:ascii="Arial" w:cs="Arial" w:eastAsia="Arial" w:hAnsi="Arial"/>
          <w:sz w:val="18"/>
          <w:szCs w:val="18"/>
          <w:color w:val="auto"/>
        </w:rPr>
        <w:t>The maximum number of shares of common stock subject to stock awards granted under the 2021 Plan or otherwise during any calendar year beginning in 2022 to any non-employee director, taken together with any cash fees paid by us to such non-employee director during such calendar year for service on the board of directors, will not exceed $500,000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2" w:lineRule="exact"/>
        <w:rPr>
          <w:sz w:val="20"/>
          <w:szCs w:val="20"/>
          <w:color w:val="auto"/>
        </w:rPr>
      </w:pPr>
    </w:p>
    <w:p>
      <w:pPr>
        <w:ind w:left="160" w:right="20" w:firstLine="546"/>
        <w:spacing w:after="0" w:line="258"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Our board of directors, or a duly authorized committee of our board, may administer our 2021 Plan.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8"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202"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0" w:lineRule="exact"/>
        <w:rPr>
          <w:sz w:val="20"/>
          <w:szCs w:val="20"/>
          <w:color w:val="auto"/>
        </w:rPr>
      </w:pPr>
    </w:p>
    <w:p>
      <w:pPr>
        <w:ind w:left="160" w:right="40" w:firstLine="546"/>
        <w:spacing w:after="0" w:line="243"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NSOs are granted pursuant to stock option agreements adopted by the administrator.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determines the exercise price for a stock option,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administrator.</w:t>
      </w:r>
    </w:p>
    <w:p>
      <w:pPr>
        <w:spacing w:after="0" w:line="20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20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6"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81" w:lineRule="exact"/>
        <w:rPr>
          <w:sz w:val="20"/>
          <w:szCs w:val="20"/>
          <w:color w:val="auto"/>
        </w:rPr>
      </w:pPr>
    </w:p>
    <w:p>
      <w:pPr>
        <w:ind w:left="720"/>
        <w:spacing w:after="0"/>
        <w:tabs>
          <w:tab w:leader="none" w:pos="2960" w:val="left"/>
        </w:tabs>
        <w:rPr>
          <w:sz w:val="20"/>
          <w:szCs w:val="20"/>
          <w:color w:val="auto"/>
        </w:rPr>
      </w:pPr>
      <w:r>
        <w:rPr>
          <w:rFonts w:ascii="Arial" w:cs="Arial" w:eastAsia="Arial" w:hAnsi="Arial"/>
          <w:sz w:val="18"/>
          <w:szCs w:val="18"/>
          <w:b w:val="1"/>
          <w:bCs w:val="1"/>
          <w:i w:val="1"/>
          <w:iCs w:val="1"/>
          <w:color w:val="auto"/>
        </w:rPr>
        <w:t>Tax Limitations on ISOs.</w:t>
      </w:r>
      <w:r>
        <w:rPr>
          <w:sz w:val="20"/>
          <w:szCs w:val="20"/>
          <w:color w:val="auto"/>
        </w:rPr>
        <w:tab/>
      </w:r>
      <w:r>
        <w:rPr>
          <w:rFonts w:ascii="Arial" w:cs="Arial" w:eastAsia="Arial" w:hAnsi="Arial"/>
          <w:sz w:val="17"/>
          <w:szCs w:val="17"/>
          <w:color w:val="auto"/>
        </w:rPr>
        <w:t>The aggregate fair market value, determined at the time of grant, of common stock with respect to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ISOs that are exercisable for the first time by an option holder during any calendar year under all of our stock plans may not exceed</w:t>
      </w:r>
    </w:p>
    <w:p>
      <w:pPr>
        <w:ind w:left="160"/>
        <w:spacing w:after="0" w:line="232" w:lineRule="auto"/>
        <w:rPr>
          <w:sz w:val="20"/>
          <w:szCs w:val="20"/>
          <w:color w:val="auto"/>
        </w:rPr>
      </w:pPr>
      <w:r>
        <w:rPr>
          <w:rFonts w:ascii="Arial" w:cs="Arial" w:eastAsia="Arial" w:hAnsi="Arial"/>
          <w:sz w:val="18"/>
          <w:szCs w:val="18"/>
          <w:color w:val="auto"/>
        </w:rPr>
        <w:t>$100,000. Options or portions thereof that exceed such limit will be treated as NSOs. No ISOs may be granted to any person who, at the</w:t>
      </w:r>
    </w:p>
    <w:p>
      <w:pPr>
        <w:ind w:left="160"/>
        <w:spacing w:after="0" w:line="233" w:lineRule="auto"/>
        <w:rPr>
          <w:sz w:val="20"/>
          <w:szCs w:val="20"/>
          <w:color w:val="auto"/>
        </w:rPr>
      </w:pPr>
      <w:r>
        <w:rPr>
          <w:rFonts w:ascii="Arial" w:cs="Arial" w:eastAsia="Arial" w:hAnsi="Arial"/>
          <w:sz w:val="18"/>
          <w:szCs w:val="18"/>
          <w:color w:val="auto"/>
        </w:rPr>
        <w:t>time of the grant, owns or is deemed to own stock possessing more than 10% of our total combined voting power or that of any of our</w:t>
      </w:r>
    </w:p>
    <w:p>
      <w:pPr>
        <w:ind w:left="160"/>
        <w:spacing w:after="0" w:line="232" w:lineRule="auto"/>
        <w:rPr>
          <w:sz w:val="20"/>
          <w:szCs w:val="20"/>
          <w:color w:val="auto"/>
        </w:rPr>
      </w:pPr>
      <w:r>
        <w:rPr>
          <w:rFonts w:ascii="Arial" w:cs="Arial" w:eastAsia="Arial" w:hAnsi="Arial"/>
          <w:sz w:val="18"/>
          <w:szCs w:val="18"/>
          <w:color w:val="auto"/>
        </w:rPr>
        <w:t>parent or subsidiary corporations, unless (1) the option exercise price is at least 110% of the fair market value of the stock subject to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option on the date of grant and (2) the term of the ISO does not exceed five years from the date of grant.</w:t>
      </w:r>
    </w:p>
    <w:p>
      <w:pPr>
        <w:spacing w:after="0" w:line="186" w:lineRule="exact"/>
        <w:rPr>
          <w:sz w:val="20"/>
          <w:szCs w:val="20"/>
          <w:color w:val="auto"/>
        </w:rPr>
      </w:pPr>
    </w:p>
    <w:p>
      <w:pPr>
        <w:ind w:left="160" w:right="20" w:firstLine="546"/>
        <w:spacing w:after="0" w:line="256" w:lineRule="auto"/>
        <w:rPr>
          <w:sz w:val="20"/>
          <w:szCs w:val="20"/>
          <w:color w:val="auto"/>
        </w:rPr>
      </w:pPr>
      <w:r>
        <w:rPr>
          <w:rFonts w:ascii="Arial" w:cs="Arial" w:eastAsia="Arial" w:hAnsi="Arial"/>
          <w:sz w:val="17"/>
          <w:szCs w:val="17"/>
          <w:b w:val="1"/>
          <w:bCs w:val="1"/>
          <w:i w:val="1"/>
          <w:iCs w:val="1"/>
          <w:color w:val="auto"/>
        </w:rPr>
        <w:t xml:space="preserve">Restricted Stock Unit Awards. </w:t>
      </w:r>
      <w:r>
        <w:rPr>
          <w:rFonts w:ascii="Arial" w:cs="Arial" w:eastAsia="Arial" w:hAnsi="Arial"/>
          <w:sz w:val="17"/>
          <w:szCs w:val="17"/>
          <w:color w:val="auto"/>
        </w:rPr>
        <w:t>Restricted stock unit awards are granted pursuant to restricted stock unit award agreements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adopted by the 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67" w:lineRule="exact"/>
        <w:rPr>
          <w:sz w:val="20"/>
          <w:szCs w:val="20"/>
          <w:color w:val="auto"/>
        </w:rPr>
      </w:pPr>
    </w:p>
    <w:p>
      <w:pPr>
        <w:ind w:left="160" w:right="40" w:firstLine="546"/>
        <w:spacing w:after="0" w:line="238"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Restricted stock awards are granted pursuant to restricted stock award agreements adopted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Restricted stock awards may be granted in consideration for cash, check, bank draft or money order, services rendered to us or our affiliates or any other form of legal consideration.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1" w:lineRule="exact"/>
        <w:rPr>
          <w:sz w:val="20"/>
          <w:szCs w:val="20"/>
          <w:color w:val="auto"/>
        </w:rPr>
      </w:pPr>
    </w:p>
    <w:p>
      <w:pPr>
        <w:ind w:left="1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Stock appreciation rights are granted pursuant to stock appreciation right grant agreements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administrator. The administrator determines the strike price for a stock appreciation right, which generally cannot be less than 100% of the fair market value of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common stock with respect to which the stock appreciation right is exercised. A stock appreciation right granted under the 2021 Plan vests at the rate specified in the stock appreciation right agreement as determined by the administrator.</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6"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60"/>
        <w:spacing w:after="0" w:line="257" w:lineRule="auto"/>
        <w:rPr>
          <w:sz w:val="20"/>
          <w:szCs w:val="20"/>
          <w:color w:val="auto"/>
        </w:rPr>
      </w:pPr>
      <w:r>
        <w:rPr>
          <w:rFonts w:ascii="Arial" w:cs="Arial" w:eastAsia="Arial" w:hAnsi="Arial"/>
          <w:sz w:val="17"/>
          <w:szCs w:val="17"/>
          <w:color w:val="auto"/>
        </w:rPr>
        <w:t>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6" w:lineRule="exact"/>
        <w:rPr>
          <w:sz w:val="20"/>
          <w:szCs w:val="20"/>
          <w:color w:val="auto"/>
        </w:rPr>
      </w:pPr>
    </w:p>
    <w:p>
      <w:pPr>
        <w:ind w:left="160" w:right="120" w:firstLine="546"/>
        <w:spacing w:after="0" w:line="262"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Our 2021 Plan permits the grant of performance-based stock and cash awards.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can structure such 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85"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86" w:lineRule="exact"/>
        <w:rPr>
          <w:sz w:val="20"/>
          <w:szCs w:val="20"/>
          <w:color w:val="auto"/>
        </w:rPr>
      </w:pPr>
    </w:p>
    <w:p>
      <w:pPr>
        <w:ind w:left="160" w:right="780" w:firstLine="546"/>
        <w:spacing w:after="0" w:line="265" w:lineRule="auto"/>
        <w:rPr>
          <w:sz w:val="20"/>
          <w:szCs w:val="20"/>
          <w:color w:val="auto"/>
        </w:rPr>
      </w:pPr>
      <w:r>
        <w:rPr>
          <w:rFonts w:ascii="Arial" w:cs="Arial" w:eastAsia="Arial" w:hAnsi="Arial"/>
          <w:sz w:val="18"/>
          <w:szCs w:val="18"/>
          <w:b w:val="1"/>
          <w:bCs w:val="1"/>
          <w:i w:val="1"/>
          <w:iCs w:val="1"/>
          <w:color w:val="auto"/>
        </w:rPr>
        <w:t xml:space="preserve">Other Awards. </w:t>
      </w:r>
      <w:r>
        <w:rPr>
          <w:rFonts w:ascii="Arial" w:cs="Arial" w:eastAsia="Arial" w:hAnsi="Arial"/>
          <w:sz w:val="18"/>
          <w:szCs w:val="18"/>
          <w:color w:val="auto"/>
        </w:rPr>
        <w:t>The administrator may grant other awards based in whole or in part by reference to common stock.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will set the number of shares under the award and all other terms and conditions of such awards.</w:t>
      </w:r>
    </w:p>
    <w:p>
      <w:pPr>
        <w:spacing w:after="0" w:line="158" w:lineRule="exact"/>
        <w:rPr>
          <w:sz w:val="20"/>
          <w:szCs w:val="20"/>
          <w:color w:val="auto"/>
        </w:rPr>
      </w:pPr>
    </w:p>
    <w:p>
      <w:pPr>
        <w:ind w:left="160" w:right="40" w:firstLine="546"/>
        <w:spacing w:after="0"/>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reverse stock split or 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82" w:lineRule="exact"/>
        <w:rPr>
          <w:sz w:val="20"/>
          <w:szCs w:val="20"/>
          <w:color w:val="auto"/>
        </w:rPr>
      </w:pPr>
    </w:p>
    <w:p>
      <w:pPr>
        <w:ind w:left="160" w:right="320" w:firstLine="546"/>
        <w:spacing w:after="0" w:line="243" w:lineRule="auto"/>
        <w:rPr>
          <w:sz w:val="20"/>
          <w:szCs w:val="20"/>
          <w:color w:val="auto"/>
        </w:rPr>
      </w:pPr>
      <w:r>
        <w:rPr>
          <w:rFonts w:ascii="Arial" w:cs="Arial" w:eastAsia="Arial" w:hAnsi="Arial"/>
          <w:sz w:val="18"/>
          <w:szCs w:val="18"/>
          <w:b w:val="1"/>
          <w:bCs w:val="1"/>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otherwise 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60"/>
          </w:cols>
          <w:pgMar w:left="320" w:top="456"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202"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209"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81" w:lineRule="exact"/>
        <w:rPr>
          <w:sz w:val="20"/>
          <w:szCs w:val="20"/>
          <w:color w:val="auto"/>
        </w:rPr>
      </w:pPr>
    </w:p>
    <w:p>
      <w:pPr>
        <w:ind w:left="160" w:firstLine="546"/>
        <w:spacing w:after="0" w:line="26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A participant may not transfer awards under our 2021 Plan other than by will,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as otherwise provided under our 2021 Plan.</w:t>
      </w:r>
    </w:p>
    <w:p>
      <w:pPr>
        <w:spacing w:after="0" w:line="158" w:lineRule="exact"/>
        <w:rPr>
          <w:sz w:val="20"/>
          <w:szCs w:val="20"/>
          <w:color w:val="auto"/>
        </w:rPr>
      </w:pPr>
    </w:p>
    <w:p>
      <w:pPr>
        <w:ind w:left="160" w:right="320" w:firstLine="546"/>
        <w:spacing w:after="0" w:line="243" w:lineRule="auto"/>
        <w:rPr>
          <w:sz w:val="20"/>
          <w:szCs w:val="20"/>
          <w:color w:val="auto"/>
        </w:rPr>
      </w:pPr>
      <w:r>
        <w:rPr>
          <w:rFonts w:ascii="Arial" w:cs="Arial" w:eastAsia="Arial" w:hAnsi="Arial"/>
          <w:sz w:val="18"/>
          <w:szCs w:val="18"/>
          <w:b w:val="1"/>
          <w:bCs w:val="1"/>
          <w:i w:val="1"/>
          <w:iCs w:val="1"/>
          <w:color w:val="auto"/>
        </w:rPr>
        <w:t xml:space="preserve">Plan Amendment or Termination. </w:t>
      </w:r>
      <w:r>
        <w:rPr>
          <w:rFonts w:ascii="Arial" w:cs="Arial" w:eastAsia="Arial" w:hAnsi="Arial"/>
          <w:sz w:val="18"/>
          <w:szCs w:val="18"/>
          <w:color w:val="auto"/>
        </w:rPr>
        <w:t>Our board has the authority to amend, suspend or terminate our 2021 Plan, 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action does 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23"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The following summary describes the material terms of Xometry’s 2016 Equity Incentive Plan, which was adopted by Xometry’s board of directors and approved by Xometry’s stockholders in February 2016. The 2016 Plan was most recently amended by our board of directors and stockholders in March 2021.</w:t>
      </w:r>
    </w:p>
    <w:p>
      <w:pPr>
        <w:spacing w:after="0" w:line="181" w:lineRule="exact"/>
        <w:rPr>
          <w:sz w:val="20"/>
          <w:szCs w:val="20"/>
          <w:color w:val="auto"/>
        </w:rPr>
      </w:pPr>
    </w:p>
    <w:p>
      <w:pPr>
        <w:ind w:left="160" w:right="2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2016 Plan provides for the grant of ISOs, NSOs, stock appreciation rights, restricted stock, restricted stock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stock awards, or collectively, awards, to Xometry’s employees, directors, and consultants who provide services to Xometry. Xometry has granted ISOs and NSOs under the 2016 Plan. ISOs may only be granted to our employees, or employees of a parent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60"/>
          </w:cols>
          <w:pgMar w:left="320" w:top="456"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20"/>
        <w:spacing w:after="0" w:line="268" w:lineRule="auto"/>
        <w:rPr>
          <w:sz w:val="20"/>
          <w:szCs w:val="20"/>
          <w:color w:val="auto"/>
        </w:rPr>
      </w:pPr>
      <w:r>
        <w:rPr>
          <w:rFonts w:ascii="Arial" w:cs="Arial" w:eastAsia="Arial" w:hAnsi="Arial"/>
          <w:sz w:val="17"/>
          <w:szCs w:val="17"/>
          <w:color w:val="auto"/>
        </w:rPr>
        <w:t>corporation or subisidiary corporation of Xometry. Ten percent stockholders may not be granted ISOs unless the exercise price of the option is at least 110% of fair market value on the date of grant and the option is not exercisable after five years from the date of grant.</w:t>
      </w:r>
    </w:p>
    <w:p>
      <w:pPr>
        <w:spacing w:after="0" w:line="157" w:lineRule="exact"/>
        <w:rPr>
          <w:sz w:val="20"/>
          <w:szCs w:val="20"/>
          <w:color w:val="auto"/>
        </w:rPr>
      </w:pPr>
    </w:p>
    <w:p>
      <w:pPr>
        <w:ind w:left="160" w:right="40" w:firstLine="546"/>
        <w:spacing w:after="0" w:line="270" w:lineRule="auto"/>
        <w:rPr>
          <w:sz w:val="20"/>
          <w:szCs w:val="20"/>
          <w:color w:val="auto"/>
        </w:rPr>
      </w:pPr>
      <w:r>
        <w:rPr>
          <w:rFonts w:ascii="Arial" w:cs="Arial" w:eastAsia="Arial" w:hAnsi="Arial"/>
          <w:sz w:val="17"/>
          <w:szCs w:val="17"/>
          <w:b w:val="1"/>
          <w:bCs w:val="1"/>
          <w:i w:val="1"/>
          <w:iCs w:val="1"/>
          <w:color w:val="auto"/>
        </w:rPr>
        <w:t xml:space="preserve">Authorized Shares. </w:t>
      </w:r>
      <w:r>
        <w:rPr>
          <w:rFonts w:ascii="Arial" w:cs="Arial" w:eastAsia="Arial" w:hAnsi="Arial"/>
          <w:sz w:val="17"/>
          <w:szCs w:val="17"/>
          <w:color w:val="auto"/>
        </w:rPr>
        <w:t>Subject to certain capitalization adjustments, the aggregate number of shares of Xometry Class A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that may be issued pursuant to stock awards under the 2016 Plan will not exceed 5,694,149 shares. The maximum number of shares of Xometry Class A common stock that may be issued pursuant to the exercise of ISOs under the 2016 Plan is 28,470,745 shares.</w:t>
      </w:r>
    </w:p>
    <w:p>
      <w:pPr>
        <w:spacing w:after="0" w:line="178"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Shares subject to awards granted under the 2016 Plan that expire or terminate without being exercised in full or that are settled in cash rather than in shares do not reduce the number of shares available for issuance under the 2016 Plan. Additionally, if any shares issued pursuant to a stock award are forfeited back to Xometry or repurchased because of the failure to meet a contingency or condition required to vest, then the shares that are forfeited or repurchased will revert to and again become available for issuance under the 2016 Plan. Shares used to pay the exercise or purchase price of a stock award or reacquired by us in order to satisfy the tax withholding obligations related to a stock award will also become available for issuance under the 2016 Plan.</w:t>
      </w:r>
    </w:p>
    <w:p>
      <w:pPr>
        <w:spacing w:after="0" w:line="180"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2016 Plan is administered by Xometry’s board of directors, or a duly authorized committee of its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is referred to as the “plan administrator” herein. Subject to the provisions of the 2016 Plan, the plan administrator will determine in its discretion the persons to whom and the times at which Awards are granted, the sizes of such Awards and all of their terms and conditions. The plan administrator will have the authority to construe and interpret the terms of the 2016 Plan and Awards granted under it. The plan administrator may also delegate to one or more of Xometry’s officers the authority to (1) designate employees (other than officers) to receive specified awards and (2) determine the number of shares subject to such awards.</w:t>
      </w:r>
    </w:p>
    <w:p>
      <w:pPr>
        <w:spacing w:after="0" w:line="203" w:lineRule="exact"/>
        <w:rPr>
          <w:sz w:val="20"/>
          <w:szCs w:val="20"/>
          <w:color w:val="auto"/>
        </w:rPr>
      </w:pPr>
    </w:p>
    <w:p>
      <w:pPr>
        <w:ind w:left="160" w:right="280" w:firstLine="546"/>
        <w:spacing w:after="0" w:line="236" w:lineRule="auto"/>
        <w:rPr>
          <w:sz w:val="20"/>
          <w:szCs w:val="20"/>
          <w:color w:val="auto"/>
        </w:rPr>
      </w:pPr>
      <w:r>
        <w:rPr>
          <w:rFonts w:ascii="Arial" w:cs="Arial" w:eastAsia="Arial" w:hAnsi="Arial"/>
          <w:sz w:val="18"/>
          <w:szCs w:val="18"/>
          <w:color w:val="auto"/>
        </w:rPr>
        <w:t>Under the 2016 Plan, the plan administrator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NSOs are granted under stock option agreements adopted by the plan administrator.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determines the exercise price for stock options, within the terms and conditions of the 2016 Plan, provided that the exercise price of a stock option generally cannot be less than 100% of the fair market value of Xometry common stock on the date of grant. Options granted under the 2016 Plan vest at the rate specified in the stock option agreement as determined by the plan administrator. The standard form of option award agreement under the 2016 Plan provides that options will vest 25% on the first anniversary of the vesting commencement date with the remainder vesting ratably over the next 36 months, subject to continued service through each applicable date. Under the 2016 Plan, the plan administrator has the authority to grant Awards with early exercise rights and to provide for accelerated vesting.</w:t>
      </w:r>
    </w:p>
    <w:p>
      <w:pPr>
        <w:spacing w:after="0" w:line="20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plan administrator determines the term of stock options granted under the 2016 Plan, up to a maximum of 10 years. If an optionholder’s service relationship with Xometry or any of its affiliates ceases for any reason other than disability, death or cause, the optionholder may generally exercise any vested options for a period of three months following the cessation of service. If an optionholder’s service relationship with Xometry or any of its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Xometry or any of its affiliates ceases due to disability, the optionholder may generally exercise any vested options for a period of 12 months following the cessation of service. In</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6"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no event may an option be exercised beyond the expiration of its term. If an optionholder’s service relationship with Xometry or any of its affiliates ceases due to termination for Cause, the optionholder will be prohibited from exercising options from and after the date of termination.</w:t>
      </w:r>
    </w:p>
    <w:p>
      <w:pPr>
        <w:spacing w:after="0" w:line="203" w:lineRule="exact"/>
        <w:rPr>
          <w:sz w:val="20"/>
          <w:szCs w:val="20"/>
          <w:color w:val="auto"/>
        </w:rPr>
      </w:pPr>
    </w:p>
    <w:p>
      <w:pPr>
        <w:ind w:left="160" w:right="120" w:firstLine="546"/>
        <w:spacing w:after="0" w:line="253" w:lineRule="auto"/>
        <w:rPr>
          <w:sz w:val="20"/>
          <w:szCs w:val="20"/>
          <w:color w:val="auto"/>
        </w:rPr>
      </w:pPr>
      <w:r>
        <w:rPr>
          <w:rFonts w:ascii="Arial" w:cs="Arial" w:eastAsia="Arial" w:hAnsi="Arial"/>
          <w:sz w:val="17"/>
          <w:szCs w:val="17"/>
          <w:color w:val="auto"/>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Xometry common stock previously owned by the optionholder, (4) a net exercise of the option if it is an NSO, (5) a deferred payment arrangement (including by promissory note) or (6) other legal consideration approved by the plan administrator.</w:t>
      </w:r>
    </w:p>
    <w:p>
      <w:pPr>
        <w:spacing w:after="0" w:line="19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0"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b w:val="1"/>
          <w:bCs w:val="1"/>
          <w:i w:val="1"/>
          <w:iCs w:val="1"/>
          <w:color w:val="auto"/>
        </w:rPr>
        <w:t xml:space="preserve">Tax Limitations on ISOs. </w:t>
      </w:r>
      <w:r>
        <w:rPr>
          <w:rFonts w:ascii="Arial" w:cs="Arial" w:eastAsia="Arial" w:hAnsi="Arial"/>
          <w:sz w:val="18"/>
          <w:szCs w:val="18"/>
          <w:color w:val="auto"/>
        </w:rPr>
        <w:t>The aggregate fair market value, determined at the time of grant, of Xometry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ISOs that are exercisable for the first time by an optionholder during any calendar year under all of Xometry’s stock plans may not exceed $100,000. Options or portions thereof that exceed such limit will generally be treated as NSOs. No ISO may be granted to any person who, at the time of the grant, owns or is deemed to own stock possessing more than 10% of Xometry’s total combined voting power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81" w:lineRule="exact"/>
        <w:rPr>
          <w:sz w:val="20"/>
          <w:szCs w:val="20"/>
          <w:color w:val="auto"/>
        </w:rPr>
      </w:pPr>
    </w:p>
    <w:p>
      <w:pPr>
        <w:ind w:left="160" w:right="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Restricted stock unit awards are granted under restricted stock unit award agreements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plan administrator. Restricted stock unit awards may be granted in consideration for any form of legal consideration that may be acceptable to Xometry’s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1"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A restricted stock award may be awarded in consideration for cash, cash equivalents, past or future services to Xometry, or any other form of legal consideration that may be acceptable to Xometry’s board of directors and permissible under applicable law. The plan administrator determines the terms and conditions of restricted stock awards, including vesting and forfeiture terms. If a participant’s service relationship with Xometry ends for any reason, Xometry may receive any or all of the shares of common stock held by the participant that have not vested as of the date the participant terminates service with Xometry through a forfeiture condition and/or a repurchase or reacquisition right. The restricted stock award agreement may provide that any dividends paid on restricted stock awards will be subject to the same vesting and forfeiture restrictions as apply to the underlying shares of restricted stock.</w:t>
      </w:r>
    </w:p>
    <w:p>
      <w:pPr>
        <w:spacing w:after="0" w:line="184" w:lineRule="exact"/>
        <w:rPr>
          <w:sz w:val="20"/>
          <w:szCs w:val="20"/>
          <w:color w:val="auto"/>
        </w:rPr>
      </w:pPr>
    </w:p>
    <w:p>
      <w:pPr>
        <w:ind w:left="160" w:firstLine="546"/>
        <w:spacing w:after="0" w:line="243"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Xometry’s capital structure, such as a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reverse stock split or recapitalization, appropriate adjustments will be made to (1) the class and maximum number of shares reserved for issuance under the 2016 Plan, (2) the class and maximum number of shares that may be issued on the exercise of ISOs and (3) the class and number of shares and exercise price, strike price, or purchase price, if applicable, of all outstanding stock awards.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The 2016 Plan provides that in the event of certain specified significant transactions (described below)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control (defined below), unless otherwise provided in an award agreement or other written agreement between Xometry and the award holder, the plan administrator may take one or more of the following actions with respect to such stock awards:</w:t>
      </w:r>
    </w:p>
    <w:p>
      <w:pPr>
        <w:spacing w:after="0" w:line="100" w:lineRule="exact"/>
        <w:rPr>
          <w:sz w:val="20"/>
          <w:szCs w:val="20"/>
          <w:color w:val="auto"/>
        </w:rPr>
      </w:pPr>
    </w:p>
    <w:p>
      <w:pPr>
        <w:ind w:left="920" w:hanging="218"/>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Xometry to the surviving or acquiring corporation;</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(if applicable) at or before the effective time of the transaction;</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Xometry;</w:t>
      </w:r>
    </w:p>
    <w:p>
      <w:pPr>
        <w:spacing w:after="0" w:line="113"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transaction, in exchange for a consideration, if any; and</w:t>
      </w:r>
    </w:p>
    <w:p>
      <w:pPr>
        <w:spacing w:after="0" w:line="109" w:lineRule="exact"/>
        <w:rPr>
          <w:rFonts w:ascii="Arial" w:cs="Arial" w:eastAsia="Arial" w:hAnsi="Arial"/>
          <w:sz w:val="18"/>
          <w:szCs w:val="18"/>
          <w:color w:val="auto"/>
        </w:rPr>
      </w:pPr>
    </w:p>
    <w:p>
      <w:pPr>
        <w:ind w:left="920" w:right="240" w:hanging="218"/>
        <w:spacing w:after="0" w:line="237"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Under the 2016 Plan, a transaction is generally the consummation of: (1) a sale of all or substantially all of Xometry’s assets, (2) the sale or disposition of at least 50% of Xometry’s outstanding securities, (3) a merger or consolidation in which Xometry is not the surviving corporation, or (4) a merger or consolidation in which Xometry is the surviving corporation but the shares of Xometry common stock outstanding immediately before such transaction are converted or exchanged into other property by virtue of the transaction.</w:t>
      </w:r>
    </w:p>
    <w:p>
      <w:pPr>
        <w:spacing w:after="0" w:line="180" w:lineRule="exact"/>
        <w:rPr>
          <w:sz w:val="20"/>
          <w:szCs w:val="20"/>
          <w:color w:val="auto"/>
        </w:rPr>
      </w:pPr>
    </w:p>
    <w:p>
      <w:pPr>
        <w:jc w:val="both"/>
        <w:ind w:left="160" w:right="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In addition to the above, the plan administrator may provide, in an individual award agreement that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subject to additional acceleration of vesting and exercisability in the event of a change in control, but in the absence of such a provision, no acceleration will occur upon a change in control.</w:t>
      </w:r>
    </w:p>
    <w:p>
      <w:pPr>
        <w:spacing w:after="0" w:line="194"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Under the 2016 Plan, a change in control is generally (1) the acquisition by any person or company of more than 50% of the combined voting power of Xometry’s then outstanding stock, other than by virtue of a merger, consolidation or similar transaction (2) a merger, consolidation or similar transaction in which Xometry’s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or (3) a sale, lease, exclusive license or other disposition of all or substantially all of Xometry’s assets other than to an entity more than 50% of the combined voting power of which is owned by its stockholders in substantially the same proportions as their ownership of Xometry’s outstanding voting securities immediately prior to such transaction. Xometry’s initial public offering, any subsequent public offering or another capital raising event is not a change in control.</w:t>
      </w:r>
    </w:p>
    <w:p>
      <w:pPr>
        <w:spacing w:after="0" w:line="174" w:lineRule="exact"/>
        <w:rPr>
          <w:sz w:val="20"/>
          <w:szCs w:val="20"/>
          <w:color w:val="auto"/>
        </w:rPr>
      </w:pPr>
    </w:p>
    <w:p>
      <w:pPr>
        <w:jc w:val="both"/>
        <w:ind w:left="160" w:right="400" w:firstLine="546"/>
        <w:spacing w:after="0" w:line="249" w:lineRule="auto"/>
        <w:rPr>
          <w:sz w:val="20"/>
          <w:szCs w:val="20"/>
          <w:color w:val="auto"/>
        </w:rPr>
      </w:pPr>
      <w:r>
        <w:rPr>
          <w:rFonts w:ascii="Arial" w:cs="Arial" w:eastAsia="Arial" w:hAnsi="Arial"/>
          <w:sz w:val="18"/>
          <w:szCs w:val="18"/>
          <w:b w:val="1"/>
          <w:bCs w:val="1"/>
          <w:i w:val="1"/>
          <w:iCs w:val="1"/>
          <w:color w:val="auto"/>
        </w:rPr>
        <w:t xml:space="preserve">Plan Amendment or Termination. </w:t>
      </w:r>
      <w:r>
        <w:rPr>
          <w:rFonts w:ascii="Arial" w:cs="Arial" w:eastAsia="Arial" w:hAnsi="Arial"/>
          <w:sz w:val="18"/>
          <w:szCs w:val="18"/>
          <w:color w:val="auto"/>
        </w:rPr>
        <w:t>Xometry’s board of directors has the authority to amend, suspend, or terminate the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provided that such action does not impair the existing rights of any participant without such participant’s written consent. Certain material amendments also require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the approval of Xometry’s stockholders. Unless terminated sooner, the 2016 Plan will automatically terminate on February 2, 2026. No stock awards may be granted under the 2016 Plan while it is suspended or after it is terminated.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2014 Stock Option Plan</w:t>
      </w:r>
    </w:p>
    <w:p>
      <w:pPr>
        <w:spacing w:after="0" w:line="123"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The following summary describes the material terms of the Nextline Manufacturing Corp. 2014 Stock Option Plan, or 2014 Plan, which was adopted by Xometry’s board of directors and approved by our stockholders in August 2014 and subsequently terminated in February 2016. No additional awards may be granted under the 2014 Plan, however, outstanding awards continue in full effect in accordance with their existing terms.</w:t>
      </w:r>
    </w:p>
    <w:p>
      <w:pPr>
        <w:spacing w:after="0" w:line="180" w:lineRule="exact"/>
        <w:rPr>
          <w:sz w:val="20"/>
          <w:szCs w:val="20"/>
          <w:color w:val="auto"/>
        </w:rPr>
      </w:pPr>
    </w:p>
    <w:p>
      <w:pPr>
        <w:ind w:left="160" w:right="20" w:firstLine="546"/>
        <w:spacing w:after="0" w:line="265"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2014 Plan provided for the grant of ISOs, NSOs stock purchase rights, restricted stock awards, and stock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collectively, Awards, to eligible employees, directors, and consultants.</w:t>
      </w:r>
    </w:p>
    <w:p>
      <w:pPr>
        <w:spacing w:after="0" w:line="158" w:lineRule="exact"/>
        <w:rPr>
          <w:sz w:val="20"/>
          <w:szCs w:val="20"/>
          <w:color w:val="auto"/>
        </w:rPr>
      </w:pPr>
    </w:p>
    <w:p>
      <w:pPr>
        <w:ind w:left="720"/>
        <w:spacing w:after="0"/>
        <w:tabs>
          <w:tab w:leader="none" w:pos="2560" w:val="left"/>
        </w:tabs>
        <w:rPr>
          <w:sz w:val="20"/>
          <w:szCs w:val="20"/>
          <w:color w:val="auto"/>
        </w:rPr>
      </w:pPr>
      <w:r>
        <w:rPr>
          <w:rFonts w:ascii="Arial" w:cs="Arial" w:eastAsia="Arial" w:hAnsi="Arial"/>
          <w:sz w:val="18"/>
          <w:szCs w:val="18"/>
          <w:b w:val="1"/>
          <w:bCs w:val="1"/>
          <w:i w:val="1"/>
          <w:iCs w:val="1"/>
          <w:color w:val="auto"/>
        </w:rPr>
        <w:t>Authorized Shares.</w:t>
      </w:r>
      <w:r>
        <w:rPr>
          <w:sz w:val="20"/>
          <w:szCs w:val="20"/>
          <w:color w:val="auto"/>
        </w:rPr>
        <w:tab/>
      </w:r>
      <w:r>
        <w:rPr>
          <w:rFonts w:ascii="Arial" w:cs="Arial" w:eastAsia="Arial" w:hAnsi="Arial"/>
          <w:sz w:val="17"/>
          <w:szCs w:val="17"/>
          <w:color w:val="auto"/>
        </w:rPr>
        <w:t>560,000 shares of common stock were reserved for issuance under our 2014 Plan.</w:t>
      </w:r>
    </w:p>
    <w:p>
      <w:pPr>
        <w:spacing w:after="0" w:line="208" w:lineRule="exact"/>
        <w:rPr>
          <w:sz w:val="20"/>
          <w:szCs w:val="20"/>
          <w:color w:val="auto"/>
        </w:rPr>
      </w:pPr>
    </w:p>
    <w:p>
      <w:pPr>
        <w:jc w:val="both"/>
        <w:ind w:left="160" w:right="240" w:firstLine="546"/>
        <w:spacing w:after="0" w:line="249"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2014 Plan is administered by our board of directors, or a duly authorized committee of its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is referred to as the “plan administrator” herein. Subject to the provisions of the 2014 Plan, the plan administrator has the authority to:</w:t>
      </w:r>
    </w:p>
    <w:p>
      <w:pPr>
        <w:spacing w:after="0" w:line="194" w:lineRule="exact"/>
        <w:rPr>
          <w:sz w:val="20"/>
          <w:szCs w:val="20"/>
          <w:color w:val="auto"/>
        </w:rPr>
      </w:pPr>
    </w:p>
    <w:p>
      <w:pPr>
        <w:ind w:left="980" w:hanging="267"/>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fair market value in accordance with Section 409A;</w:t>
      </w:r>
    </w:p>
    <w:p>
      <w:pPr>
        <w:spacing w:after="0" w:line="207" w:lineRule="exact"/>
        <w:rPr>
          <w:rFonts w:ascii="Arial" w:cs="Arial" w:eastAsia="Arial" w:hAnsi="Arial"/>
          <w:sz w:val="18"/>
          <w:szCs w:val="18"/>
          <w:color w:val="auto"/>
        </w:rPr>
      </w:pPr>
    </w:p>
    <w:p>
      <w:pPr>
        <w:ind w:left="980" w:hanging="267"/>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select the service providers or prospective service providers to whom awards may be granted;</w:t>
      </w:r>
    </w:p>
    <w:p>
      <w:pPr>
        <w:spacing w:after="0" w:line="207" w:lineRule="exact"/>
        <w:rPr>
          <w:rFonts w:ascii="Arial" w:cs="Arial" w:eastAsia="Arial" w:hAnsi="Arial"/>
          <w:sz w:val="18"/>
          <w:szCs w:val="18"/>
          <w:color w:val="auto"/>
        </w:rPr>
      </w:pPr>
    </w:p>
    <w:p>
      <w:pPr>
        <w:ind w:left="980" w:hanging="267"/>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number of shares to be covered by each award;</w:t>
      </w:r>
    </w:p>
    <w:p>
      <w:pPr>
        <w:spacing w:after="0" w:line="207" w:lineRule="exact"/>
        <w:rPr>
          <w:rFonts w:ascii="Arial" w:cs="Arial" w:eastAsia="Arial" w:hAnsi="Arial"/>
          <w:sz w:val="18"/>
          <w:szCs w:val="18"/>
          <w:color w:val="auto"/>
        </w:rPr>
      </w:pPr>
    </w:p>
    <w:p>
      <w:pPr>
        <w:ind w:left="980" w:hanging="267"/>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approve the forms of agreements for use under the 2014 Plan;</w:t>
      </w:r>
    </w:p>
    <w:p>
      <w:pPr>
        <w:spacing w:after="0" w:line="207" w:lineRule="exact"/>
        <w:rPr>
          <w:rFonts w:ascii="Arial" w:cs="Arial" w:eastAsia="Arial" w:hAnsi="Arial"/>
          <w:sz w:val="18"/>
          <w:szCs w:val="18"/>
          <w:color w:val="auto"/>
        </w:rPr>
      </w:pPr>
    </w:p>
    <w:p>
      <w:pPr>
        <w:ind w:left="160" w:right="20" w:firstLine="553"/>
        <w:spacing w:after="0" w:line="236" w:lineRule="auto"/>
        <w:tabs>
          <w:tab w:leader="none" w:pos="97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terms and conditions of awards, including, but not limited to, the exercise price, when options or stock purchase rights may be exercised or restricted stock awards vest (which may be based on performance criteria), any vesting acceleration or waiver of forfeiture restrictions, and any restrictions or limitations on awards or the common stock relating thereto based on factors as the plan administrator determines;</w:t>
      </w:r>
    </w:p>
    <w:p>
      <w:pPr>
        <w:spacing w:after="0" w:line="202" w:lineRule="exact"/>
        <w:rPr>
          <w:rFonts w:ascii="Arial" w:cs="Arial" w:eastAsia="Arial" w:hAnsi="Arial"/>
          <w:sz w:val="18"/>
          <w:szCs w:val="18"/>
          <w:color w:val="auto"/>
        </w:rPr>
      </w:pPr>
    </w:p>
    <w:p>
      <w:pPr>
        <w:ind w:left="160" w:right="260" w:firstLine="553"/>
        <w:spacing w:after="0" w:line="239" w:lineRule="auto"/>
        <w:tabs>
          <w:tab w:leader="none" w:pos="9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exercise price of any option to the then fair market value, if the fair market value of the common stock covered by such option has declined since the date the option was granted;</w:t>
      </w:r>
    </w:p>
    <w:p>
      <w:pPr>
        <w:spacing w:after="0" w:line="202" w:lineRule="exact"/>
        <w:rPr>
          <w:rFonts w:ascii="Arial" w:cs="Arial" w:eastAsia="Arial" w:hAnsi="Arial"/>
          <w:sz w:val="18"/>
          <w:szCs w:val="18"/>
          <w:color w:val="auto"/>
        </w:rPr>
      </w:pPr>
    </w:p>
    <w:p>
      <w:pPr>
        <w:ind w:left="980" w:hanging="267"/>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initiate an option exchange program;</w:t>
      </w:r>
    </w:p>
    <w:p>
      <w:pPr>
        <w:spacing w:after="0" w:line="207" w:lineRule="exact"/>
        <w:rPr>
          <w:rFonts w:ascii="Arial" w:cs="Arial" w:eastAsia="Arial" w:hAnsi="Arial"/>
          <w:sz w:val="18"/>
          <w:szCs w:val="18"/>
          <w:color w:val="auto"/>
        </w:rPr>
      </w:pPr>
    </w:p>
    <w:p>
      <w:pPr>
        <w:ind w:left="980" w:hanging="267"/>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2014 Plan;</w:t>
      </w:r>
    </w:p>
    <w:p>
      <w:pPr>
        <w:spacing w:after="0" w:line="207" w:lineRule="exact"/>
        <w:rPr>
          <w:rFonts w:ascii="Arial" w:cs="Arial" w:eastAsia="Arial" w:hAnsi="Arial"/>
          <w:sz w:val="18"/>
          <w:szCs w:val="18"/>
          <w:color w:val="auto"/>
        </w:rPr>
      </w:pPr>
    </w:p>
    <w:p>
      <w:pPr>
        <w:jc w:val="both"/>
        <w:ind w:left="160" w:firstLine="553"/>
        <w:spacing w:after="0" w:line="236" w:lineRule="auto"/>
        <w:tabs>
          <w:tab w:leader="none" w:pos="91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allow optionholders to elect, in such form and under such conditions as the plan administrator deems necessary or advisable, to satisfy withholding tax obligations by delivering to the company or by electing to have the company withhold from the shares to be issued upon exercise of an option or stock purchase right that number of shares having fair market value equal to the amount required to be withheld (but not in excess of such amount); and</w:t>
      </w:r>
    </w:p>
    <w:p>
      <w:pPr>
        <w:spacing w:after="0" w:line="202" w:lineRule="exact"/>
        <w:rPr>
          <w:rFonts w:ascii="Arial" w:cs="Arial" w:eastAsia="Arial" w:hAnsi="Arial"/>
          <w:sz w:val="18"/>
          <w:szCs w:val="18"/>
          <w:color w:val="auto"/>
        </w:rPr>
      </w:pPr>
    </w:p>
    <w:p>
      <w:pPr>
        <w:ind w:left="920" w:hanging="207"/>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construe and interpret the terms of the 2014 Plan and awards granted thereunder.</w:t>
      </w:r>
    </w:p>
    <w:p>
      <w:pPr>
        <w:spacing w:after="0" w:line="186" w:lineRule="exact"/>
        <w:rPr>
          <w:sz w:val="20"/>
          <w:szCs w:val="20"/>
          <w:color w:val="auto"/>
        </w:rPr>
      </w:pPr>
    </w:p>
    <w:p>
      <w:pPr>
        <w:ind w:left="160" w:right="900" w:firstLine="546"/>
        <w:spacing w:after="0" w:line="265"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NSOs were granted under option agreements adopted by the plan administrator.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determined the exercise price for stock options, within the terms</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320" w:top="456" w:right="5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and conditions of the 2014 Plan, provided that the exercise price of a stock option generally cannot be less than 100% of the fair market value of our common stock on the date of grant. The plan administrator determined the term of stock options granted under the 2014 Plan, up to a maximum of 10 years. If an optionholder’s service relationship with us or any of our affiliates ceases for any reason other than disability, death, cause, or voluntary termination, or the optionholder enters a post-termination relationship with a competing business, the optionholder may generally exercise any vested options for a period of three months following the cessation of service. If an optionholder’s service relationship with us or any of our affiliates ceases due to death the optionholder or a beneficiary may generally exercise any vested options for a period of 12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voluntary termination, or that an optionholder within the option term becomes an employee, consultant, or director of a competing business, any option held by the optionholder will terminate immediately. In addition, upon the occurrence of the events specified in the preceding sentence, optionholders automatically forfeit all shares underlying any exercised portion of an option for which the company has not yet delivered the share certificates, upon refund by the company of the exercise price paid by the optionholder. In no event may an option be exercised beyond the expiration of its term.</w:t>
      </w:r>
    </w:p>
    <w:p>
      <w:pPr>
        <w:spacing w:after="0" w:line="188" w:lineRule="exact"/>
        <w:rPr>
          <w:sz w:val="20"/>
          <w:szCs w:val="20"/>
          <w:color w:val="auto"/>
        </w:rPr>
      </w:pPr>
    </w:p>
    <w:p>
      <w:pPr>
        <w:jc w:val="both"/>
        <w:ind w:left="1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of a stock split, reverse stock split, stock dividend, combination or reclassification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or any other increase or decrease in the number of issued shares effected without receipt of consideration, the number of shares covered by outstanding options and the exercise price per share will be adjusted proportionately.</w:t>
      </w:r>
    </w:p>
    <w:p>
      <w:pPr>
        <w:spacing w:after="0" w:line="172" w:lineRule="exact"/>
        <w:rPr>
          <w:sz w:val="20"/>
          <w:szCs w:val="20"/>
          <w:color w:val="auto"/>
        </w:rPr>
      </w:pPr>
    </w:p>
    <w:p>
      <w:pPr>
        <w:ind w:left="1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The 2014 Plan provides that in the event of a qualifying consolidation, merger, or a sale or transfer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of our assets, all outstanding options shall become immediately exercisable, unless such options are assumed or replaced by the surviving corporation.</w:t>
      </w:r>
    </w:p>
    <w:p>
      <w:pPr>
        <w:spacing w:after="0" w:line="172"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b w:val="1"/>
          <w:bCs w:val="1"/>
          <w:i w:val="1"/>
          <w:iCs w:val="1"/>
          <w:color w:val="auto"/>
        </w:rPr>
        <w:t xml:space="preserve">Dissolution or Liquidation. </w:t>
      </w:r>
      <w:r>
        <w:rPr>
          <w:rFonts w:ascii="Arial" w:cs="Arial" w:eastAsia="Arial" w:hAnsi="Arial"/>
          <w:sz w:val="18"/>
          <w:szCs w:val="18"/>
          <w:color w:val="auto"/>
        </w:rPr>
        <w:t>In the event of a proposed dissolution or liquidation of the company, the plan administrator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notice to each optionholder and may in its discretion provide the right to exercise options or stock purchase rights that would not otherwise be exercisable until fifteen days prior to such transaction. The plan administrator may also provide that any company repurchase option applicable to shares purchased upon exercise of an option will lapse, provided that the dissolution or liquidation takes place at the time and in the manner contemplated. Unexercised options will terminate immediately prior to the consummation of the dissolution or liquidation.</w:t>
      </w:r>
    </w:p>
    <w:p>
      <w:pPr>
        <w:spacing w:after="0" w:line="181" w:lineRule="exact"/>
        <w:rPr>
          <w:sz w:val="20"/>
          <w:szCs w:val="20"/>
          <w:color w:val="auto"/>
        </w:rPr>
      </w:pPr>
    </w:p>
    <w:p>
      <w:pPr>
        <w:ind w:left="160" w:right="140" w:firstLine="546"/>
        <w:spacing w:after="0" w:line="243" w:lineRule="auto"/>
        <w:rPr>
          <w:sz w:val="20"/>
          <w:szCs w:val="20"/>
          <w:color w:val="auto"/>
        </w:rPr>
      </w:pPr>
      <w:r>
        <w:rPr>
          <w:rFonts w:ascii="Arial" w:cs="Arial" w:eastAsia="Arial" w:hAnsi="Arial"/>
          <w:sz w:val="18"/>
          <w:szCs w:val="18"/>
          <w:b w:val="1"/>
          <w:bCs w:val="1"/>
          <w:i w:val="1"/>
          <w:iCs w:val="1"/>
          <w:color w:val="auto"/>
        </w:rPr>
        <w:t xml:space="preserve">Plan Amendment or Termination. </w:t>
      </w:r>
      <w:r>
        <w:rPr>
          <w:rFonts w:ascii="Arial" w:cs="Arial" w:eastAsia="Arial" w:hAnsi="Arial"/>
          <w:sz w:val="18"/>
          <w:szCs w:val="18"/>
          <w:color w:val="auto"/>
        </w:rPr>
        <w:t>Our board of directors has the authority to amend, alter, suspend, or terminate the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provided that such action does not impair the existing rights of any participant without such participant’s written consent. The board must obtain stockholder approval of any amendments to the extent necessary to comply with applicable laws. The 2014 Plan was terminated in February 2016.</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0"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09" w:lineRule="exact"/>
        <w:rPr>
          <w:sz w:val="20"/>
          <w:szCs w:val="20"/>
          <w:color w:val="auto"/>
        </w:rPr>
      </w:pPr>
    </w:p>
    <w:p>
      <w:pPr>
        <w:ind w:left="920" w:hanging="218"/>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3" w:lineRule="exact"/>
        <w:rPr>
          <w:rFonts w:ascii="Arial" w:cs="Arial" w:eastAsia="Arial" w:hAnsi="Arial"/>
          <w:sz w:val="18"/>
          <w:szCs w:val="18"/>
          <w:color w:val="auto"/>
        </w:rPr>
      </w:pPr>
    </w:p>
    <w:p>
      <w:pPr>
        <w:ind w:left="5480" w:right="1900" w:hanging="4778"/>
        <w:spacing w:after="0" w:line="410" w:lineRule="auto"/>
        <w:tabs>
          <w:tab w:leader="none" w:pos="9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 146</w:t>
      </w:r>
    </w:p>
    <w:p>
      <w:pPr>
        <w:sectPr>
          <w:pgSz w:w="11900" w:h="16838" w:orient="portrait"/>
          <w:cols w:equalWidth="0" w:num="1">
            <w:col w:w="11060"/>
          </w:cols>
          <w:pgMar w:left="32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8"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203" w:lineRule="exact"/>
        <w:rPr>
          <w:sz w:val="20"/>
          <w:szCs w:val="20"/>
          <w:color w:val="auto"/>
        </w:rPr>
      </w:pPr>
    </w:p>
    <w:p>
      <w:pPr>
        <w:ind w:left="160" w:right="20" w:firstLine="546"/>
        <w:spacing w:after="0" w:line="248" w:lineRule="auto"/>
        <w:rPr>
          <w:sz w:val="20"/>
          <w:szCs w:val="20"/>
          <w:color w:val="auto"/>
        </w:rPr>
      </w:pPr>
      <w:r>
        <w:rPr>
          <w:rFonts w:ascii="Arial" w:cs="Arial" w:eastAsia="Arial" w:hAnsi="Arial"/>
          <w:sz w:val="17"/>
          <w:szCs w:val="17"/>
          <w:color w:val="auto"/>
        </w:rPr>
        <w:t>Our amended and restated certificate of incorporation that will be in effect on the completion of this offering will authorize us to indemnify our directors, officers, employees and other agents to the 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96"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4"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Rule 10b5-1 Sales Plans</w:t>
      </w:r>
    </w:p>
    <w:p>
      <w:pPr>
        <w:spacing w:after="0" w:line="230"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0"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109" w:lineRule="exact"/>
        <w:rPr>
          <w:sz w:val="20"/>
          <w:szCs w:val="20"/>
          <w:color w:val="auto"/>
        </w:rPr>
      </w:pPr>
    </w:p>
    <w:p>
      <w:pPr>
        <w:ind w:left="920" w:hanging="218"/>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3"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Third Party Tender Offer</w:t>
      </w:r>
    </w:p>
    <w:p>
      <w:pPr>
        <w:spacing w:after="0" w:line="230"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In August, 2020, the Company entered into an agreement with certain investors, including T. Rowe Price Associates, Highland Capital Partners, Foundry Group, BMW i Ventures SCS, SICAV RAIF and Greenspring Associates, LLC (together with their respective affiliates), pursuant to which we agreed to waive certain transfer restrictions in connection with, and assist in the administration of, a tender offer that such investors proposed to commence. In August 2020, these investors commenced a tender offer to purchase shares of our capital stock from certain of our stockholders at a price of $8.00 per share, pursuant to an offer to purchase to which we were not a party.</w:t>
      </w:r>
    </w:p>
    <w:p>
      <w:pPr>
        <w:spacing w:after="0" w:line="195"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Each of Laurence Zuriff, our co-founder and Chief Strategy Officer and a member of our board of directors, and his affiliated entity, ZFI Capital, and George Hornig, the Chairman of our board of directors, sold shares of Series Seed-1 and Series Seed-2 Preferred Stock in the tender offer.</w:t>
      </w:r>
    </w:p>
    <w:p>
      <w:pPr>
        <w:spacing w:after="0" w:line="203" w:lineRule="exact"/>
        <w:rPr>
          <w:sz w:val="20"/>
          <w:szCs w:val="20"/>
          <w:color w:val="auto"/>
        </w:rPr>
      </w:pPr>
    </w:p>
    <w:p>
      <w:pPr>
        <w:ind w:left="160" w:right="480" w:firstLine="546"/>
        <w:spacing w:after="0" w:line="237" w:lineRule="auto"/>
        <w:rPr>
          <w:sz w:val="20"/>
          <w:szCs w:val="20"/>
          <w:color w:val="auto"/>
        </w:rPr>
      </w:pPr>
      <w:r>
        <w:rPr>
          <w:rFonts w:ascii="Arial" w:cs="Arial" w:eastAsia="Arial" w:hAnsi="Arial"/>
          <w:sz w:val="18"/>
          <w:szCs w:val="18"/>
          <w:color w:val="auto"/>
        </w:rPr>
        <w:t>Each of Randolph Altschuler, Laurence Zuriff, T. Rowe Price Associates, Highland Capital Partners, Foundry Group, BMW i Ventures SCS, SICAV RAIF, and Greenspring Associates and their respective affiliates are beneficial holders of more than 5% of our outstanding capital stock.</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Preferred Stock Financing</w:t>
      </w:r>
    </w:p>
    <w:p>
      <w:pPr>
        <w:spacing w:after="0" w:line="2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$52,653,589.65.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Shares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Series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Series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Series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A-2</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B</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2820" w:type="dxa"/>
            <w:vAlign w:val="bottom"/>
            <w:vMerge w:val="restart"/>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Preferred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Preferred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87"/>
        </w:trPr>
        <w:tc>
          <w:tcPr>
            <w:tcW w:w="42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Highland Capital Partners</w:t>
            </w: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89,985</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30,888</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32,100</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24,912</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180,170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1"/>
              <w:spacing w:after="0" w:line="188"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4,168,550.53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BMW i Ventures SCS, SICAV RAIF</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42,521</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14,592</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15,161</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11,761</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85,137</w:t>
            </w:r>
          </w:p>
        </w:tc>
        <w:tc>
          <w:tcPr>
            <w:tcW w:w="3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1,969,577.50</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Greenspring Associates</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41,667</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14,303</w:t>
            </w:r>
          </w:p>
        </w:tc>
        <w:tc>
          <w:tcPr>
            <w:tcW w:w="9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14,864</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11,536</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83,425</w:t>
            </w:r>
          </w:p>
        </w:tc>
        <w:tc>
          <w:tcPr>
            <w:tcW w:w="340" w:type="dxa"/>
            <w:vAlign w:val="bottom"/>
            <w:gridSpan w:val="2"/>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1,930,213.85</w:t>
            </w:r>
          </w:p>
        </w:tc>
        <w:tc>
          <w:tcPr>
            <w:tcW w:w="0" w:type="dxa"/>
            <w:vAlign w:val="bottom"/>
          </w:tcPr>
          <w:p>
            <w:pPr>
              <w:spacing w:after="0"/>
              <w:rPr>
                <w:sz w:val="1"/>
                <w:szCs w:val="1"/>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Foundry Group</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59,633</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20,470</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21,273</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16,510</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119,399</w:t>
            </w:r>
          </w:p>
        </w:tc>
        <w:tc>
          <w:tcPr>
            <w:tcW w:w="3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2,762,518.76</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 Rowe Price Associates, Inc.</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654,011</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224,493</w:t>
            </w:r>
          </w:p>
        </w:tc>
        <w:tc>
          <w:tcPr>
            <w:tcW w:w="9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233,298</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181,056</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1,309,467</w:t>
            </w:r>
          </w:p>
        </w:tc>
        <w:tc>
          <w:tcPr>
            <w:tcW w:w="340" w:type="dxa"/>
            <w:vAlign w:val="bottom"/>
            <w:gridSpan w:val="2"/>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30,296,809.69</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D Preferred Stock Financing</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$54,999,975.96.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Series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740" w:type="dxa"/>
            <w:vAlign w:val="bottom"/>
            <w:vMerge w:val="restart"/>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vMerge w:val="continue"/>
          </w:tcPr>
          <w:p>
            <w:pPr>
              <w:spacing w:after="0"/>
              <w:rPr>
                <w:sz w:val="15"/>
                <w:szCs w:val="15"/>
                <w:color w:val="auto"/>
              </w:rPr>
            </w:pPr>
          </w:p>
        </w:tc>
        <w:tc>
          <w:tcPr>
            <w:tcW w:w="6740" w:type="dxa"/>
            <w:vAlign w:val="bottom"/>
            <w:vMerge w:val="continue"/>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7"/>
        </w:trPr>
        <w:tc>
          <w:tcPr>
            <w:tcW w:w="81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Highland Capital Partners</w:t>
            </w: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399,573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1"/>
              <w:spacing w:after="0" w:line="188"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4,000,045.40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gridSpan w:val="2"/>
          </w:tcPr>
          <w:p>
            <w:pPr>
              <w:spacing w:after="0" w:line="201" w:lineRule="exact"/>
              <w:rPr>
                <w:sz w:val="20"/>
                <w:szCs w:val="20"/>
                <w:color w:val="auto"/>
              </w:rPr>
            </w:pPr>
            <w:r>
              <w:rPr>
                <w:rFonts w:ascii="Arial" w:cs="Arial" w:eastAsia="Arial" w:hAnsi="Arial"/>
                <w:sz w:val="18"/>
                <w:szCs w:val="18"/>
                <w:color w:val="auto"/>
              </w:rPr>
              <w:t>BMW i Ventures SCS, SICAV RAIF</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372,548</w:t>
            </w:r>
          </w:p>
        </w:tc>
        <w:tc>
          <w:tcPr>
            <w:tcW w:w="320" w:type="dxa"/>
            <w:vAlign w:val="bottom"/>
            <w:gridSpan w:val="2"/>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3,729,503.52</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Greenspring Associates</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2,497,300</w:t>
            </w:r>
          </w:p>
        </w:tc>
        <w:tc>
          <w:tcPr>
            <w:tcW w:w="320" w:type="dxa"/>
            <w:vAlign w:val="bottom"/>
            <w:gridSpan w:val="2"/>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24,999,970.85</w:t>
            </w:r>
          </w:p>
        </w:tc>
        <w:tc>
          <w:tcPr>
            <w:tcW w:w="0" w:type="dxa"/>
            <w:vAlign w:val="bottom"/>
          </w:tcPr>
          <w:p>
            <w:pPr>
              <w:spacing w:after="0"/>
              <w:rPr>
                <w:sz w:val="1"/>
                <w:szCs w:val="1"/>
                <w:color w:val="auto"/>
              </w:rPr>
            </w:pPr>
          </w:p>
        </w:tc>
      </w:tr>
      <w:tr>
        <w:trPr>
          <w:trHeight w:val="213"/>
        </w:trPr>
        <w:tc>
          <w:tcPr>
            <w:tcW w:w="8180" w:type="dxa"/>
            <w:vAlign w:val="bottom"/>
            <w:gridSpan w:val="2"/>
          </w:tcPr>
          <w:p>
            <w:pPr>
              <w:spacing w:after="0"/>
              <w:rPr>
                <w:sz w:val="20"/>
                <w:szCs w:val="20"/>
                <w:color w:val="auto"/>
              </w:rPr>
            </w:pPr>
            <w:r>
              <w:rPr>
                <w:rFonts w:ascii="Arial" w:cs="Arial" w:eastAsia="Arial" w:hAnsi="Arial"/>
                <w:sz w:val="18"/>
                <w:szCs w:val="18"/>
                <w:color w:val="auto"/>
              </w:rPr>
              <w:t>Foundry Group</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787,238</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7,880,882.18</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Consulting Contract with Peter Goguen</w:t>
      </w:r>
    </w:p>
    <w:p>
      <w:pPr>
        <w:spacing w:after="0" w:line="230"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In February 2018, we entered into a consulting agreement with Business Improvement Systems, Inc., which is owned by Peter Goguen. Peter Goguen is our Chief Operating Officer. Pursuant to the terms of this agreement, we paid Business Improvement Systems, Inc. a monthly consulting fee in the amount of $11,667. Business Improvement Systems, Inc. provided us with consulting services related to operating services. This agreement was terminated as of January 31, 2021.</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Stockholder Agreements</w:t>
      </w:r>
    </w:p>
    <w:p>
      <w:pPr>
        <w:spacing w:after="0" w:line="230"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In connection with our preferred stock financings, we entered into certain stockholder agreements, including an investors’ rights agreement, a voting agreement and a right of first refusal and co-sale agreement, which contain, among other things, registration rights, information rights, voting rights with respect to the election of directors, co-sale rights and rights of first refusal, with certain holders of our capital stock. The parties to these stockholder agreements include: Randolph Altschuler and entities affiliated with Randolph Altschuler, Laurence Zuriff and entities affiliated with Laurence Zuriff, George Hornig, entities affiliated with Highland Capital Partners, where our director, Craig Driscoll, is a general partner; entities affiliated with Foundry Group, entities affiliated with BMW i Ventures SCS, SICAV RAIF and entities affiliated with Greenspring Associates.</w:t>
      </w:r>
    </w:p>
    <w:p>
      <w:pPr>
        <w:spacing w:after="0" w:line="206"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investors’ rights agreement, voting agreement, and right of first refusal and co-sale agreement will terminate upon the completion of this offering, except with respect to registration rights, as more fully described in the section titled “Description of Capital Stock—Stockholder Registration Rights.” See also the section titled “Principal Stockholders” for additional information regarding beneficial ownership of our capital stock.</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Transaction</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In connection with this offering, we will enter into an exchange agreement with our co-founders, Randolph Altschuler and Laurence Zuriff, pursuant to which an aggregate of 1,475,311 shares of Class A common stock held by Mr. Altschuler and 1,200,843 shares of Class A common stock held by Mr. Zuriff will be exchanged into an equivalent number of shares of Class B common stock immediately prior to the completion of this offering.</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Grants to Directors and Executive Officers</w:t>
      </w:r>
    </w:p>
    <w:p>
      <w:pPr>
        <w:spacing w:after="0" w:line="230" w:lineRule="exact"/>
        <w:rPr>
          <w:sz w:val="20"/>
          <w:szCs w:val="20"/>
          <w:color w:val="auto"/>
        </w:rPr>
      </w:pPr>
    </w:p>
    <w:p>
      <w:pPr>
        <w:jc w:val="both"/>
        <w:ind w:left="160" w:right="180" w:firstLine="546"/>
        <w:spacing w:after="0" w:line="237" w:lineRule="auto"/>
        <w:rPr>
          <w:sz w:val="20"/>
          <w:szCs w:val="20"/>
          <w:color w:val="auto"/>
        </w:rPr>
      </w:pPr>
      <w:r>
        <w:rPr>
          <w:rFonts w:ascii="Arial" w:cs="Arial" w:eastAsia="Arial" w:hAnsi="Arial"/>
          <w:sz w:val="18"/>
          <w:szCs w:val="18"/>
          <w:color w:val="auto"/>
        </w:rPr>
        <w:t>We have granted stock options to certain of our directors and executive officers. For more information regarding the stock options and stock awards granted to our directors and named executive officers, see the sections titled “Management—Non-Employee Director Compensation” and “Executive Compensation.”</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Employment Agreements</w:t>
      </w:r>
    </w:p>
    <w:p>
      <w:pPr>
        <w:spacing w:after="0" w:line="230" w:lineRule="exact"/>
        <w:rPr>
          <w:sz w:val="20"/>
          <w:szCs w:val="20"/>
          <w:color w:val="auto"/>
        </w:rPr>
      </w:pPr>
    </w:p>
    <w:p>
      <w:pPr>
        <w:ind w:left="160" w:right="200" w:firstLine="546"/>
        <w:spacing w:after="0" w:line="268" w:lineRule="auto"/>
        <w:rPr>
          <w:sz w:val="20"/>
          <w:szCs w:val="20"/>
          <w:color w:val="auto"/>
        </w:rPr>
      </w:pPr>
      <w:r>
        <w:rPr>
          <w:rFonts w:ascii="Arial" w:cs="Arial" w:eastAsia="Arial" w:hAnsi="Arial"/>
          <w:sz w:val="17"/>
          <w:szCs w:val="17"/>
          <w:color w:val="auto"/>
        </w:rPr>
        <w:t>We have entered into employment agreements with certain of our executive officers. For more information regarding employment agreements with our named executive officers, see the section titled “Executive Compensation—Employment Arrangements.”</w:t>
      </w: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Indemnification Agreements</w:t>
      </w:r>
    </w:p>
    <w:p>
      <w:pPr>
        <w:spacing w:after="0" w:line="2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Prior to the completion of this offering, we intend to adopt a policy that our executive officers, directors, nominees for election as a director, beneficial owners of more than 5% of any class of our Class A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Class A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6"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May 30, 2021 by:</w:t>
      </w:r>
    </w:p>
    <w:p>
      <w:pPr>
        <w:spacing w:after="0" w:line="114" w:lineRule="exact"/>
        <w:rPr>
          <w:sz w:val="20"/>
          <w:szCs w:val="20"/>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 and director nominee;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directors, director nominee and executive officers as a group; and</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Class A common stock and Class B common stock (by number or by voting power).</w:t>
      </w:r>
    </w:p>
    <w:p>
      <w:pPr>
        <w:spacing w:after="0" w:line="203" w:lineRule="exact"/>
        <w:rPr>
          <w:sz w:val="20"/>
          <w:szCs w:val="20"/>
          <w:color w:val="auto"/>
        </w:rPr>
      </w:pPr>
    </w:p>
    <w:p>
      <w:pPr>
        <w:ind w:left="160" w:right="340" w:firstLine="546"/>
        <w:spacing w:after="0" w:line="236"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2" w:lineRule="exact"/>
        <w:rPr>
          <w:sz w:val="20"/>
          <w:szCs w:val="20"/>
          <w:color w:val="auto"/>
        </w:rPr>
      </w:pPr>
    </w:p>
    <w:p>
      <w:pPr>
        <w:ind w:left="160" w:firstLine="546"/>
        <w:spacing w:after="0" w:line="246" w:lineRule="auto"/>
        <w:rPr>
          <w:sz w:val="20"/>
          <w:szCs w:val="20"/>
          <w:color w:val="auto"/>
        </w:rPr>
      </w:pPr>
      <w:r>
        <w:rPr>
          <w:rFonts w:ascii="Arial" w:cs="Arial" w:eastAsia="Arial" w:hAnsi="Arial"/>
          <w:sz w:val="17"/>
          <w:szCs w:val="17"/>
          <w:color w:val="auto"/>
        </w:rPr>
        <w:t>Applicable percentage ownership before the offering is based on 33,474,275 shares of Class A common stock and 2,676,154 shares of Class B common stock outstanding as of May 30, 2021, assuming (i) the reclassification of our outstanding common stock into Class A common stock, (ii) the automatic conversion of all outstanding shares of preferred stock into shares of Class A common stock and</w:t>
      </w:r>
    </w:p>
    <w:p>
      <w:pPr>
        <w:spacing w:after="0" w:line="1" w:lineRule="exact"/>
        <w:rPr>
          <w:sz w:val="20"/>
          <w:szCs w:val="20"/>
          <w:color w:val="auto"/>
        </w:rPr>
      </w:pPr>
    </w:p>
    <w:p>
      <w:pPr>
        <w:ind w:left="160" w:right="20" w:firstLine="7"/>
        <w:spacing w:after="0" w:line="234" w:lineRule="auto"/>
        <w:tabs>
          <w:tab w:leader="none" w:pos="4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exchange of an aggregate of 2,676,154 shares of Class A common stock held by our co-founders for an equivalent number of shares of our Class B common stock pursuant to the terms of an exchange agreement to be entered into with us. Applicable percentage ownership after the offering is based on shares of Class A common stock and shares of Class B common stock outstanding immediately after the completion of this offering, assuming no exercise by the underwriters of their option to purchase additional shares of Class A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May 30, 2021. However, except as described above, we did not deem such shares outstanding for the purpose of computing the percentage ownership of any other person.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40"/>
          </w:cols>
          <w:pgMar w:left="320" w:top="456" w:right="5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Unless otherwise indicated, the address for each beneficial owner listed in the table below is c/o Xometry, Inc., 7529 Standish Place, Suite 200, Derwood, MD 20855.</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Beneficial Ownership</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Beneficial Ownership</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rPr>
              <w:t>Before the Offering</w:t>
            </w: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After the Offering</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Class B</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Voting</w:t>
            </w:r>
          </w:p>
        </w:tc>
        <w:tc>
          <w:tcPr>
            <w:tcW w:w="94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Class B</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Voting</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Power</w:t>
            </w:r>
          </w:p>
        </w:tc>
        <w:tc>
          <w:tcPr>
            <w:tcW w:w="94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Power</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w w:val="99"/>
              </w:rPr>
              <w:t>Stock</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left="329"/>
              <w:spacing w:after="0"/>
              <w:rPr>
                <w:sz w:val="20"/>
                <w:szCs w:val="20"/>
                <w:color w:val="auto"/>
              </w:rPr>
            </w:pPr>
            <w:r>
              <w:rPr>
                <w:rFonts w:ascii="Arial" w:cs="Arial" w:eastAsia="Arial" w:hAnsi="Arial"/>
                <w:sz w:val="14"/>
                <w:szCs w:val="14"/>
                <w:b w:val="1"/>
                <w:bCs w:val="1"/>
                <w:color w:val="auto"/>
                <w:w w:val="99"/>
              </w:rPr>
              <w:t>Stock</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Before</w:t>
            </w:r>
          </w:p>
        </w:tc>
        <w:tc>
          <w:tcPr>
            <w:tcW w:w="94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left="329"/>
              <w:spacing w:after="0"/>
              <w:rPr>
                <w:sz w:val="20"/>
                <w:szCs w:val="20"/>
                <w:color w:val="auto"/>
              </w:rPr>
            </w:pPr>
            <w:r>
              <w:rPr>
                <w:rFonts w:ascii="Arial" w:cs="Arial" w:eastAsia="Arial" w:hAnsi="Arial"/>
                <w:sz w:val="14"/>
                <w:szCs w:val="14"/>
                <w:b w:val="1"/>
                <w:bCs w:val="1"/>
                <w:color w:val="auto"/>
                <w:w w:val="99"/>
              </w:rPr>
              <w:t>Stock</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8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5"/>
              </w:rPr>
              <w:t>the</w:t>
            </w: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restart"/>
          </w:tcPr>
          <w:p>
            <w:pPr>
              <w:jc w:val="center"/>
              <w:ind w:right="180"/>
              <w:spacing w:after="0" w:line="157" w:lineRule="exact"/>
              <w:rPr>
                <w:sz w:val="20"/>
                <w:szCs w:val="20"/>
                <w:color w:val="auto"/>
              </w:rPr>
            </w:pPr>
            <w:r>
              <w:rPr>
                <w:rFonts w:ascii="Arial" w:cs="Arial" w:eastAsia="Arial" w:hAnsi="Arial"/>
                <w:sz w:val="14"/>
                <w:szCs w:val="14"/>
                <w:b w:val="1"/>
                <w:bCs w:val="1"/>
                <w:color w:val="auto"/>
              </w:rPr>
              <w:t>the</w:t>
            </w:r>
          </w:p>
        </w:tc>
        <w:tc>
          <w:tcPr>
            <w:tcW w:w="0" w:type="dxa"/>
            <w:vAlign w:val="bottom"/>
          </w:tcPr>
          <w:p>
            <w:pPr>
              <w:spacing w:after="0"/>
              <w:rPr>
                <w:sz w:val="1"/>
                <w:szCs w:val="1"/>
                <w:color w:val="auto"/>
              </w:rPr>
            </w:pPr>
          </w:p>
        </w:tc>
      </w:tr>
      <w:tr>
        <w:trPr>
          <w:trHeight w:val="110"/>
        </w:trPr>
        <w:tc>
          <w:tcPr>
            <w:tcW w:w="17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780" w:type="dxa"/>
            <w:vAlign w:val="bottom"/>
            <w:tcBorders>
              <w:bottom w:val="single" w:sz="8" w:color="auto"/>
            </w:tcBorders>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92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980" w:type="dxa"/>
            <w:vAlign w:val="bottom"/>
            <w:gridSpan w:val="2"/>
          </w:tcPr>
          <w:p>
            <w:pPr>
              <w:jc w:val="center"/>
              <w:ind w:right="260"/>
              <w:spacing w:after="0" w:line="164"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8"/>
                <w:szCs w:val="18"/>
                <w:b w:val="1"/>
                <w:bCs w:val="1"/>
                <w:color w:val="auto"/>
                <w:vertAlign w:val="superscript"/>
              </w:rPr>
              <w:t>(1)</w:t>
            </w: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80" w:type="dxa"/>
            <w:vAlign w:val="bottom"/>
            <w:gridSpan w:val="2"/>
          </w:tcPr>
          <w:p>
            <w:pPr>
              <w:jc w:val="center"/>
              <w:ind w:right="180"/>
              <w:spacing w:after="0" w:line="164"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7"/>
        </w:trPr>
        <w:tc>
          <w:tcPr>
            <w:tcW w:w="3260" w:type="dxa"/>
            <w:vAlign w:val="bottom"/>
            <w:tcBorders>
              <w:top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5% Stockholders:</w:t>
            </w: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60" w:type="dxa"/>
            <w:vAlign w:val="bottom"/>
            <w:gridSpan w:val="2"/>
          </w:tcPr>
          <w:p>
            <w:pPr>
              <w:spacing w:after="0" w:line="158" w:lineRule="exact"/>
              <w:rPr>
                <w:sz w:val="20"/>
                <w:szCs w:val="20"/>
                <w:color w:val="auto"/>
              </w:rPr>
            </w:pPr>
            <w:r>
              <w:rPr>
                <w:rFonts w:ascii="Arial" w:cs="Arial" w:eastAsia="Arial" w:hAnsi="Arial"/>
                <w:sz w:val="14"/>
                <w:szCs w:val="14"/>
                <w:color w:val="auto"/>
              </w:rPr>
              <w:t>Entities associated with Highland Capital</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60" w:type="dxa"/>
            <w:vAlign w:val="bottom"/>
            <w:gridSpan w:val="2"/>
          </w:tcPr>
          <w:p>
            <w:pPr>
              <w:ind w:left="160"/>
              <w:spacing w:after="0" w:line="164" w:lineRule="exact"/>
              <w:rPr>
                <w:sz w:val="20"/>
                <w:szCs w:val="20"/>
                <w:color w:val="auto"/>
              </w:rPr>
            </w:pPr>
            <w:r>
              <w:rPr>
                <w:rFonts w:ascii="Arial" w:cs="Arial" w:eastAsia="Arial" w:hAnsi="Arial"/>
                <w:sz w:val="11"/>
                <w:szCs w:val="11"/>
                <w:color w:val="auto"/>
              </w:rPr>
              <w:t>Partners</w:t>
            </w:r>
            <w:r>
              <w:rPr>
                <w:rFonts w:ascii="Arial" w:cs="Arial" w:eastAsia="Arial" w:hAnsi="Arial"/>
                <w:sz w:val="18"/>
                <w:szCs w:val="18"/>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4"/>
                <w:szCs w:val="14"/>
                <w:color w:val="auto"/>
              </w:rPr>
              <w:t>5,978,793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17.9%</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6.9%</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5,978,793</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14.8%</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58"/>
        </w:trPr>
        <w:tc>
          <w:tcPr>
            <w:tcW w:w="32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Entities associated with T. Rowe Price</w:t>
            </w: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60" w:type="dxa"/>
            <w:vAlign w:val="bottom"/>
            <w:gridSpan w:val="2"/>
            <w:shd w:val="clear" w:color="auto" w:fill="CCEEFF"/>
          </w:tcPr>
          <w:p>
            <w:pPr>
              <w:ind w:left="160"/>
              <w:spacing w:after="0" w:line="164" w:lineRule="exact"/>
              <w:rPr>
                <w:sz w:val="20"/>
                <w:szCs w:val="20"/>
                <w:color w:val="auto"/>
              </w:rPr>
            </w:pPr>
            <w:r>
              <w:rPr>
                <w:rFonts w:ascii="Arial" w:cs="Arial" w:eastAsia="Arial" w:hAnsi="Arial"/>
                <w:sz w:val="11"/>
                <w:szCs w:val="11"/>
                <w:color w:val="auto"/>
              </w:rPr>
              <w:t>Associates, Inc.</w:t>
            </w:r>
            <w:r>
              <w:rPr>
                <w:rFonts w:ascii="Arial" w:cs="Arial" w:eastAsia="Arial" w:hAnsi="Arial"/>
                <w:sz w:val="18"/>
                <w:szCs w:val="18"/>
                <w:color w:val="auto"/>
                <w:vertAlign w:val="superscript"/>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4,254,083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12.7</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4,254,083</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10.5</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Entities associated with Foundry Group</w:t>
            </w:r>
            <w:r>
              <w:rPr>
                <w:rFonts w:ascii="Arial" w:cs="Arial" w:eastAsia="Arial" w:hAnsi="Arial"/>
                <w:sz w:val="18"/>
                <w:szCs w:val="18"/>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4"/>
                <w:szCs w:val="14"/>
                <w:color w:val="auto"/>
              </w:rPr>
              <w:t>3,962,107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11.8</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4.6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3,962,107</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BMW i Ventures SCS, SICAV RAIF</w:t>
            </w:r>
            <w:r>
              <w:rPr>
                <w:rFonts w:ascii="Arial" w:cs="Arial" w:eastAsia="Arial" w:hAnsi="Arial"/>
                <w:sz w:val="18"/>
                <w:szCs w:val="18"/>
                <w:color w:val="auto"/>
                <w:vertAlign w:val="superscript"/>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2,825,254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8.4</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2,825,254</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2"/>
          </w:tcPr>
          <w:p>
            <w:pPr>
              <w:spacing w:after="0" w:line="158" w:lineRule="exact"/>
              <w:rPr>
                <w:sz w:val="20"/>
                <w:szCs w:val="20"/>
                <w:color w:val="auto"/>
              </w:rPr>
            </w:pPr>
            <w:r>
              <w:rPr>
                <w:rFonts w:ascii="Arial" w:cs="Arial" w:eastAsia="Arial" w:hAnsi="Arial"/>
                <w:sz w:val="14"/>
                <w:szCs w:val="14"/>
                <w:color w:val="auto"/>
              </w:rPr>
              <w:t>Entities associated with Greenspring Associates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60" w:type="dxa"/>
            <w:vAlign w:val="bottom"/>
            <w:gridSpan w:val="2"/>
          </w:tcPr>
          <w:p>
            <w:pPr>
              <w:ind w:left="160"/>
              <w:spacing w:after="0" w:line="164" w:lineRule="exact"/>
              <w:rPr>
                <w:sz w:val="20"/>
                <w:szCs w:val="20"/>
                <w:color w:val="auto"/>
              </w:rPr>
            </w:pPr>
            <w:r>
              <w:rPr>
                <w:rFonts w:ascii="Arial" w:cs="Arial" w:eastAsia="Arial" w:hAnsi="Arial"/>
                <w:sz w:val="11"/>
                <w:szCs w:val="11"/>
                <w:color w:val="auto"/>
              </w:rPr>
              <w:t>LLC</w:t>
            </w:r>
            <w:r>
              <w:rPr>
                <w:rFonts w:ascii="Arial" w:cs="Arial" w:eastAsia="Arial" w:hAnsi="Arial"/>
                <w:sz w:val="18"/>
                <w:szCs w:val="18"/>
                <w:color w:val="auto"/>
                <w:vertAlign w:val="superscript"/>
              </w:rPr>
              <w:t>(6)</w:t>
            </w:r>
          </w:p>
        </w:tc>
        <w:tc>
          <w:tcPr>
            <w:tcW w:w="760" w:type="dxa"/>
            <w:vAlign w:val="bottom"/>
          </w:tcPr>
          <w:p>
            <w:pPr>
              <w:jc w:val="right"/>
              <w:spacing w:after="0"/>
              <w:rPr>
                <w:sz w:val="20"/>
                <w:szCs w:val="20"/>
                <w:color w:val="auto"/>
              </w:rPr>
            </w:pPr>
            <w:r>
              <w:rPr>
                <w:rFonts w:ascii="Arial" w:cs="Arial" w:eastAsia="Arial" w:hAnsi="Arial"/>
                <w:sz w:val="14"/>
                <w:szCs w:val="14"/>
                <w:color w:val="auto"/>
              </w:rPr>
              <w:t>2,768,466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8.3</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2,768,466</w:t>
            </w:r>
          </w:p>
        </w:tc>
        <w:tc>
          <w:tcPr>
            <w:tcW w:w="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Randolph Altschuler</w:t>
            </w:r>
            <w:r>
              <w:rPr>
                <w:rFonts w:ascii="Arial" w:cs="Arial" w:eastAsia="Arial" w:hAnsi="Arial"/>
                <w:sz w:val="18"/>
                <w:szCs w:val="18"/>
                <w:color w:val="auto"/>
                <w:vertAlign w:val="superscript"/>
              </w:rPr>
              <w:t>(7)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2,566,318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7.6</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1,475,311</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2,566,318</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1,475,311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Laurence Zuriff</w:t>
            </w:r>
            <w:r>
              <w:rPr>
                <w:rFonts w:ascii="Arial" w:cs="Arial" w:eastAsia="Arial" w:hAnsi="Arial"/>
                <w:sz w:val="18"/>
                <w:szCs w:val="18"/>
                <w:color w:val="auto"/>
                <w:vertAlign w:val="superscript"/>
              </w:rPr>
              <w:t>(8)</w:t>
            </w:r>
          </w:p>
        </w:tc>
        <w:tc>
          <w:tcPr>
            <w:tcW w:w="760" w:type="dxa"/>
            <w:vAlign w:val="bottom"/>
          </w:tcPr>
          <w:p>
            <w:pPr>
              <w:jc w:val="right"/>
              <w:spacing w:after="0"/>
              <w:rPr>
                <w:sz w:val="20"/>
                <w:szCs w:val="20"/>
                <w:color w:val="auto"/>
              </w:rPr>
            </w:pPr>
            <w:r>
              <w:rPr>
                <w:rFonts w:ascii="Arial" w:cs="Arial" w:eastAsia="Arial" w:hAnsi="Arial"/>
                <w:sz w:val="14"/>
                <w:szCs w:val="14"/>
                <w:color w:val="auto"/>
              </w:rPr>
              <w:t>2,132,903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6.4</w:t>
            </w:r>
          </w:p>
        </w:tc>
        <w:tc>
          <w:tcPr>
            <w:tcW w:w="680" w:type="dxa"/>
            <w:vAlign w:val="bottom"/>
          </w:tcPr>
          <w:p>
            <w:pPr>
              <w:jc w:val="center"/>
              <w:spacing w:after="0"/>
              <w:rPr>
                <w:sz w:val="20"/>
                <w:szCs w:val="20"/>
                <w:color w:val="auto"/>
              </w:rPr>
            </w:pPr>
            <w:r>
              <w:rPr>
                <w:rFonts w:ascii="Arial" w:cs="Arial" w:eastAsia="Arial" w:hAnsi="Arial"/>
                <w:sz w:val="14"/>
                <w:szCs w:val="14"/>
                <w:color w:val="auto"/>
              </w:rPr>
              <w:t>1,200,843</w:t>
            </w: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44.9</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30.0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2,132,903</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1,200,843</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44.9</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0"/>
        </w:trPr>
        <w:tc>
          <w:tcPr>
            <w:tcW w:w="41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Directors, Director Nominee and Named Executive Officers:</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Randolph Altschuler</w:t>
            </w:r>
            <w:r>
              <w:rPr>
                <w:rFonts w:ascii="Arial" w:cs="Arial" w:eastAsia="Arial" w:hAnsi="Arial"/>
                <w:sz w:val="18"/>
                <w:szCs w:val="18"/>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2,566,318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7.6</w:t>
            </w:r>
          </w:p>
        </w:tc>
        <w:tc>
          <w:tcPr>
            <w:tcW w:w="680" w:type="dxa"/>
            <w:vAlign w:val="bottom"/>
          </w:tcPr>
          <w:p>
            <w:pPr>
              <w:jc w:val="center"/>
              <w:spacing w:after="0"/>
              <w:rPr>
                <w:sz w:val="20"/>
                <w:szCs w:val="20"/>
                <w:color w:val="auto"/>
              </w:rPr>
            </w:pPr>
            <w:r>
              <w:rPr>
                <w:rFonts w:ascii="Arial" w:cs="Arial" w:eastAsia="Arial" w:hAnsi="Arial"/>
                <w:sz w:val="14"/>
                <w:szCs w:val="14"/>
                <w:color w:val="auto"/>
              </w:rPr>
              <w:t>1,475,311</w:t>
            </w: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55.1</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36.8</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2,566,318</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1,475,311</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55.1</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James Rallo</w:t>
            </w:r>
            <w:r>
              <w:rPr>
                <w:rFonts w:ascii="Arial" w:cs="Arial" w:eastAsia="Arial" w:hAnsi="Arial"/>
                <w:sz w:val="18"/>
                <w:szCs w:val="18"/>
                <w:color w:val="auto"/>
                <w:vertAlign w:val="superscript"/>
              </w:rPr>
              <w:t>(9)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143,381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143,381</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Peter Goguen</w:t>
            </w:r>
            <w:r>
              <w:rPr>
                <w:rFonts w:ascii="Arial" w:cs="Arial" w:eastAsia="Arial" w:hAnsi="Arial"/>
                <w:sz w:val="18"/>
                <w:szCs w:val="18"/>
                <w:color w:val="auto"/>
                <w:vertAlign w:val="superscript"/>
              </w:rPr>
              <w:t>(10)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93,750</w:t>
            </w: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93,750</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Laurence Zuriff</w:t>
            </w:r>
            <w:r>
              <w:rPr>
                <w:rFonts w:ascii="Arial" w:cs="Arial" w:eastAsia="Arial" w:hAnsi="Arial"/>
                <w:sz w:val="18"/>
                <w:szCs w:val="18"/>
                <w:color w:val="auto"/>
                <w:vertAlign w:val="superscript"/>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2,132,903</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6.4</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1,200,843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44.9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2,132,903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1,200,843</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George Hornig</w:t>
            </w:r>
            <w:r>
              <w:rPr>
                <w:rFonts w:ascii="Arial" w:cs="Arial" w:eastAsia="Arial" w:hAnsi="Arial"/>
                <w:sz w:val="18"/>
                <w:szCs w:val="18"/>
                <w:color w:val="auto"/>
                <w:vertAlign w:val="superscript"/>
              </w:rPr>
              <w:t>(11)</w:t>
            </w:r>
          </w:p>
        </w:tc>
        <w:tc>
          <w:tcPr>
            <w:tcW w:w="760" w:type="dxa"/>
            <w:vAlign w:val="bottom"/>
          </w:tcPr>
          <w:p>
            <w:pPr>
              <w:jc w:val="right"/>
              <w:spacing w:after="0"/>
              <w:rPr>
                <w:sz w:val="20"/>
                <w:szCs w:val="20"/>
                <w:color w:val="auto"/>
              </w:rPr>
            </w:pPr>
            <w:r>
              <w:rPr>
                <w:rFonts w:ascii="Arial" w:cs="Arial" w:eastAsia="Arial" w:hAnsi="Arial"/>
                <w:sz w:val="14"/>
                <w:szCs w:val="14"/>
                <w:color w:val="auto"/>
              </w:rPr>
              <w:t>127,925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127,925</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Emily Rollins</w:t>
            </w:r>
            <w:r>
              <w:rPr>
                <w:rFonts w:ascii="Arial" w:cs="Arial" w:eastAsia="Arial" w:hAnsi="Arial"/>
                <w:sz w:val="18"/>
                <w:szCs w:val="18"/>
                <w:color w:val="auto"/>
                <w:vertAlign w:val="superscript"/>
              </w:rPr>
              <w:t>(12)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5,833</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5,833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Deborah Bial</w:t>
            </w:r>
            <w:r>
              <w:rPr>
                <w:rFonts w:ascii="Arial" w:cs="Arial" w:eastAsia="Arial" w:hAnsi="Arial"/>
                <w:sz w:val="18"/>
                <w:szCs w:val="18"/>
                <w:color w:val="auto"/>
                <w:vertAlign w:val="superscript"/>
              </w:rPr>
              <w:t>(13)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14,583</w:t>
            </w: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14,583</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Craig Driscoll</w:t>
            </w:r>
            <w:r>
              <w:rPr>
                <w:rFonts w:ascii="Arial" w:cs="Arial" w:eastAsia="Arial" w:hAnsi="Arial"/>
                <w:sz w:val="18"/>
                <w:szCs w:val="18"/>
                <w:color w:val="auto"/>
                <w:vertAlign w:val="superscript"/>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5,978,793</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17.9</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5,978,793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14.8</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Fabio Rosati</w:t>
            </w:r>
            <w:r>
              <w:rPr>
                <w:rFonts w:ascii="Arial" w:cs="Arial" w:eastAsia="Arial" w:hAnsi="Arial"/>
                <w:sz w:val="18"/>
                <w:szCs w:val="18"/>
                <w:color w:val="auto"/>
                <w:vertAlign w:val="superscript"/>
              </w:rPr>
              <w:t>(14)</w:t>
            </w:r>
          </w:p>
        </w:tc>
        <w:tc>
          <w:tcPr>
            <w:tcW w:w="760" w:type="dxa"/>
            <w:vAlign w:val="bottom"/>
          </w:tcPr>
          <w:p>
            <w:pPr>
              <w:jc w:val="right"/>
              <w:spacing w:after="0"/>
              <w:rPr>
                <w:sz w:val="20"/>
                <w:szCs w:val="20"/>
                <w:color w:val="auto"/>
              </w:rPr>
            </w:pPr>
            <w:r>
              <w:rPr>
                <w:rFonts w:ascii="Arial" w:cs="Arial" w:eastAsia="Arial" w:hAnsi="Arial"/>
                <w:sz w:val="14"/>
                <w:szCs w:val="14"/>
                <w:color w:val="auto"/>
              </w:rPr>
              <w:t>106,508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106,508</w:t>
            </w:r>
          </w:p>
        </w:tc>
        <w:tc>
          <w:tcPr>
            <w:tcW w:w="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Katharine Weymouth</w:t>
            </w:r>
            <w:r>
              <w:rPr>
                <w:rFonts w:ascii="Arial" w:cs="Arial" w:eastAsia="Arial" w:hAnsi="Arial"/>
                <w:sz w:val="18"/>
                <w:szCs w:val="18"/>
                <w:color w:val="auto"/>
                <w:vertAlign w:val="superscript"/>
              </w:rPr>
              <w:t>(15)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14,583</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14,583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line="161" w:lineRule="exact"/>
              <w:rPr>
                <w:sz w:val="20"/>
                <w:szCs w:val="20"/>
                <w:color w:val="auto"/>
              </w:rPr>
            </w:pPr>
            <w:r>
              <w:rPr>
                <w:rFonts w:ascii="Arial" w:cs="Arial" w:eastAsia="Arial" w:hAnsi="Arial"/>
                <w:sz w:val="11"/>
                <w:szCs w:val="11"/>
                <w:color w:val="auto"/>
              </w:rPr>
              <w:t>Ranjana Clark</w:t>
            </w:r>
            <w:r>
              <w:rPr>
                <w:rFonts w:ascii="Arial" w:cs="Arial" w:eastAsia="Arial" w:hAnsi="Arial"/>
                <w:sz w:val="18"/>
                <w:szCs w:val="18"/>
                <w:color w:val="auto"/>
                <w:vertAlign w:val="superscript"/>
              </w:rPr>
              <w:t>(16)</w:t>
            </w:r>
          </w:p>
        </w:tc>
        <w:tc>
          <w:tcPr>
            <w:tcW w:w="920" w:type="dxa"/>
            <w:vAlign w:val="bottom"/>
            <w:gridSpan w:val="3"/>
          </w:tcPr>
          <w:p>
            <w:pPr>
              <w:jc w:val="center"/>
              <w:ind w:left="229"/>
              <w:spacing w:after="0"/>
              <w:rPr>
                <w:sz w:val="20"/>
                <w:szCs w:val="20"/>
                <w:color w:val="auto"/>
              </w:rPr>
            </w:pPr>
            <w:r>
              <w:rPr>
                <w:rFonts w:ascii="Arial" w:cs="Arial" w:eastAsia="Arial" w:hAnsi="Arial"/>
                <w:sz w:val="14"/>
                <w:szCs w:val="14"/>
                <w:color w:val="auto"/>
                <w:w w:val="99"/>
              </w:rPr>
              <w:t>—</w:t>
            </w: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center"/>
              <w:ind w:left="209"/>
              <w:spacing w:after="0"/>
              <w:rPr>
                <w:sz w:val="20"/>
                <w:szCs w:val="20"/>
                <w:color w:val="auto"/>
              </w:rPr>
            </w:pPr>
            <w:r>
              <w:rPr>
                <w:rFonts w:ascii="Arial" w:cs="Arial" w:eastAsia="Arial" w:hAnsi="Arial"/>
                <w:sz w:val="14"/>
                <w:szCs w:val="14"/>
                <w:color w:val="auto"/>
                <w:w w:val="99"/>
              </w:rPr>
              <w:t>—</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2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All directors and executive officers as a group</w:t>
            </w: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60" w:type="dxa"/>
            <w:vAlign w:val="bottom"/>
            <w:gridSpan w:val="2"/>
            <w:shd w:val="clear" w:color="auto" w:fill="CCEEFF"/>
          </w:tcPr>
          <w:p>
            <w:pPr>
              <w:ind w:left="160"/>
              <w:spacing w:after="0" w:line="163" w:lineRule="exact"/>
              <w:rPr>
                <w:sz w:val="20"/>
                <w:szCs w:val="20"/>
                <w:color w:val="auto"/>
              </w:rPr>
            </w:pPr>
            <w:r>
              <w:rPr>
                <w:rFonts w:ascii="Arial" w:cs="Arial" w:eastAsia="Arial" w:hAnsi="Arial"/>
                <w:sz w:val="11"/>
                <w:szCs w:val="11"/>
                <w:color w:val="auto"/>
              </w:rPr>
              <w:t>(13 persons)</w:t>
            </w:r>
            <w:r>
              <w:rPr>
                <w:rFonts w:ascii="Arial" w:cs="Arial" w:eastAsia="Arial" w:hAnsi="Arial"/>
                <w:sz w:val="18"/>
                <w:szCs w:val="18"/>
                <w:color w:val="auto"/>
                <w:vertAlign w:val="superscript"/>
              </w:rPr>
              <w:t>(17)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11,525,795</w:t>
            </w:r>
          </w:p>
        </w:tc>
        <w:tc>
          <w:tcPr>
            <w:tcW w:w="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34.0</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2,676,154</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11,525,795</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28.2</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2,676,154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1" w:lineRule="exact"/>
        <w:rPr>
          <w:sz w:val="20"/>
          <w:szCs w:val="20"/>
          <w:color w:val="auto"/>
        </w:rPr>
      </w:pPr>
    </w:p>
    <w:p>
      <w:pPr>
        <w:ind w:left="600" w:hanging="433"/>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600" w:right="220" w:hanging="433"/>
        <w:spacing w:after="0" w:line="239"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and Class B common stock, as a single class. The holders of our Class B common stock are entitled to 20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p>
      <w:pPr>
        <w:ind w:left="600" w:right="60" w:hanging="433"/>
        <w:spacing w:after="0" w:line="241"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(a) 3,621,393 shares of Class A common stock held by Highland Capital Partners 9 Limited Partnership, or HCP 9, (b) 1,559,876 shares of Class A common stock held by Highland Capital Partners 9-B Limited Partnership, or HCP 9-B, (c) 316,096 shares of Class A common stock held by Highland Entrepreneurs Fund 9 Limited Partnership, or HEF 9, and (d) 481,428 shares of Class A common stock held by Highland Leaders Fund I, Limited Partnership, or HLF I. Highland Management Partners 9 Limited Partnership, or HMP 9 L.P., is the general partner of HCP 9, HCP 9-B and HEF 9, which we collectively refer to as the Highland Capital 9 Investing Entities. Highland Management Partners 9, LLC, or HMP 9 LLC, is the general partner of HMP 9 L.P. Robert Davis, Dan Nova, Paul Maeder and Corey Malloy are the managing members of HMP 9 LLC and have shared voting and investment power over investment decisions of HMP 9 LLC, and as such, may be deemed to have beneficial ownership of the shares held by the Highland Capital 9 Investing Entities by virtue of their status as controlling persons of HMP 9 LLC. Each managing member of HMP 9 LLC disclaims beneficial ownership of the shares held by the Highland 9 Investing Entities, except to the extent of each such Managing Member’s pecuniary interest therein.</w:t>
      </w:r>
    </w:p>
    <w:p>
      <w:pPr>
        <w:spacing w:after="0" w:line="109" w:lineRule="exact"/>
        <w:rPr>
          <w:rFonts w:ascii="Arial" w:cs="Arial" w:eastAsia="Arial" w:hAnsi="Arial"/>
          <w:sz w:val="14"/>
          <w:szCs w:val="14"/>
          <w:color w:val="auto"/>
        </w:rPr>
      </w:pPr>
    </w:p>
    <w:p>
      <w:pPr>
        <w:ind w:left="600" w:right="80"/>
        <w:spacing w:after="0" w:line="242" w:lineRule="auto"/>
        <w:rPr>
          <w:rFonts w:ascii="Arial" w:cs="Arial" w:eastAsia="Arial" w:hAnsi="Arial"/>
          <w:sz w:val="14"/>
          <w:szCs w:val="14"/>
          <w:color w:val="auto"/>
        </w:rPr>
      </w:pPr>
      <w:r>
        <w:rPr>
          <w:rFonts w:ascii="Arial" w:cs="Arial" w:eastAsia="Arial" w:hAnsi="Arial"/>
          <w:sz w:val="14"/>
          <w:szCs w:val="14"/>
          <w:color w:val="auto"/>
        </w:rPr>
        <w:t>Highland Leaders Fund I GP, Limited Partnership, or Highland Leaders L.P., is the general partner of the HLF I. Highland Leaders Fund I GP, LLC, or Highland Leaders LLC, is the general partner of Highland Leaders L.P. Robert Davis, Dan Nova, Paul Maeder and Corey Malloy are the managing members of Highland Leaders LLC and have shared voting and investment power over investment decisions of Highland Leaders LLC, and as such, may be deemed to have beneficial ownership of the shares held by the HLF I by virtue of their status as controlling persons of Highland Leaders LLC. Each managing member of Highland Leaders LLC disclaims beneficial ownership of the shares held by the HLF I, except to the extent of each such individual’s pecuniary interest therein. As a general partner of Highland Capital Partners, Craig Driscoll, a member of our board of directors, may also be deemed to have beneficial ownership of the shares held by Highland</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600" w:right="200"/>
        <w:spacing w:after="0" w:line="239" w:lineRule="auto"/>
        <w:rPr>
          <w:sz w:val="20"/>
          <w:szCs w:val="20"/>
          <w:color w:val="auto"/>
        </w:rPr>
      </w:pPr>
      <w:r>
        <w:rPr>
          <w:rFonts w:ascii="Arial" w:cs="Arial" w:eastAsia="Arial" w:hAnsi="Arial"/>
          <w:sz w:val="14"/>
          <w:szCs w:val="14"/>
          <w:color w:val="auto"/>
        </w:rPr>
        <w:t>Capital 9 Investing Entities and HLF I. Craig Driscoll disclaims beneficial ownership of the shares held by such entities, except to the extent of his pecuniary interest therein. The address of each of these entities is One Broadway, 16th Floor, Cambridge, Massachusetts 02142.</w:t>
      </w:r>
    </w:p>
    <w:p>
      <w:pPr>
        <w:ind w:left="600" w:right="100" w:hanging="433"/>
        <w:spacing w:after="0" w:line="239"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(a) 28,133 shares of Class A common stock held by Costco 401(k) Retirement Plan, (b) 23,060 shares of Class A common stock held by MassMutual Select Funds - MassMutual Select T. Rowe Price Small and Mid Cap Blend Fund, (c) 6,728 shares of Class A common stock held by Minnesota Life Insurance Company,</w:t>
      </w:r>
    </w:p>
    <w:p>
      <w:pPr>
        <w:jc w:val="both"/>
        <w:ind w:left="600" w:right="320" w:hanging="5"/>
        <w:spacing w:after="0" w:line="239" w:lineRule="auto"/>
        <w:tabs>
          <w:tab w:leader="none" w:pos="814" w:val="left"/>
        </w:tabs>
        <w:numPr>
          <w:ilvl w:val="1"/>
          <w:numId w:val="69"/>
        </w:numPr>
        <w:rPr>
          <w:rFonts w:ascii="Arial" w:cs="Arial" w:eastAsia="Arial" w:hAnsi="Arial"/>
          <w:sz w:val="14"/>
          <w:szCs w:val="14"/>
          <w:color w:val="auto"/>
        </w:rPr>
      </w:pPr>
      <w:r>
        <w:rPr>
          <w:rFonts w:ascii="Arial" w:cs="Arial" w:eastAsia="Arial" w:hAnsi="Arial"/>
          <w:sz w:val="14"/>
          <w:szCs w:val="14"/>
          <w:color w:val="auto"/>
        </w:rPr>
        <w:t>307,867 shares of Class A common stock held by T. Rowe Price Institutional Small-Cap Stock Fund, (b) 624 shares of Class A common stock held by T. Rowe Price Moderate Allocation Portfolio, (e) 2,115,564 shares of Class A common stock held by T. Rowe Price New Horizons Fund, Inc., (f) 180,584 shares of Class A common stock held by T. Rowe Price New Horizons Trust, (g) 584,987 shares of Class A common stock held by T. Rowe Price Small-Cap Stock Fund, Inc.,</w:t>
      </w:r>
    </w:p>
    <w:p>
      <w:pPr>
        <w:ind w:left="600" w:right="40" w:hanging="5"/>
        <w:spacing w:after="0" w:line="239" w:lineRule="auto"/>
        <w:tabs>
          <w:tab w:leader="none" w:pos="814" w:val="left"/>
        </w:tabs>
        <w:numPr>
          <w:ilvl w:val="1"/>
          <w:numId w:val="70"/>
        </w:numPr>
        <w:rPr>
          <w:rFonts w:ascii="Arial" w:cs="Arial" w:eastAsia="Arial" w:hAnsi="Arial"/>
          <w:sz w:val="14"/>
          <w:szCs w:val="14"/>
          <w:color w:val="auto"/>
        </w:rPr>
      </w:pPr>
      <w:r>
        <w:rPr>
          <w:rFonts w:ascii="Arial" w:cs="Arial" w:eastAsia="Arial" w:hAnsi="Arial"/>
          <w:sz w:val="14"/>
          <w:szCs w:val="14"/>
          <w:color w:val="auto"/>
        </w:rPr>
        <w:t>561,828 shares of Class A common stock held by T. Rowe Price Small-Cap Value Fund, Inc., (i) 5,224 shares of Class A common stock held by T. Rowe Price Spectrum Conservative Allocation Fund, (j) 8,213 shares of Class A common stock held by T. Rowe Price Spectrum Moderate Allocation Fund, (k) 13,856 shares of Class A common stock held by T. Rowe Price Spectrum Moderate Growth Allocation Fund, (l) 28,062 shares of Class A common stock held by T. Rowe Price U.S. Equities Trust, (m) 150,968 shares of Class A common stock held by T. Rowe Price Small-Cap Core Equity Trust, (n) 178,239 shares of Class A common stock held by T. Rowe Price Small-Cap Value Equity Trust, (o) 24,899 shares of Class A common stock held by TD Mutual Funds - TD U.S. Small-Cap Equity Fund, (p) 28,797 shares of Class A common stock held by U.S. Small-Cap Stock Trust and (q) 6,450 shares of Class A common stock held by VALIC Company I - Small Cap Fund. T. Rowe Price Associates, Inc., or TRPA, serves as investment advisor with power to direct investments and/or sole power to vote the shares held by the funds and accounts listed above. TRPA is the wholly owned subsidiary of T. Rowe Price Group, Inc., which is a publicly traded financial services holding company. T. Rowe Price Investment Services, Inc., or TRPIS, a registered broker-dealer and FINRA member, is a subsidiary of TRPA. TRPIS was formed primarily for the limited purpose of acting as the principal underwriter and distributor of shares of the funds in the TRPG fund family. TRPIS does not engage in underwriting or market-making activities involving individual securities. TRPG provides brokerage services through TRPIS primarily to complement the other services provided to shareholders of the TRPG funds. The address of each of these entities is 100 East Pratt Street, Baltimore, Maryland 21202.</w:t>
      </w:r>
    </w:p>
    <w:p>
      <w:pPr>
        <w:spacing w:after="0" w:line="1" w:lineRule="exact"/>
        <w:rPr>
          <w:rFonts w:ascii="Arial" w:cs="Arial" w:eastAsia="Arial" w:hAnsi="Arial"/>
          <w:sz w:val="14"/>
          <w:szCs w:val="14"/>
          <w:color w:val="auto"/>
        </w:rPr>
      </w:pPr>
    </w:p>
    <w:p>
      <w:pPr>
        <w:ind w:left="600" w:hanging="433"/>
        <w:spacing w:after="0" w:line="239"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3,427,779 shares of Class A common stock held by Foundry Group Next 2018, L.P. and (b) 534,328 shares of Class A common stock held by Foundry Venture Capital 2016, L.P. FG Next FGP 2018, LLC, or FG Next LLC, is the general partner of Foundry Group Next 2018, L.P. Brad Feld, Seth Levine, Ryan McIntyre, Lindel Eakman and Chris Moody are the managing members of FG Next GP 2018, LLC, FG Next LLC, and as such, may be deemed to share voting and investment power over the shares held by Foundry Group Next 2018, L.P. Foundry Venture 2016 LLC, or Foundry Venture LLC, is the general partner of Foundry Venture Capital 2016, L.P. Brad Feld, Seth Levine and Ryan McIntyre are managing members of Foundry Venture 2016, LLC, and as such, may be deemed to share voting and investment power over the shares held by Foundry Venture Capital 2016, L.P. The address of each of these entities is 700 Front Street, Suite 104, Louisville, Colorado 80027.</w:t>
      </w:r>
    </w:p>
    <w:p>
      <w:pPr>
        <w:spacing w:after="0" w:line="1" w:lineRule="exact"/>
        <w:rPr>
          <w:rFonts w:ascii="Arial" w:cs="Arial" w:eastAsia="Arial" w:hAnsi="Arial"/>
          <w:sz w:val="14"/>
          <w:szCs w:val="14"/>
          <w:color w:val="auto"/>
        </w:rPr>
      </w:pPr>
    </w:p>
    <w:p>
      <w:pPr>
        <w:ind w:left="600" w:right="160" w:hanging="433"/>
        <w:spacing w:after="0" w:line="239"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2,825,254 shares of Class A common stock held by BMW i Ventures SCS, SICAV RAIF. BMW i Ventures, Inc. has power to direct investments and/or vote the shares held by BMW i Ventures SCS, SICAV RAIF. BMW i Ventures, Inc. is the corporate venture capital investment arm of BMW Group. The address of each of these entities is 2606 Bayshore Pkwy, Mountain View, California 94043.</w:t>
      </w:r>
    </w:p>
    <w:p>
      <w:pPr>
        <w:ind w:left="600" w:right="140" w:hanging="433"/>
        <w:spacing w:after="0" w:line="239"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1,071,727 shares of Class A common stock held by Greenspring Global Partners IX-A, L.P., or GGPIX-A, (b) 35,058 shares of Class A common stock held by Greenspring Global Partners IX-C, L.P., or GGPIX-C, (c) 1,526,951 shares of Class A common stock held by Greenspring Opportunities V, L.P., or GOV, and</w:t>
      </w:r>
    </w:p>
    <w:p>
      <w:pPr>
        <w:ind w:left="600" w:right="100" w:hanging="5"/>
        <w:spacing w:after="0" w:line="239" w:lineRule="auto"/>
        <w:tabs>
          <w:tab w:leader="none" w:pos="814" w:val="left"/>
        </w:tabs>
        <w:numPr>
          <w:ilvl w:val="1"/>
          <w:numId w:val="71"/>
        </w:numPr>
        <w:rPr>
          <w:rFonts w:ascii="Arial" w:cs="Arial" w:eastAsia="Arial" w:hAnsi="Arial"/>
          <w:sz w:val="14"/>
          <w:szCs w:val="14"/>
          <w:color w:val="auto"/>
        </w:rPr>
      </w:pPr>
      <w:r>
        <w:rPr>
          <w:rFonts w:ascii="Arial" w:cs="Arial" w:eastAsia="Arial" w:hAnsi="Arial"/>
          <w:sz w:val="14"/>
          <w:szCs w:val="14"/>
          <w:color w:val="auto"/>
        </w:rPr>
        <w:t>134,730 shares of Class A common stock held by Greenspring Opportunities V-D, L.P., or GOV-D. GGPIX-A, GGPIX-C, GOV and GOV-D are collectively referred to as the Greenspring Funds. Greenspring Associates, LLC is the investment manager of the Greenspring Funds. Ashton Newhall and James Lim are managing general partners of Greenspring Associates, LLC. The address of each of these entities is 100 Painters Mill Rd. Owings Mills, Maryland 21117.</w:t>
      </w:r>
    </w:p>
    <w:p>
      <w:pPr>
        <w:ind w:left="600" w:right="40" w:hanging="433"/>
        <w:spacing w:after="0" w:line="239"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1,475,311 shares of Class B common stock held directly by Mr. Altschuler, (b)(i) 188,509 shares of Class A common stock underlying outstanding options held by Mr. Altschuler that are immediately exercisable or will be immediately exercisable within 60 days of May 30, 2021, (ii) 105,000 shares of Class A common stock held by the 2021 Tigers Trust, over which Mr. Altschuler may be deemed to exercise voting control, (iii) 347,222 shares of Class A common stock held by the Matthew Sladkin Altschuler 2012 Trust, over which Mr. Altschuler may be deemed to exercise voting control, (iv) 347,222 shares of Class A common stock held by the Noah Sladkin Altschuler 2012 Trust, over which Mr. Altschuler may be deemed to exercise voting control, (v) 347,222 shares of Class A common stock held by the Sasha Sladkin Altschuler 2012 Trust, over which Mr. Altschuler may be deemed to exercise voting control, (vi) 500,000 shares of Class A common stock held by The Altschuler Family Trust (2020), over which Mr. Altschuler may be deemed to exercise voting control, and (vii) 731,143 shares of Class A common stock held by Cheryl Altschuler, Mr. Altschuler’s spouse.</w:t>
      </w:r>
    </w:p>
    <w:p>
      <w:pPr>
        <w:spacing w:after="0" w:line="1" w:lineRule="exact"/>
        <w:rPr>
          <w:rFonts w:ascii="Arial" w:cs="Arial" w:eastAsia="Arial" w:hAnsi="Arial"/>
          <w:sz w:val="14"/>
          <w:szCs w:val="14"/>
          <w:color w:val="auto"/>
        </w:rPr>
      </w:pPr>
    </w:p>
    <w:p>
      <w:pPr>
        <w:jc w:val="both"/>
        <w:ind w:left="600" w:hanging="433"/>
        <w:spacing w:after="0" w:line="239"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1,200,843 shares of Class B common stock held directly by Mr. Zuriff, (b)(i) 955,407 shares of Class A common stock held directly by Mr. Zuriff, (ii) 76,320 shares of Class A common stock underlying outstanding options held by Mr. Zuriff that are immediately exercisable or will be immediately exercisable within 60 days of May 30, 2021, (iii) 300,000 shares of Class A common stock held by the Jason Eric Zuriff Trust, over which Mr. Zuriff may be deemed to exercise voting control, (iv)</w:t>
      </w:r>
    </w:p>
    <w:p>
      <w:pPr>
        <w:ind w:left="600" w:right="80"/>
        <w:spacing w:after="0" w:line="246" w:lineRule="auto"/>
        <w:rPr>
          <w:rFonts w:ascii="Arial" w:cs="Arial" w:eastAsia="Arial" w:hAnsi="Arial"/>
          <w:sz w:val="14"/>
          <w:szCs w:val="14"/>
          <w:color w:val="auto"/>
        </w:rPr>
      </w:pPr>
      <w:r>
        <w:rPr>
          <w:rFonts w:ascii="Arial" w:cs="Arial" w:eastAsia="Arial" w:hAnsi="Arial"/>
          <w:sz w:val="14"/>
          <w:szCs w:val="14"/>
          <w:color w:val="auto"/>
        </w:rPr>
        <w:t>300,000 shares of Class A common stock held by the Sophie Anna Zuriff Trust, over which Mr. Zuriff may be deemed to exercise voting control, (v) 300,000 shares of Class A common stock held by the Zuriff Family 2020 Trust, over which Mr. Zuriff may be deemed to exercise voting control and (vi) 201,176 shares of Class A common stock held by ZFI Capital, LP, over which Mr. Zuriff may be deemed to exercise voting and dispositive control.</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6"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600" w:right="740" w:hanging="433"/>
        <w:spacing w:after="0" w:line="239"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143,381 shares of Class A common stock underlying outstanding options held by Mr. Rallo that are immediately exercisable or will be immediately exercisable within 60 days of May 30, 2021.</w:t>
      </w:r>
    </w:p>
    <w:p>
      <w:pPr>
        <w:ind w:left="600" w:right="420" w:hanging="433"/>
        <w:spacing w:after="0" w:line="239"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(a) 89,999 shares of Class A common stock held by Mr. Goguen and (b) 3,751 shares of Class A common stock underlying outstanding options held by Mr. Goguen that are immediately exercisable or will be immediately exercisable within 60 days of May 30, 2021.</w:t>
      </w: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127,925 shares of Class A common stock held by Mr. Hornig.</w:t>
      </w:r>
    </w:p>
    <w:p>
      <w:pPr>
        <w:ind w:left="600" w:right="760" w:hanging="433"/>
        <w:spacing w:after="0" w:line="239"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5,833 shares of Class A common stock underlying outstanding options held by Ms. Rollins that are immediately exercisable or will be immediately exercisable within 60 days of May 30, 2021.</w:t>
      </w:r>
    </w:p>
    <w:p>
      <w:pPr>
        <w:ind w:left="600" w:right="100" w:hanging="433"/>
        <w:spacing w:after="0" w:line="239"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14,583 shares of Class A common stock underlying outstanding options held by Ms. Bial that are immediately exercisable or will be immediately exercisable within 60 days of May 30, 2021.</w:t>
      </w:r>
    </w:p>
    <w:p>
      <w:pPr>
        <w:ind w:left="600" w:right="520" w:hanging="433"/>
        <w:spacing w:after="0" w:line="239"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(a) 96,825 shares of Class A common stock held by Mr. Rosati and (b) 9,683 shares of Class A common stock underlying outstanding options held by Mr. Rosati that are immediately exercisable or will be immediately exercisable within 60 days of May 30, 2021.</w:t>
      </w:r>
    </w:p>
    <w:p>
      <w:pPr>
        <w:ind w:left="600" w:right="420" w:hanging="433"/>
        <w:spacing w:after="0" w:line="239"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14,583 shares of Class A common stock held by Ms. Weymouth underlying outstanding options that are immediately exercisable or will be immediately exercisable within 60 days of May 30, 2021.</w:t>
      </w:r>
    </w:p>
    <w:p>
      <w:pPr>
        <w:ind w:left="600" w:hanging="433"/>
        <w:spacing w:after="0" w:line="239"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amount does not include RSUs awarded to Ms. Clark in June 2021, representing a contingent right to receive shares of our Class A common stock with an aggregate value of $100,000, with the number of shares to be determined using the initial public offering price, effective upon the consummation of this offering. Based on an assumed initial public offering price of $40.00 per share, the midpoint of the estimated pricing range set forth on the cover page of this prospectus, the RSUs to be granted to Ms. Clark will represent a contingent right to receive 2,500 shares of our Class A common stock. See “Management—Non-Employee Director Compensation” for more information.</w:t>
      </w:r>
    </w:p>
    <w:p>
      <w:pPr>
        <w:ind w:left="600" w:right="140" w:hanging="433"/>
        <w:spacing w:after="0" w:line="246"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(a) 2,676,154 shares of Class B common stock held by our directors and executive officers, (b)(i) 11,051,024 shares of Class A common stock held by our directors and executive officers and (ii) 474,771 shares of Class A common stock underlying outstanding options held by our directors and executive officers that are immediately exercisable or will be immediately exercisable within 60 days of May 30, 2021.</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w:t>
      </w:r>
    </w:p>
    <w:p>
      <w:pPr>
        <w:spacing w:after="0" w:line="230"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204"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On the completion of this offering, our amended and restated certificate of incorporation will provide for two classes of common stock: Class A common stock and Class B common stock. In addition, our amended and restated certificate of incorporation that will be in effect on the completion of this offering will authorize shares of undesignated preferred stock, the rights, preferences and privileges of which may be designated from time to time by our board of directors.</w:t>
      </w:r>
    </w:p>
    <w:p>
      <w:pPr>
        <w:spacing w:after="0" w:line="202" w:lineRule="exact"/>
        <w:rPr>
          <w:sz w:val="20"/>
          <w:szCs w:val="20"/>
          <w:color w:val="auto"/>
        </w:rPr>
      </w:pPr>
    </w:p>
    <w:p>
      <w:pPr>
        <w:ind w:left="160" w:right="780" w:firstLine="546"/>
        <w:spacing w:after="0" w:line="239" w:lineRule="auto"/>
        <w:rPr>
          <w:sz w:val="20"/>
          <w:szCs w:val="20"/>
          <w:color w:val="auto"/>
        </w:rPr>
      </w:pPr>
      <w:r>
        <w:rPr>
          <w:rFonts w:ascii="Arial" w:cs="Arial" w:eastAsia="Arial" w:hAnsi="Arial"/>
          <w:sz w:val="18"/>
          <w:szCs w:val="18"/>
          <w:color w:val="auto"/>
        </w:rPr>
        <w:t>Upon the completion of this offering, our authorized capital stock will consist of 805,000,000 shares, all with a par value of $0.000001 per share, of which:</w:t>
      </w:r>
    </w:p>
    <w:p>
      <w:pPr>
        <w:spacing w:after="0" w:line="109" w:lineRule="exact"/>
        <w:rPr>
          <w:sz w:val="20"/>
          <w:szCs w:val="20"/>
          <w:color w:val="auto"/>
        </w:rPr>
      </w:pPr>
    </w:p>
    <w:p>
      <w:pPr>
        <w:ind w:left="920" w:hanging="218"/>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750,000,000 shares are designated Class A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5,000,000 shares are designated Class B common stock;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50,000,000 shares are designated preferred stock.</w:t>
      </w:r>
    </w:p>
    <w:p>
      <w:pPr>
        <w:spacing w:after="0" w:line="20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As of March 31, 2021, assuming (i) the reclassification of our outstanding common stock into an aggregate of shares of Class A common stock, (ii) the conversion of all of our outstanding shares of preferred stock into an aggregate of 27,758,941 shares of Class A common stock and (iii) the exchange of an aggregate of 2,676,154 shares of Class A common stock held by our co-founders for an equivalent number of shares of our Class B common stock pursuant to the terms of an exchange agreement to be entered into with us, we had outstanding:</w:t>
      </w:r>
    </w:p>
    <w:p>
      <w:pPr>
        <w:spacing w:after="0" w:line="110" w:lineRule="exact"/>
        <w:rPr>
          <w:sz w:val="20"/>
          <w:szCs w:val="20"/>
          <w:color w:val="auto"/>
        </w:rPr>
      </w:pPr>
    </w:p>
    <w:p>
      <w:pPr>
        <w:ind w:left="920" w:hanging="218"/>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33,322,281 shares of Class A common stock;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2,676,154 shares of Class B common stock.</w:t>
      </w:r>
    </w:p>
    <w:p>
      <w:pPr>
        <w:spacing w:after="0" w:line="208" w:lineRule="exact"/>
        <w:rPr>
          <w:sz w:val="20"/>
          <w:szCs w:val="20"/>
          <w:color w:val="auto"/>
        </w:rPr>
      </w:pPr>
    </w:p>
    <w:p>
      <w:pPr>
        <w:ind w:left="160" w:right="280" w:firstLine="546"/>
        <w:spacing w:after="0" w:line="237" w:lineRule="auto"/>
        <w:rPr>
          <w:sz w:val="20"/>
          <w:szCs w:val="20"/>
          <w:color w:val="auto"/>
        </w:rPr>
      </w:pPr>
      <w:r>
        <w:rPr>
          <w:rFonts w:ascii="Arial" w:cs="Arial" w:eastAsia="Arial" w:hAnsi="Arial"/>
          <w:sz w:val="18"/>
          <w:szCs w:val="18"/>
          <w:color w:val="auto"/>
        </w:rPr>
        <w:t>Our outstanding capital stock was held by 177 stockholders of record as of March 31, 2021. Our board of directors will be authorized, without stockholder approval except as required by the listing standards of Nasdaq, to issue additional shares of our capital stock.</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Voting Rights</w:t>
      </w:r>
    </w:p>
    <w:p>
      <w:pPr>
        <w:spacing w:after="0" w:line="123" w:lineRule="exact"/>
        <w:rPr>
          <w:sz w:val="20"/>
          <w:szCs w:val="20"/>
          <w:color w:val="auto"/>
        </w:rPr>
      </w:pPr>
    </w:p>
    <w:p>
      <w:pPr>
        <w:ind w:left="160" w:right="280" w:firstLine="546"/>
        <w:spacing w:after="0" w:line="234" w:lineRule="auto"/>
        <w:rPr>
          <w:sz w:val="20"/>
          <w:szCs w:val="20"/>
          <w:color w:val="auto"/>
        </w:rPr>
      </w:pPr>
      <w:r>
        <w:rPr>
          <w:rFonts w:ascii="Arial" w:cs="Arial" w:eastAsia="Arial" w:hAnsi="Arial"/>
          <w:sz w:val="18"/>
          <w:szCs w:val="18"/>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 Holders of shares of Class A common stock and Class B common stock will vote together as a single class on all matters (including the election of directors) submitted to a vote of stockholders.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04"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60"/>
          </w:cols>
          <w:pgMar w:left="320" w:top="456"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23" w:lineRule="exact"/>
        <w:rPr>
          <w:sz w:val="20"/>
          <w:szCs w:val="20"/>
          <w:color w:val="auto"/>
        </w:rPr>
      </w:pPr>
    </w:p>
    <w:p>
      <w:pPr>
        <w:ind w:left="160" w:right="140" w:firstLine="546"/>
        <w:spacing w:after="0" w:line="257" w:lineRule="auto"/>
        <w:rPr>
          <w:sz w:val="20"/>
          <w:szCs w:val="20"/>
          <w:color w:val="auto"/>
        </w:rPr>
      </w:pPr>
      <w:r>
        <w:rPr>
          <w:rFonts w:ascii="Arial" w:cs="Arial" w:eastAsia="Arial" w:hAnsi="Arial"/>
          <w:sz w:val="17"/>
          <w:szCs w:val="17"/>
          <w:color w:val="auto"/>
        </w:rPr>
        <w:t>Except as otherwise will be expressly provided in our amended and restated certificate of incorporation that will be in effect on the completion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66" w:lineRule="exact"/>
        <w:rPr>
          <w:sz w:val="20"/>
          <w:szCs w:val="20"/>
          <w:color w:val="auto"/>
        </w:rPr>
      </w:pPr>
    </w:p>
    <w:p>
      <w:pPr>
        <w:ind w:left="160" w:firstLine="546"/>
        <w:spacing w:after="0"/>
        <w:rPr>
          <w:sz w:val="20"/>
          <w:szCs w:val="20"/>
          <w:color w:val="auto"/>
        </w:rPr>
      </w:pPr>
      <w:r>
        <w:rPr>
          <w:rFonts w:ascii="Arial" w:cs="Arial" w:eastAsia="Arial" w:hAnsi="Arial"/>
          <w:sz w:val="18"/>
          <w:szCs w:val="18"/>
          <w:b w:val="1"/>
          <w:bCs w:val="1"/>
          <w:i w:val="1"/>
          <w:iCs w:val="1"/>
          <w:color w:val="auto"/>
        </w:rPr>
        <w:t>Dividends and Distributions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preferences that may apply to any shares of preferred stock outstanding at the time,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82" w:lineRule="exact"/>
        <w:rPr>
          <w:sz w:val="20"/>
          <w:szCs w:val="20"/>
          <w:color w:val="auto"/>
        </w:rPr>
      </w:pPr>
    </w:p>
    <w:p>
      <w:pPr>
        <w:ind w:left="160" w:right="320" w:firstLine="546"/>
        <w:spacing w:after="0"/>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liquidation, dissolution or winding-up, the holders of Class A common stock and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2" w:lineRule="exact"/>
        <w:rPr>
          <w:sz w:val="20"/>
          <w:szCs w:val="20"/>
          <w:color w:val="auto"/>
        </w:rPr>
      </w:pPr>
    </w:p>
    <w:p>
      <w:pPr>
        <w:ind w:left="160" w:right="100" w:firstLine="546"/>
        <w:spacing w:after="0" w:line="238" w:lineRule="auto"/>
        <w:rPr>
          <w:sz w:val="20"/>
          <w:szCs w:val="20"/>
          <w:color w:val="auto"/>
        </w:rPr>
      </w:pPr>
      <w:r>
        <w:rPr>
          <w:rFonts w:ascii="Arial" w:cs="Arial" w:eastAsia="Arial" w:hAnsi="Arial"/>
          <w:sz w:val="18"/>
          <w:szCs w:val="18"/>
          <w:b w:val="1"/>
          <w:bCs w:val="1"/>
          <w:i w:val="1"/>
          <w:iCs w:val="1"/>
          <w:color w:val="auto"/>
        </w:rPr>
        <w:t>Change of Control Transactions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Class A common stock and Class B common stock will be treated equally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identically with respect to shares of Class A common stock and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w:t>
      </w:r>
    </w:p>
    <w:p>
      <w:pPr>
        <w:spacing w:after="0" w:line="3" w:lineRule="exact"/>
        <w:rPr>
          <w:sz w:val="20"/>
          <w:szCs w:val="20"/>
          <w:color w:val="auto"/>
        </w:rPr>
      </w:pPr>
    </w:p>
    <w:p>
      <w:pPr>
        <w:ind w:left="160" w:right="80" w:firstLine="7"/>
        <w:spacing w:after="0" w:line="234" w:lineRule="auto"/>
        <w:tabs>
          <w:tab w:leader="none" w:pos="4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1" w:lineRule="exact"/>
        <w:rPr>
          <w:sz w:val="20"/>
          <w:szCs w:val="20"/>
          <w:color w:val="auto"/>
        </w:rPr>
      </w:pPr>
    </w:p>
    <w:p>
      <w:pPr>
        <w:ind w:left="160" w:right="240" w:firstLine="546"/>
        <w:spacing w:after="0" w:line="265" w:lineRule="auto"/>
        <w:rPr>
          <w:sz w:val="20"/>
          <w:szCs w:val="20"/>
          <w:color w:val="auto"/>
        </w:rPr>
      </w:pPr>
      <w:r>
        <w:rPr>
          <w:rFonts w:ascii="Arial" w:cs="Arial" w:eastAsia="Arial" w:hAnsi="Arial"/>
          <w:sz w:val="18"/>
          <w:szCs w:val="18"/>
          <w:b w:val="1"/>
          <w:bCs w:val="1"/>
          <w:i w:val="1"/>
          <w:iCs w:val="1"/>
          <w:color w:val="auto"/>
        </w:rPr>
        <w:t>Subdivisions and Combinations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subdivide or combine in any manner outstanding shares of Class A common stock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B common stock, the outstanding shares of the other classes will be subdivided or combined in the same manner.</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23" w:lineRule="exact"/>
        <w:rPr>
          <w:sz w:val="20"/>
          <w:szCs w:val="20"/>
          <w:color w:val="auto"/>
        </w:rPr>
      </w:pPr>
    </w:p>
    <w:p>
      <w:pPr>
        <w:ind w:left="160" w:right="140" w:firstLine="546"/>
        <w:spacing w:after="0" w:line="268" w:lineRule="auto"/>
        <w:rPr>
          <w:sz w:val="20"/>
          <w:szCs w:val="20"/>
          <w:color w:val="auto"/>
        </w:rPr>
      </w:pPr>
      <w:r>
        <w:rPr>
          <w:rFonts w:ascii="Arial" w:cs="Arial" w:eastAsia="Arial" w:hAnsi="Arial"/>
          <w:sz w:val="17"/>
          <w:szCs w:val="17"/>
          <w:color w:val="auto"/>
        </w:rPr>
        <w:t>Our Class A common stock and Class B common stock will not be entitled to preemptive rights, and are not subject to conversion, redemption or sinking fund provisions, except for the conversion provisions with respect to the Class B common stock described below.</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6"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Conversion</w:t>
      </w:r>
    </w:p>
    <w:p>
      <w:pPr>
        <w:spacing w:after="0" w:line="123"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After the completion of this offering, on any transfer of shares of Class B common stock, whether or not for value, each such transferred share will automatically convert into one share of Class A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w:t>
      </w:r>
    </w:p>
    <w:p>
      <w:pPr>
        <w:spacing w:after="0" w:line="195" w:lineRule="exact"/>
        <w:rPr>
          <w:sz w:val="20"/>
          <w:szCs w:val="20"/>
          <w:color w:val="auto"/>
        </w:rPr>
      </w:pPr>
    </w:p>
    <w:p>
      <w:pPr>
        <w:ind w:left="160" w:right="100" w:firstLine="546"/>
        <w:spacing w:after="0" w:line="246" w:lineRule="auto"/>
        <w:rPr>
          <w:sz w:val="20"/>
          <w:szCs w:val="20"/>
          <w:color w:val="auto"/>
        </w:rPr>
      </w:pPr>
      <w:r>
        <w:rPr>
          <w:rFonts w:ascii="Arial" w:cs="Arial" w:eastAsia="Arial" w:hAnsi="Arial"/>
          <w:sz w:val="17"/>
          <w:szCs w:val="17"/>
          <w:color w:val="auto"/>
        </w:rPr>
        <w:t>Any holder’s shares of Class B common stock will convert automatically into Class A common stock, on a one-to-one basis, upon the following: (1) sale or transfer of such share of Class B common stock; (2) the death or incapacity of the Class B common stockholder;</w:t>
      </w:r>
    </w:p>
    <w:p>
      <w:pPr>
        <w:ind w:left="160" w:right="420" w:firstLine="7"/>
        <w:spacing w:after="0" w:line="237" w:lineRule="auto"/>
        <w:tabs>
          <w:tab w:leader="none" w:pos="427"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holder’s departure from our board of directors; and (4) on the final conversion date, defined as the earlier of (a) the seventh anniversary of this offering; or (b) the date specified by vote of the holders of a majority of the outstanding shares of Class B common stock.</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Once transferred and converted into Class A common stock, the Class B common stock may not be reissued.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3" w:lineRule="exact"/>
        <w:rPr>
          <w:sz w:val="20"/>
          <w:szCs w:val="20"/>
          <w:color w:val="auto"/>
        </w:rPr>
      </w:pPr>
    </w:p>
    <w:p>
      <w:pPr>
        <w:ind w:left="160" w:right="300" w:firstLine="546"/>
        <w:spacing w:after="0" w:line="239"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under this offering will be fully paid and non-assessable.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Preferred Stock</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As of March 31, 2021 there were 27,758,941 shares of our preferred stock outstanding. In connection with this offering, each outstanding share of our preferred stock will convert into one share of our Class A common stock and an aggregate of 2,676,154 shares of Class A common stock held by our co-founders will be exchanged for an equivalent number of shares of our Class B common stock pursuant to the terms of an exchange agreement to be entered into with us.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On the completion of this offering and under our amended and restated certificate of incorporation that will be in effect on the completion of this offering,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Options</w:t>
      </w:r>
    </w:p>
    <w:p>
      <w:pPr>
        <w:spacing w:after="0" w:line="230"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As of March 31, 2021, we had outstanding options to purchase 2,742,441 shares of our Class A common stock, with a weighted-average exercise price of approximately $3.43 per share, under our 2016 Plan and 2014 Plan.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60"/>
          </w:cols>
          <w:pgMar w:left="320" w:top="456" w:right="5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Warrants</w:t>
      </w:r>
    </w:p>
    <w:p>
      <w:pPr>
        <w:spacing w:after="0" w:line="230"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As of March 31, 2021, we had outstanding warrants to purchase 112,026 shares of our Class A common stock, with a weighted-average exercise price of approximately $4.37 per share.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This investor rights agreement was entered into in July 17, 2020.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202"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is a part,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The holders of an aggregate of 27,738,301 shares of our Class A common stock and 1,475,311 shares of our Class B common stock will be entitled to certain demand registration rights. At any time beginning 180 days after the completion of this offering, the holders of at least 40% of these shares may, on not more than one occasion, request that we register all or a portion of their shares. Such request for registration must cover shares with an anticipated aggregate offering price, net of underwriting discounts and commissions, of at least $5 million.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3"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In connection with this offering, the holders of an aggregate of 27,738,301 shares of our Class A common stock and 1,475,311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40"/>
          </w:cols>
          <w:pgMar w:left="320" w:top="456"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3" w:lineRule="exact"/>
        <w:rPr>
          <w:sz w:val="20"/>
          <w:szCs w:val="20"/>
          <w:color w:val="auto"/>
        </w:rPr>
      </w:pPr>
    </w:p>
    <w:p>
      <w:pPr>
        <w:ind w:left="160" w:right="340" w:firstLine="546"/>
        <w:spacing w:after="0" w:line="235" w:lineRule="auto"/>
        <w:rPr>
          <w:sz w:val="20"/>
          <w:szCs w:val="20"/>
          <w:color w:val="auto"/>
        </w:rPr>
      </w:pPr>
      <w:r>
        <w:rPr>
          <w:rFonts w:ascii="Arial" w:cs="Arial" w:eastAsia="Arial" w:hAnsi="Arial"/>
          <w:sz w:val="18"/>
          <w:szCs w:val="18"/>
          <w:color w:val="auto"/>
        </w:rPr>
        <w:t>The holders of an aggregate of 27,738,301 shares of our Class A common stock and 1,475,311 shares of our Class B common stock will be entitled to certain Form S-3 registration rights. The holders of at least 30% of these shares can make a request that we register their shares on Form S-3 if we are qualified to file a registration statement on Form S-3 and if the reasonably anticipated aggregate gross proceeds of the shares offered would equal or exceed $3 million. We will not be required to effect more than two registrations on Form S-3 within any 12-month period.</w:t>
      </w:r>
    </w:p>
    <w:p>
      <w:pPr>
        <w:spacing w:after="0" w:line="39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Anti-Takeover Provisions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on the Completion of this Offering</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our chief executive officer or our lead independent director.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204"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amended and restated certificate of incorporation to be effective on the completion of this offering will further provide for a dual-class common stock structure, which provides our Class B common stockholders with control over all matters requiring stockholder approval, including the election of directors and significant corporate transactions, such as a merger or other sale of our company or its assets.</w:t>
      </w:r>
    </w:p>
    <w:p>
      <w:pPr>
        <w:spacing w:after="0" w:line="202" w:lineRule="exact"/>
        <w:rPr>
          <w:sz w:val="20"/>
          <w:szCs w:val="20"/>
          <w:color w:val="auto"/>
        </w:rPr>
      </w:pPr>
    </w:p>
    <w:p>
      <w:pPr>
        <w:ind w:left="160" w:right="800" w:firstLine="546"/>
        <w:spacing w:after="0" w:line="268" w:lineRule="auto"/>
        <w:rPr>
          <w:sz w:val="20"/>
          <w:szCs w:val="20"/>
          <w:color w:val="auto"/>
        </w:rPr>
      </w:pPr>
      <w:r>
        <w:rPr>
          <w:rFonts w:ascii="Arial" w:cs="Arial" w:eastAsia="Arial" w:hAnsi="Arial"/>
          <w:sz w:val="17"/>
          <w:szCs w:val="17"/>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79"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These provisions, including the dual-class structure of our common stock, are intended to preserve our existing control structure after completion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Choice of Forum</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amended and restated certificate of incorporation to be effective on the completion of this offering will provide that the Court of</w:t>
      </w:r>
    </w:p>
    <w:p>
      <w:pPr>
        <w:ind w:left="160"/>
        <w:spacing w:after="0" w:line="238" w:lineRule="auto"/>
        <w:rPr>
          <w:sz w:val="20"/>
          <w:szCs w:val="20"/>
          <w:color w:val="auto"/>
        </w:rPr>
      </w:pPr>
      <w:r>
        <w:rPr>
          <w:rFonts w:ascii="Arial" w:cs="Arial" w:eastAsia="Arial" w:hAnsi="Arial"/>
          <w:sz w:val="18"/>
          <w:szCs w:val="18"/>
          <w:color w:val="auto"/>
        </w:rPr>
        <w:t>Chancery of the State of Delaware be the exclusive forum for actions or proceedings brought under Delaware statutory or common law:</w:t>
      </w:r>
    </w:p>
    <w:p>
      <w:pPr>
        <w:ind w:left="160" w:right="20" w:firstLine="7"/>
        <w:spacing w:after="0" w:line="234" w:lineRule="auto"/>
        <w:tabs>
          <w:tab w:leader="none" w:pos="4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23"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Our Class A common stock is currently not listed on any securities exchange. We have applied to have our Class A common stock approved for listing on The Nasdaq Global Select Market under the symbol “XMTR”.</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On the completion of this offering, the transfer agent and registrar for our Class A common stock and Class B common stock will be Computershare Trust Company, N.A. The transfer agent’s address is 150 Royall Street, Canton, Massachusetts 02021.</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our Class A common stock, including shares issued on the exercise of outstanding options, in the public market after this offering, or the possibility of these sales or issuances occurring, could adversely affect the prevailing market price for our Class A common stock or impair our ability to raise equity capital.</w:t>
      </w:r>
    </w:p>
    <w:p>
      <w:pPr>
        <w:spacing w:after="0" w:line="202"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Based on our shares outstanding as of March 31, 2021, on the completion of this offering, a total of 40,197,281 shares of Class A common stock and 2,676,154 shares of Class B common stock will be outstanding, assuming (i) the reclassification of our outstanding common stock into an aggregate of shares of Class A common stock, (ii) the conversion of all of our outstanding shares of preferred stock into an aggregate of 27,758,941 shares of Class A common stock and (iii) the exchange of an aggregate of 2,676,154 shares of Class A common stock held by our co-founders for an equivalent number of shares of our Class B common stock. Of these shares, all of the Class A common stock sold in this offering by us, plus any shares sold by us on exercise of the underwriters’ option to purchase additional Class A common stock, will be freely tradable in the public market without restriction or further registration under the Securities Act, unless these shares are held by “affiliates,” as that term is defined in Rule 144 under the Securities Act.</w:t>
      </w:r>
    </w:p>
    <w:p>
      <w:pPr>
        <w:spacing w:after="0" w:line="204"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The remaining shares of Class A common stock and all shares of Class B common stock will be, and shares of Class A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204"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Subject to the lock-up and market stand-off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203"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As a result of the lock-up and market stand-off agreements referred to below and the provisions of Rule 144 and Rule 701, based on the number of shares of our common stock outstanding (calculated as of March 31, 2021 on the basis of the assumptions described above), the shares of our common stock (excluding the shares sold in this offering) that will be available for sale in the public market are as follows:</w:t>
      </w:r>
    </w:p>
    <w:p>
      <w:pPr>
        <w:sectPr>
          <w:pgSz w:w="11900" w:h="16838" w:orient="portrait"/>
          <w:cols w:equalWidth="0" w:num="1">
            <w:col w:w="11060"/>
          </w:cols>
          <w:pgMar w:left="320" w:top="456" w:right="51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4"/>
          <w:szCs w:val="14"/>
          <w:b w:val="1"/>
          <w:bCs w:val="1"/>
          <w:u w:val="single" w:color="auto"/>
          <w:color w:val="auto"/>
        </w:rPr>
        <w:t>Approximate Number of Shares</w:t>
      </w:r>
    </w:p>
    <w:p>
      <w:pPr>
        <w:spacing w:after="0" w:line="25" w:lineRule="exact"/>
        <w:rPr>
          <w:sz w:val="20"/>
          <w:szCs w:val="20"/>
          <w:color w:val="auto"/>
        </w:rPr>
      </w:pPr>
    </w:p>
    <w:p>
      <w:pPr>
        <w:jc w:val="both"/>
        <w:ind w:left="160" w:right="680"/>
        <w:spacing w:after="0" w:line="237" w:lineRule="auto"/>
        <w:rPr>
          <w:sz w:val="20"/>
          <w:szCs w:val="20"/>
          <w:color w:val="auto"/>
        </w:rPr>
      </w:pPr>
      <w:r>
        <w:rPr>
          <w:rFonts w:ascii="Arial" w:cs="Arial" w:eastAsia="Arial" w:hAnsi="Arial"/>
          <w:sz w:val="18"/>
          <w:szCs w:val="18"/>
          <w:color w:val="auto"/>
        </w:rPr>
        <w:t>Up to 0.2 million shares held by Company Employees (as defined in the section titled “Underwriting”)</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All remaining shares not previously eligible for sale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726"/>
        <w:spacing w:after="0"/>
        <w:rPr>
          <w:sz w:val="20"/>
          <w:szCs w:val="20"/>
          <w:color w:val="auto"/>
        </w:rPr>
      </w:pPr>
      <w:r>
        <w:rPr>
          <w:rFonts w:ascii="Arial" w:cs="Arial" w:eastAsia="Arial" w:hAnsi="Arial"/>
          <w:sz w:val="14"/>
          <w:szCs w:val="14"/>
          <w:b w:val="1"/>
          <w:bCs w:val="1"/>
          <w:color w:val="auto"/>
        </w:rPr>
        <w:t>First Date Available For Sale Into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42208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20845" cy="8255"/>
                    </a:xfrm>
                    <a:prstGeom prst="rect">
                      <a:avLst/>
                    </a:prstGeom>
                    <a:noFill/>
                  </pic:spPr>
                </pic:pic>
              </a:graphicData>
            </a:graphic>
          </wp:anchor>
        </w:drawing>
      </w:r>
    </w:p>
    <w:p>
      <w:pPr>
        <w:spacing w:after="0" w:line="19" w:lineRule="exact"/>
        <w:rPr>
          <w:sz w:val="20"/>
          <w:szCs w:val="20"/>
          <w:color w:val="auto"/>
        </w:rPr>
      </w:pPr>
    </w:p>
    <w:p>
      <w:pPr>
        <w:ind w:left="6" w:right="420"/>
        <w:spacing w:after="0" w:line="239" w:lineRule="auto"/>
        <w:rPr>
          <w:sz w:val="20"/>
          <w:szCs w:val="20"/>
          <w:color w:val="auto"/>
        </w:rPr>
      </w:pPr>
      <w:r>
        <w:rPr>
          <w:rFonts w:ascii="Arial" w:cs="Arial" w:eastAsia="Arial" w:hAnsi="Arial"/>
          <w:sz w:val="18"/>
          <w:szCs w:val="18"/>
          <w:color w:val="auto"/>
        </w:rPr>
        <w:t>The 30-day anniversary of this prospectus, subject in some cases to limitations under Rule 144 and Rule 701.</w:t>
      </w:r>
    </w:p>
    <w:p>
      <w:pPr>
        <w:spacing w:after="0" w:line="283" w:lineRule="exact"/>
        <w:rPr>
          <w:sz w:val="20"/>
          <w:szCs w:val="20"/>
          <w:color w:val="auto"/>
        </w:rPr>
      </w:pPr>
    </w:p>
    <w:p>
      <w:pPr>
        <w:ind w:left="6" w:right="420"/>
        <w:spacing w:after="0" w:line="246" w:lineRule="auto"/>
        <w:rPr>
          <w:sz w:val="20"/>
          <w:szCs w:val="20"/>
          <w:color w:val="auto"/>
        </w:rPr>
      </w:pPr>
      <w:r>
        <w:rPr>
          <w:rFonts w:ascii="Arial" w:cs="Arial" w:eastAsia="Arial" w:hAnsi="Arial"/>
          <w:sz w:val="17"/>
          <w:szCs w:val="17"/>
          <w:color w:val="auto"/>
        </w:rPr>
        <w:t>The earlier of (i) 181 days after the date of this prospectus, upon expiration of the lock-up agreements referred to below and (ii) if (a) at least 120 days have elapsed since the date of this prospectus, (b) the Company has released its earnings results for the quarterly period during which this offering occurred and</w:t>
      </w:r>
    </w:p>
    <w:p>
      <w:pPr>
        <w:spacing w:after="0" w:line="1" w:lineRule="exact"/>
        <w:rPr>
          <w:sz w:val="20"/>
          <w:szCs w:val="20"/>
          <w:color w:val="auto"/>
        </w:rPr>
      </w:pPr>
    </w:p>
    <w:p>
      <w:pPr>
        <w:ind w:left="6" w:right="240" w:hanging="6"/>
        <w:spacing w:after="0" w:line="246" w:lineRule="auto"/>
        <w:tabs>
          <w:tab w:leader="none" w:pos="26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lock-up period is scheduled to end during the last “open trading window period” under the Company’s insider trading policy that is regularly scheduled to begin prior to the date 180 days after the date of this prospectus, then the later of</w:t>
      </w:r>
    </w:p>
    <w:p>
      <w:pPr>
        <w:ind w:left="6"/>
        <w:spacing w:after="0"/>
        <w:rPr>
          <w:rFonts w:ascii="Arial" w:cs="Arial" w:eastAsia="Arial" w:hAnsi="Arial"/>
          <w:sz w:val="17"/>
          <w:szCs w:val="17"/>
          <w:color w:val="auto"/>
        </w:rPr>
      </w:pPr>
      <w:r>
        <w:rPr>
          <w:rFonts w:ascii="Arial" w:cs="Arial" w:eastAsia="Arial" w:hAnsi="Arial"/>
          <w:sz w:val="18"/>
          <w:szCs w:val="18"/>
          <w:color w:val="auto"/>
        </w:rPr>
        <w:t>(A) the date of the regularly scheduled commencement</w:t>
      </w:r>
    </w:p>
    <w:p>
      <w:pPr>
        <w:spacing w:after="0" w:line="141"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162</w:t>
      </w:r>
    </w:p>
    <w:p>
      <w:pPr>
        <w:sectPr>
          <w:pgSz w:w="11900" w:h="16838" w:orient="portrait"/>
          <w:cols w:equalWidth="0" w:num="2">
            <w:col w:w="4180" w:space="254"/>
            <w:col w:w="6626"/>
          </w:cols>
          <w:pgMar w:left="320" w:top="456" w:right="51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First Date Available For Sale Into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16510</wp:posOffset>
            </wp:positionV>
            <wp:extent cx="42208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20845" cy="8255"/>
                    </a:xfrm>
                    <a:prstGeom prst="rect">
                      <a:avLst/>
                    </a:prstGeom>
                    <a:noFill/>
                  </pic:spPr>
                </pic:pic>
              </a:graphicData>
            </a:graphic>
          </wp:anchor>
        </w:drawing>
      </w:r>
    </w:p>
    <w:p>
      <w:pPr>
        <w:spacing w:after="0" w:line="19" w:lineRule="exact"/>
        <w:rPr>
          <w:sz w:val="20"/>
          <w:szCs w:val="20"/>
          <w:color w:val="auto"/>
        </w:rPr>
      </w:pPr>
    </w:p>
    <w:p>
      <w:pPr>
        <w:ind w:left="4440" w:right="180"/>
        <w:spacing w:after="0" w:line="237" w:lineRule="auto"/>
        <w:rPr>
          <w:sz w:val="20"/>
          <w:szCs w:val="20"/>
          <w:color w:val="auto"/>
        </w:rPr>
      </w:pPr>
      <w:r>
        <w:rPr>
          <w:rFonts w:ascii="Arial" w:cs="Arial" w:eastAsia="Arial" w:hAnsi="Arial"/>
          <w:sz w:val="18"/>
          <w:szCs w:val="18"/>
          <w:color w:val="auto"/>
        </w:rPr>
        <w:t>of the “open trading window period” described above and (B) 120 days after the date of this prospectus; in each case subject in some cases to applicable volume, manner of sale and other limitations under Rule 144 and Rule 701.</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144</w:t>
      </w:r>
    </w:p>
    <w:p>
      <w:pPr>
        <w:spacing w:after="0" w:line="230"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and market stand-off agreements described below.</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and market stand-off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109" w:lineRule="exact"/>
        <w:rPr>
          <w:sz w:val="20"/>
          <w:szCs w:val="20"/>
          <w:color w:val="auto"/>
        </w:rPr>
      </w:pPr>
    </w:p>
    <w:p>
      <w:pPr>
        <w:jc w:val="both"/>
        <w:ind w:left="920" w:right="100" w:hanging="218"/>
        <w:spacing w:after="0" w:line="237" w:lineRule="auto"/>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 of the number of Class A common stock then outstanding, which will equal approximately 402,000 shares immediately after this offering, assuming no exercise of the underwriters’ option to purchase additional shares of Class A common stock from us; or</w:t>
      </w:r>
    </w:p>
    <w:p>
      <w:pPr>
        <w:spacing w:after="0" w:line="108" w:lineRule="exact"/>
        <w:rPr>
          <w:rFonts w:ascii="Arial" w:cs="Arial" w:eastAsia="Arial" w:hAnsi="Arial"/>
          <w:sz w:val="18"/>
          <w:szCs w:val="18"/>
          <w:color w:val="auto"/>
        </w:rPr>
      </w:pPr>
    </w:p>
    <w:p>
      <w:pPr>
        <w:ind w:left="920" w:right="100" w:hanging="218"/>
        <w:spacing w:after="0" w:line="239" w:lineRule="auto"/>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Nasdaq Global Select Market during the four calendar weeks preceding the filing of a notice on Form 144 with respect to such sale.</w:t>
      </w:r>
    </w:p>
    <w:p>
      <w:pPr>
        <w:spacing w:after="0" w:line="203"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701</w:t>
      </w:r>
    </w:p>
    <w:p>
      <w:pPr>
        <w:spacing w:after="0" w:line="230"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and market stand-off agreements described below.</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40"/>
          </w:cols>
          <w:pgMar w:left="320" w:top="456" w:right="5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S-8 Registration Statements</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intend to file one or more registration statements on Form S-8 under the Securities Act with the SEC to register the offer and sale of shares of our Class A common stock that are issuable under our 2016 Plan and 2021 Plan. These registration statements will become effective immediately on filing. Shares covered by these registration statements will then be eligible for sale in the public markets, subject to vesting restrictions, any applicable lock-up and market stand-off agreements described below, and Rule 144 limitations applicable to affiliates.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Lock-up and Market Stand-off Arrangements</w:t>
      </w:r>
    </w:p>
    <w:p>
      <w:pPr>
        <w:spacing w:after="0" w:line="230" w:lineRule="exact"/>
        <w:rPr>
          <w:sz w:val="20"/>
          <w:szCs w:val="20"/>
          <w:color w:val="auto"/>
        </w:rPr>
      </w:pPr>
    </w:p>
    <w:p>
      <w:pPr>
        <w:ind w:left="160" w:right="120" w:firstLine="546"/>
        <w:spacing w:after="0" w:line="249" w:lineRule="auto"/>
        <w:rPr>
          <w:sz w:val="20"/>
          <w:szCs w:val="20"/>
          <w:color w:val="auto"/>
        </w:rPr>
      </w:pPr>
      <w:r>
        <w:rPr>
          <w:rFonts w:ascii="Arial" w:cs="Arial" w:eastAsia="Arial" w:hAnsi="Arial"/>
          <w:sz w:val="17"/>
          <w:szCs w:val="17"/>
          <w:color w:val="auto"/>
        </w:rPr>
        <w:t>We, and all of our directors, executive officers and the holders of substantially all of our common stock and securities exercisable for or convertible into our Class A common stock outstanding immediately on the completion of this offering, have agreed, or will agree, with the underwriters that, until 180 days after the date of this prospectus, we and they will not, without the prior written consent of Goldman Sachs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Goldman Sachs &amp; Co. LLC and J.P. Morgan Securities LLC may, in its sole discretion, release any of the securities subject to these lock-up and market stand-off agreements at any time.</w:t>
      </w:r>
    </w:p>
    <w:p>
      <w:pPr>
        <w:spacing w:after="0" w:line="19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 holders to offer, sell or transfer our equity securities for a period of 180 days following the date of this prospectus. We have agreed to enforce all such market stand-off restrictions on behalf of the underwriters and not to amend or waive any such market stand-off provisions during the restricted period without the prior consent of Goldman Sachs &amp; Co. LLC and J.P. Morgan Securities LLC, provided that we may release shares from such restrictions to the extent such shares would be entitled to release under the form of lock-up agreement with the underwriters.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Rights</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Upon the completion of this offering, the holders of 27,738,301 shares of our Class A common stock and 1,475,311 shares of our Class B common stock,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 Registration Rights” for additional information.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6"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CLASS A COMMON STOCK</w:t>
      </w:r>
    </w:p>
    <w:p>
      <w:pPr>
        <w:spacing w:after="0" w:line="20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Class A common stock acquired in this offering by Non-U.S. Holders (as defined below). This discussion is not a complete analysis of all potential U.S. federal income tax consequences relating thereto, does not deal with non-U.S., state, and local tax consequences that may be relevant to Non-U.S. Holders in light of their particular circumstances, and does not address U.S. federal tax consequences other than income taxes. For example, it does not address estate and gift taxes, the alternative minimum tax, the Medicare contribution tax on net investment income, or the application of special tax accounting rules under Section 451(b). Special rules different from those described below may apply to certain Non-U.S. Holders that are subject to special treatment under the Code, as amended (the Code), such as financial institutions,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persons deemed to sell our Class A common stock under the constructive sale provisions of the Code.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Class A common stock as a “capital asset” within the meaning of Section 1221 of the Code (generally, property held for investment).</w:t>
      </w:r>
    </w:p>
    <w:p>
      <w:pPr>
        <w:spacing w:after="0" w:line="206"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This discussion is for informational purposes only and is not tax advice. Persons considering the purchase of our Class A common stock pursuant to this offering should consult their own tax advisors concerning the U.S. federal income, gift, estate, and other tax consequences of acquiring, owning, and disposing of our Class A common stock in light of their particular situations as well as any consequences arising under the laws of any other taxing jurisdiction, including any state, local, or non-U.S. tax consequences, or under any applicable income tax treaty.</w:t>
      </w:r>
    </w:p>
    <w:p>
      <w:pPr>
        <w:spacing w:after="0" w:line="204"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For the purposes of this discussion, a “Non-U.S. Holder” is a beneficial owner of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109" w:lineRule="exact"/>
        <w:rPr>
          <w:sz w:val="20"/>
          <w:szCs w:val="20"/>
          <w:color w:val="auto"/>
        </w:rPr>
      </w:pPr>
    </w:p>
    <w:p>
      <w:pPr>
        <w:ind w:left="920" w:hanging="218"/>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6" w:right="5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3" w:lineRule="exact"/>
        <w:rPr>
          <w:rFonts w:ascii="Arial" w:cs="Arial" w:eastAsia="Arial" w:hAnsi="Arial"/>
          <w:sz w:val="18"/>
          <w:szCs w:val="18"/>
          <w:color w:val="auto"/>
        </w:rPr>
      </w:pPr>
    </w:p>
    <w:p>
      <w:pPr>
        <w:ind w:left="920" w:right="320" w:hanging="218"/>
        <w:spacing w:after="0" w:line="246" w:lineRule="auto"/>
        <w:tabs>
          <w:tab w:leader="none" w:pos="9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(within the meaning of Section 7701(a)(30) of the Code) have the authority to control all substantial decisions of the trust or</w:t>
      </w:r>
    </w:p>
    <w:p>
      <w:pPr>
        <w:ind w:left="920"/>
        <w:spacing w:after="0"/>
        <w:rPr>
          <w:rFonts w:ascii="Arial" w:cs="Arial" w:eastAsia="Arial" w:hAnsi="Arial"/>
          <w:sz w:val="17"/>
          <w:szCs w:val="17"/>
          <w:color w:val="auto"/>
        </w:rPr>
      </w:pPr>
      <w:r>
        <w:rPr>
          <w:rFonts w:ascii="Arial" w:cs="Arial" w:eastAsia="Arial" w:hAnsi="Arial"/>
          <w:sz w:val="18"/>
          <w:szCs w:val="18"/>
          <w:color w:val="auto"/>
        </w:rPr>
        <w:t>(2) has a valid election in effect under applicable U.S. Treasury Regulations to be treated as a United States person.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Distributions</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As described in the section titled “Dividend Policy,” we do not anticipate declaring or paying dividends to holders of our Class A common stock in the foreseeable future. However, if we do make distributions of cash or property on our Class A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205"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203" w:lineRule="exact"/>
        <w:rPr>
          <w:sz w:val="20"/>
          <w:szCs w:val="20"/>
          <w:color w:val="auto"/>
        </w:rPr>
      </w:pPr>
    </w:p>
    <w:p>
      <w:pPr>
        <w:jc w:val="both"/>
        <w:ind w:left="160" w:right="40" w:firstLine="546"/>
        <w:spacing w:after="0" w:line="236" w:lineRule="auto"/>
        <w:rPr>
          <w:sz w:val="20"/>
          <w:szCs w:val="20"/>
          <w:color w:val="auto"/>
        </w:rPr>
      </w:pPr>
      <w:r>
        <w:rPr>
          <w:rFonts w:ascii="Arial" w:cs="Arial" w:eastAsia="Arial" w:hAnsi="Arial"/>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40"/>
          </w:cols>
          <w:pgMar w:left="320" w:top="456"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Gain on Disposition of Our Class A Common Stock</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Subject to the discussions below regarding backup withholding and foreign accounts, a Non-U.S. Holder generally will not be subject to U.S. federal income tax with respect to gain realized on a sale or other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in our Class A common stock and (2) our Class A common stock is “regularly traded,” as defined by applicable Treasury Regulations, on an established securities market. There can be no assurance that our Class A common stock will qualify as regularly traded on an established securities market. If any gain on your disposition is taxable because we are a United States real property holding corporation and your ownership of our Class A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203"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2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Information returns are required to be filed with the IRS in connection with payments of distributions on our Class A common stock. Unless you comply with certification procedures to establish that you are not a U.S. person, information returns may also be filed with the IRS in connection with the proceeds from a sale or other disposition of our Class A common stock. You may be subject to backup withholding on payments 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6"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Accounts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202"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204"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CLASS A COMMON STOCK, INCLUDING THE CONSEQUENCES OF ANY RECENT OR PROPOSED CHANGE IN APPLICABLE LAW.</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60"/>
          </w:cols>
          <w:pgMar w:left="320" w:top="456"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30" w:lineRule="exact"/>
        <w:rPr>
          <w:sz w:val="20"/>
          <w:szCs w:val="20"/>
          <w:color w:val="auto"/>
        </w:rPr>
      </w:pPr>
    </w:p>
    <w:p>
      <w:pPr>
        <w:ind w:left="160" w:right="140" w:firstLine="546"/>
        <w:spacing w:after="0" w:line="257"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shares being offered. Subject to certain conditions, each underwriter has severally agreed to purchase the number of shares of Class A common stock indicated in the following table. Goldman Sachs &amp; Co. LLC and J.P. Morgan Securities LLC are the representatives of the underwriters.</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Underwriters</w:t>
            </w:r>
          </w:p>
        </w:tc>
        <w:tc>
          <w:tcPr>
            <w:tcW w:w="888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Number of Shares</w:t>
            </w:r>
          </w:p>
        </w:tc>
      </w:tr>
      <w:tr>
        <w:trPr>
          <w:trHeight w:val="187"/>
        </w:trPr>
        <w:tc>
          <w:tcPr>
            <w:tcW w:w="97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Goldman Sachs &amp; Co. LLC</w:t>
            </w: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rPr>
              <w:t>J.P. Morgan Securities LLC</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UBS Securities LLC</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rPr>
              <w:t>Citigroup Global Markets Inc.</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BofA Securities, Inc.</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970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1"/>
        </w:trPr>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rPr>
              <w:t>C.L. King &amp; Associates, Inc.</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Loop Capital Markets LLC</w:t>
            </w:r>
          </w:p>
        </w:tc>
        <w:tc>
          <w:tcPr>
            <w:tcW w:w="11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9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6,875,000</w:t>
            </w:r>
          </w:p>
        </w:tc>
        <w:tc>
          <w:tcPr>
            <w:tcW w:w="6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3"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Certain funds and accounts advised or sub-advised by T. Rowe Price Associates, Inc. have indicated a non-binding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The underwriters will receive the same discount on any shares of Class A common stock purchased by such funds and accounts advised or sub-advised by T. Rowe Price Associates, Inc. and one or more funds advised by Capital World Investors as they will on any other shares of Class A common stock sold to the public in this offering.</w:t>
      </w:r>
    </w:p>
    <w:p>
      <w:pPr>
        <w:spacing w:after="0" w:line="210" w:lineRule="exact"/>
        <w:rPr>
          <w:sz w:val="20"/>
          <w:szCs w:val="20"/>
          <w:color w:val="auto"/>
        </w:rPr>
      </w:pPr>
    </w:p>
    <w:p>
      <w:pPr>
        <w:jc w:val="both"/>
        <w:ind w:left="160" w:right="80" w:firstLine="546"/>
        <w:spacing w:after="0" w:line="236" w:lineRule="auto"/>
        <w:rPr>
          <w:sz w:val="20"/>
          <w:szCs w:val="20"/>
          <w:color w:val="auto"/>
        </w:rPr>
      </w:pPr>
      <w:r>
        <w:rPr>
          <w:rFonts w:ascii="Arial" w:cs="Arial" w:eastAsia="Arial" w:hAnsi="Arial"/>
          <w:sz w:val="18"/>
          <w:szCs w:val="18"/>
          <w:color w:val="auto"/>
        </w:rPr>
        <w:t>The underwriters have an option to buy up to an additional 1,031,250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202" w:lineRule="exact"/>
        <w:rPr>
          <w:sz w:val="20"/>
          <w:szCs w:val="20"/>
          <w:color w:val="auto"/>
        </w:rPr>
      </w:pPr>
    </w:p>
    <w:p>
      <w:pPr>
        <w:ind w:left="160" w:right="340" w:firstLine="546"/>
        <w:spacing w:after="0" w:line="237" w:lineRule="auto"/>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 Company. Such amounts are shown assuming both no exercise and full exercise of the underwriters’ option to purchase 1,031,250 additional shares.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Paid by the Company</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58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4"/>
        </w:trPr>
        <w:tc>
          <w:tcPr>
            <w:tcW w:w="85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Per Share</w:t>
            </w:r>
          </w:p>
        </w:tc>
        <w:tc>
          <w:tcPr>
            <w:tcW w:w="8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0" w:lineRule="exact"/>
        <w:rPr>
          <w:sz w:val="20"/>
          <w:szCs w:val="20"/>
          <w:color w:val="auto"/>
        </w:rPr>
      </w:pPr>
    </w:p>
    <w:p>
      <w:pPr>
        <w:ind w:left="160" w:right="220" w:firstLine="546"/>
        <w:spacing w:after="0" w:line="232" w:lineRule="auto"/>
        <w:rPr>
          <w:sz w:val="20"/>
          <w:szCs w:val="20"/>
          <w:color w:val="auto"/>
        </w:rPr>
      </w:pPr>
      <w:r>
        <w:rPr>
          <w:rFonts w:ascii="Arial" w:cs="Arial" w:eastAsia="Arial" w:hAnsi="Arial"/>
          <w:sz w:val="18"/>
          <w:szCs w:val="18"/>
          <w:color w:val="auto"/>
        </w:rPr>
        <w:t>Shares of Class A common stock sold by the underwriters to the public will initially be offered at the initial public offering price set forth on the cover of this prospectus. Any shares sold by the underwriters to securities dealers may be sold at a discount of up to</w:t>
      </w:r>
    </w:p>
    <w:p>
      <w:pPr>
        <w:spacing w:after="0" w:line="1" w:lineRule="exact"/>
        <w:rPr>
          <w:sz w:val="20"/>
          <w:szCs w:val="20"/>
          <w:color w:val="auto"/>
        </w:rPr>
      </w:pPr>
    </w:p>
    <w:p>
      <w:pPr>
        <w:ind w:left="160" w:firstLine="7"/>
        <w:spacing w:after="0" w:line="237" w:lineRule="auto"/>
        <w:tabs>
          <w:tab w:leader="none" w:pos="10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3"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7"/>
          <w:szCs w:val="17"/>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our Class A common stock during the period from the date of this prospectus continuing through the date that is 180 days after the date of this prospectus, except with the prior written consent of the representatives, subject to certain exceptions.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Notwithstanding the foregoing,</w:t>
      </w:r>
    </w:p>
    <w:p>
      <w:pPr>
        <w:spacing w:after="0" w:line="114" w:lineRule="exact"/>
        <w:rPr>
          <w:sz w:val="20"/>
          <w:szCs w:val="20"/>
          <w:color w:val="auto"/>
        </w:rPr>
      </w:pPr>
    </w:p>
    <w:p>
      <w:pPr>
        <w:ind w:left="1900" w:right="20" w:hanging="542"/>
        <w:spacing w:after="0" w:line="235" w:lineRule="auto"/>
        <w:tabs>
          <w:tab w:leader="none" w:pos="1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 at least 120 days have elapsed since the date of this prospectus, (b) the Company has released its earnings results for the quarterly period during which this offering occurred and (c) the lock-up period is scheduled to end during the last “open trading window period” under the Company’s insider trading policy that is regularly scheduled to begin prior to the date 180 days after the date of this prospectus, then the last day of the lock-up period will be the later of (A) the trading day immediately prior to the regularly scheduled commencement of the “open trading window period” described above and (B) 120 days after the date of this prospectus; and</w:t>
      </w:r>
    </w:p>
    <w:p>
      <w:pPr>
        <w:spacing w:after="0" w:line="107" w:lineRule="exact"/>
        <w:rPr>
          <w:rFonts w:ascii="Arial" w:cs="Arial" w:eastAsia="Arial" w:hAnsi="Arial"/>
          <w:sz w:val="18"/>
          <w:szCs w:val="18"/>
          <w:color w:val="auto"/>
        </w:rPr>
      </w:pPr>
    </w:p>
    <w:p>
      <w:pPr>
        <w:ind w:left="1900" w:right="80" w:hanging="542"/>
        <w:spacing w:after="0" w:line="236" w:lineRule="auto"/>
        <w:tabs>
          <w:tab w:leader="none" w:pos="1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beginning on the first trading day following the 30-day anniversary of the date of this prospectus, 20% of the aggregate number of shares and vested options held by employees (including former employees, but excluding any current or former directors or officers) of the Company, who we collectively refer to as the Company Employees, will be released from the lock-up restrictions described above.</w:t>
      </w:r>
    </w:p>
    <w:p>
      <w:pPr>
        <w:spacing w:after="0" w:line="202"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The lock-up and market stand-off agreements applicable to the Company’s officers, directors and security holders include other exceptions to the restrictions on transfer, including:</w:t>
      </w:r>
    </w:p>
    <w:p>
      <w:pPr>
        <w:spacing w:after="0" w:line="109" w:lineRule="exact"/>
        <w:rPr>
          <w:sz w:val="20"/>
          <w:szCs w:val="20"/>
          <w:color w:val="auto"/>
        </w:rPr>
      </w:pPr>
    </w:p>
    <w:p>
      <w:pPr>
        <w:ind w:left="2020" w:right="20" w:hanging="435"/>
        <w:spacing w:after="0" w:line="235" w:lineRule="auto"/>
        <w:tabs>
          <w:tab w:leader="none" w:pos="2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transfer of shares as a bona fide gift or gifts or for bona fide estate planning purposes, provided that the donee or donees thereof agree to be bound in writing by the lock-up restrictions, and provided further that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110" w:lineRule="exact"/>
        <w:rPr>
          <w:rFonts w:ascii="Arial" w:cs="Arial" w:eastAsia="Arial" w:hAnsi="Arial"/>
          <w:sz w:val="18"/>
          <w:szCs w:val="18"/>
          <w:color w:val="auto"/>
        </w:rPr>
      </w:pPr>
    </w:p>
    <w:p>
      <w:pPr>
        <w:ind w:left="2020" w:right="20" w:hanging="435"/>
        <w:spacing w:after="0" w:line="235" w:lineRule="auto"/>
        <w:tabs>
          <w:tab w:leader="none" w:pos="2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transfer of shares to any trust for the direct or indirect benefit of the lock-up party or an immediate family member, provided that the trustee of the trust agrees to be bound in writing by the lock-up restrictions, provided further that any such transfer shall not involve a disposition for value, and provided further that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20" w:hanging="435"/>
        <w:spacing w:after="0" w:line="234"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transfer of shares upon death or by will, testamentary document or intestate succession, provided that the transferee agrees to be bound in writing by the lock-up restrictions, provided further that any such transfer shall not involve a disposition for value, and provided further that no filing under Section 16(a) of the Exchange Act, reporting such transfer shall be voluntarily made during the lock-up period and if a report under Section 16(a) of the Exchange Act is required to be filed during the lock-up period, such report shall include a statement to the effect that (A) such transfer relates to the circumstances described in this bullet, and (B) the shares received are subject to a lock-up agreement with the underwriters;</w:t>
      </w:r>
    </w:p>
    <w:p>
      <w:pPr>
        <w:spacing w:after="0" w:line="111" w:lineRule="exact"/>
        <w:rPr>
          <w:rFonts w:ascii="Arial" w:cs="Arial" w:eastAsia="Arial" w:hAnsi="Arial"/>
          <w:sz w:val="18"/>
          <w:szCs w:val="18"/>
          <w:color w:val="auto"/>
        </w:rPr>
      </w:pPr>
    </w:p>
    <w:p>
      <w:pPr>
        <w:ind w:left="2020" w:right="20" w:hanging="435"/>
        <w:spacing w:after="0" w:line="236"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transfer of shares in connection with a sale of shares acquired (A) from the underwriters in this offering or (B) in open market transactions after the date of this prospectus, provided that it shall be a condition to the transfer that no filing under Section 16(a) of the Exchange Act, reporting such transfer, shall be required or shall be voluntarily made during the lock-up period;</w:t>
      </w:r>
    </w:p>
    <w:p>
      <w:pPr>
        <w:spacing w:after="0" w:line="108" w:lineRule="exact"/>
        <w:rPr>
          <w:rFonts w:ascii="Arial" w:cs="Arial" w:eastAsia="Arial" w:hAnsi="Arial"/>
          <w:sz w:val="18"/>
          <w:szCs w:val="18"/>
          <w:color w:val="auto"/>
        </w:rPr>
      </w:pPr>
    </w:p>
    <w:p>
      <w:pPr>
        <w:ind w:left="2020" w:right="20" w:hanging="435"/>
        <w:spacing w:after="0" w:line="233"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transfer of shares to the Company in connection with the exercise of options or the vesting or settlement of restricted stock units or other equity awards, including in connection with “net” or “cashless” exercises, or the vesting or settlement of restricted stock units or other rights to purchase shares of common stock, for the payment of tax withholdings or remittance payments due as a result of the exercise of any such options or vesting or settlement of such restricted stock units or other rights to purchase shares of common stock, in all such cases, (A) pursuant to equity awards granted under a stock incentive plan or other equity award plan that is described herein and (B) provided that any shares of common stock received upon such exercise, vesting or settlement, in each case, that are not transferred to cover any such tax obligations shall be subject to the lock-up restrictions described above, provided further, (1) that no filing under Section 16(a) of the Exchange Act shall be required or shall be voluntarily made during the first 90 days after the date of this prospectus in connection with an option exercise described in this bullet unless such option would otherwise expire pursuant to its terms during such time and (2) that any filing under Section 16(a) of the Exchange Act that occurs 90 days after the date of this prospectus, or any other public filing or disclosure of such transfer shall clearly indicate in the footnotes thereto that such transfer relates to the circumstances described in this bullet;</w:t>
      </w:r>
    </w:p>
    <w:p>
      <w:pPr>
        <w:spacing w:after="0" w:line="109" w:lineRule="exact"/>
        <w:rPr>
          <w:rFonts w:ascii="Arial" w:cs="Arial" w:eastAsia="Arial" w:hAnsi="Arial"/>
          <w:sz w:val="18"/>
          <w:szCs w:val="18"/>
          <w:color w:val="auto"/>
        </w:rPr>
      </w:pPr>
    </w:p>
    <w:p>
      <w:pPr>
        <w:ind w:left="2020" w:hanging="435"/>
        <w:spacing w:after="0"/>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lock-up party is a partnership, limited liability company, corporation, trust or other business entity, transfers</w:t>
      </w:r>
    </w:p>
    <w:p>
      <w:pPr>
        <w:ind w:left="2020" w:right="60"/>
        <w:spacing w:after="0" w:line="233" w:lineRule="auto"/>
        <w:rPr>
          <w:rFonts w:ascii="Arial" w:cs="Arial" w:eastAsia="Arial" w:hAnsi="Arial"/>
          <w:sz w:val="18"/>
          <w:szCs w:val="18"/>
          <w:color w:val="auto"/>
        </w:rPr>
      </w:pPr>
      <w:r>
        <w:rPr>
          <w:rFonts w:ascii="Arial" w:cs="Arial" w:eastAsia="Arial" w:hAnsi="Arial"/>
          <w:sz w:val="18"/>
          <w:szCs w:val="18"/>
          <w:color w:val="auto"/>
        </w:rPr>
        <w:t>(A) to another corporation, partnership, limited liability company, trust or other business entity that is an affiliate (within the meaning set forth in Rule 405 as promulgated by the SEC under the Securities Act and including such party’s subsidiaries) of the lock-up party, (B) to any investment fund or other entity controlling, controlled by, managing or managed by or under common control with the locked-up party or affiliates thereof (including, for the avoidance of doubt, where the locked-up party is a partnership, to its general partner or a successor partnership or fund, or any other funds managed by such partnership) or (C) as part of a distribution, transfer or disposition to the locked-up party’s stockholders, limited partners, general partners, limited liability company members or other equityholders or to the estate of any such stockholders, limited partners, general partners, limited liability company members or equityholders; provided that the transferee or distributee agrees to be bound in writing by the lock-up restrictions; provided further that any such transfer shall not involve a disposition for value; and provided further that no filing under Section 16(a) of the Exchange Act, reporting such transfer, shall be required or shall be voluntarily made during the lock-up period;</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20" w:right="240" w:hanging="435"/>
        <w:spacing w:after="0" w:line="235"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or in connection with a divorce settlement; provided that the transferee agrees to be bound in writing by the lock-up restrictions; and provided further that any filings under Section 16(a) of the Exchange Act, or any other public filing or disclosure of such transfer shall clearly indicate in the footnotes thereto that such transfer relates to the circumstances described in this bullet;</w:t>
      </w:r>
    </w:p>
    <w:p>
      <w:pPr>
        <w:spacing w:after="0" w:line="110" w:lineRule="exact"/>
        <w:rPr>
          <w:rFonts w:ascii="Arial" w:cs="Arial" w:eastAsia="Arial" w:hAnsi="Arial"/>
          <w:sz w:val="18"/>
          <w:szCs w:val="18"/>
          <w:color w:val="auto"/>
        </w:rPr>
      </w:pPr>
    </w:p>
    <w:p>
      <w:pPr>
        <w:ind w:left="2020" w:right="40" w:hanging="435"/>
        <w:spacing w:after="0" w:line="235"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to the Company, in connection with the repurchase of shares of Common Stock issued pursuant to an employee benefit plan or stock plan disclosed herein or pursuant to the agreements pursuant to which such shares were issued as disclosed herein, in each case, upon termination of the locked-up party’s relationship with the Company; provided that any filings under Section 16(a) of the Exchange Act, or any other public filing or disclosure of such transfer shall clearly indicate in the footnotes thereto that such transfer relates to the circumstances described in this bullet;</w:t>
      </w:r>
    </w:p>
    <w:p>
      <w:pPr>
        <w:spacing w:after="0" w:line="107" w:lineRule="exact"/>
        <w:rPr>
          <w:rFonts w:ascii="Arial" w:cs="Arial" w:eastAsia="Arial" w:hAnsi="Arial"/>
          <w:sz w:val="18"/>
          <w:szCs w:val="18"/>
          <w:color w:val="auto"/>
        </w:rPr>
      </w:pPr>
    </w:p>
    <w:p>
      <w:pPr>
        <w:ind w:left="2020" w:hanging="435"/>
        <w:spacing w:after="0" w:line="234"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the Company’s capital stock and approved by the board of directors of the Company, and the result of which is that any person or group of persons becomes the beneficial owner of at least 50% of total voting power of the voting stock of the Company or the surviving entity (a “Change of Control Transaction”); provided that in the event that the Change of Control Transaction is not completed, the locked-up party’s shares shall remain subject to the lock-up provisions; provided, further that so long as the locked-up party’s shares are not transferred, sold or tendered, such shares shall remain subject to the lock-up provisions;</w:t>
      </w:r>
    </w:p>
    <w:p>
      <w:pPr>
        <w:spacing w:after="0" w:line="111" w:lineRule="exact"/>
        <w:rPr>
          <w:rFonts w:ascii="Arial" w:cs="Arial" w:eastAsia="Arial" w:hAnsi="Arial"/>
          <w:sz w:val="18"/>
          <w:szCs w:val="18"/>
          <w:color w:val="auto"/>
        </w:rPr>
      </w:pPr>
    </w:p>
    <w:p>
      <w:pPr>
        <w:ind w:left="2020" w:right="140" w:hanging="435"/>
        <w:spacing w:after="0" w:line="239"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with the prior written consent of Goldman Sachs &amp; Co. LLC and J.P. Morgan Securities LLC on behalf of the underwriters; and</w:t>
      </w:r>
    </w:p>
    <w:p>
      <w:pPr>
        <w:spacing w:after="0" w:line="109" w:lineRule="exact"/>
        <w:rPr>
          <w:rFonts w:ascii="Arial" w:cs="Arial" w:eastAsia="Arial" w:hAnsi="Arial"/>
          <w:sz w:val="18"/>
          <w:szCs w:val="18"/>
          <w:color w:val="auto"/>
        </w:rPr>
      </w:pPr>
    </w:p>
    <w:p>
      <w:pPr>
        <w:ind w:left="2020" w:right="100" w:hanging="435"/>
        <w:spacing w:after="0" w:line="236"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entry into a written plan meeting the requirements of Rule 10b5-1 under the Exchange Act relating to the transfer, sale or other disposition of securities, if then permitted by the Company, provided that the securities subject to the plan may not be sold during the lock-up period (except to the extent otherwise allowed as described above).</w:t>
      </w:r>
    </w:p>
    <w:p>
      <w:pPr>
        <w:spacing w:after="0" w:line="202"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In addition, Goldman Sachs &amp; Co. LLC and J.P. Morgan Securities LLC may, in their sole discretion, release all or some portion of the shares subject to lock-up and market stand-off agreements prior to the expiration of the lock-up period. See “Shares Available for Future Sale” for a discussion of certain other transfer restrictions.</w:t>
      </w:r>
    </w:p>
    <w:p>
      <w:pPr>
        <w:spacing w:after="0" w:line="20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 holders to offer, sell or transfer our equity securities for a period of 180 days following the date of this prospectus. We have agreed to enforce all such market stand-off restrictions on behalf of the underwriters and not to amend or waive any such market stand-off provisions during the restricted period without the prior consent of Goldman Sachs &amp; Co. LLC and J.P. Morgan Securities LLC, provided that we may release shares from such restrictions to the extent such shares would be entitled to release under the form of lock-up agreement with the underwriters.</w:t>
      </w:r>
    </w:p>
    <w:p>
      <w:pPr>
        <w:spacing w:after="0" w:line="206"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the Company and the representatives of the underwriters. Among the factors to be considered in determining the initial public offering price of the shares, in addition to prevailing market conditions, will be the Company’s historical performance, estimates of the business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6"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40"/>
        <w:spacing w:after="0" w:line="239" w:lineRule="auto"/>
        <w:rPr>
          <w:sz w:val="20"/>
          <w:szCs w:val="20"/>
          <w:color w:val="auto"/>
        </w:rPr>
      </w:pPr>
      <w:r>
        <w:rPr>
          <w:rFonts w:ascii="Arial" w:cs="Arial" w:eastAsia="Arial" w:hAnsi="Arial"/>
          <w:sz w:val="18"/>
          <w:szCs w:val="18"/>
          <w:color w:val="auto"/>
        </w:rPr>
        <w:t>potential and earnings prospects of the Company, an assessment of the Company’s management and the consideration of the above factors in relation to market valuation of companies in related businesses.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applied to list our Class A common stock for trading on The Nasdaq Global Select Market under the symbol “XMTR”.</w:t>
      </w:r>
    </w:p>
    <w:p>
      <w:pPr>
        <w:spacing w:after="0" w:line="208" w:lineRule="exact"/>
        <w:rPr>
          <w:sz w:val="20"/>
          <w:szCs w:val="20"/>
          <w:color w:val="auto"/>
        </w:rPr>
      </w:pPr>
    </w:p>
    <w:p>
      <w:pPr>
        <w:ind w:left="160" w:right="140" w:firstLine="546"/>
        <w:spacing w:after="0" w:line="233"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9"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202"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$4.0 million. We have agreed to reimburse the underwriters for expenses relating to clearance of this offering with the Financial Industry Regulatory Authority up to $40,000. In addition, the underwriters have agreed to reimburse us for certain out-of-pocket expenses incurred in connection with this offering.</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of 1933.</w:t>
      </w:r>
    </w:p>
    <w:p>
      <w:pPr>
        <w:spacing w:after="0" w:line="219"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40"/>
        <w:spacing w:after="0" w:line="237" w:lineRule="auto"/>
        <w:rPr>
          <w:sz w:val="20"/>
          <w:szCs w:val="20"/>
          <w:color w:val="auto"/>
        </w:rPr>
      </w:pPr>
      <w:r>
        <w:rPr>
          <w:rFonts w:ascii="Arial" w:cs="Arial" w:eastAsia="Arial" w:hAnsi="Arial"/>
          <w:sz w:val="18"/>
          <w:szCs w:val="18"/>
          <w:color w:val="auto"/>
        </w:rPr>
        <w:t>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European Economic Area</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0" w:lineRule="exact"/>
        <w:rPr>
          <w:sz w:val="20"/>
          <w:szCs w:val="20"/>
          <w:color w:val="auto"/>
        </w:rPr>
      </w:pPr>
    </w:p>
    <w:p>
      <w:pPr>
        <w:ind w:left="1340" w:hanging="638"/>
        <w:spacing w:after="0"/>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3" w:lineRule="exact"/>
        <w:rPr>
          <w:rFonts w:ascii="Arial" w:cs="Arial" w:eastAsia="Arial" w:hAnsi="Arial"/>
          <w:sz w:val="18"/>
          <w:szCs w:val="18"/>
          <w:color w:val="auto"/>
        </w:rPr>
      </w:pPr>
    </w:p>
    <w:p>
      <w:pPr>
        <w:ind w:left="1340" w:right="400" w:hanging="638"/>
        <w:spacing w:after="0" w:line="239" w:lineRule="auto"/>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09" w:lineRule="exact"/>
        <w:rPr>
          <w:rFonts w:ascii="Arial" w:cs="Arial" w:eastAsia="Arial" w:hAnsi="Arial"/>
          <w:sz w:val="18"/>
          <w:szCs w:val="18"/>
          <w:color w:val="auto"/>
        </w:rPr>
      </w:pPr>
    </w:p>
    <w:p>
      <w:pPr>
        <w:jc w:val="both"/>
        <w:ind w:left="1340" w:right="20" w:hanging="638"/>
        <w:spacing w:after="0" w:line="237" w:lineRule="auto"/>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the shares of shares shall require the us or any underwriter to publish a prospectus pursuant to Article 3 of the Prospectus Regulation or supplement a prospectus pursuant to Article 23 of the Prospectus Regulation.</w:t>
      </w:r>
    </w:p>
    <w:p>
      <w:pPr>
        <w:spacing w:after="0" w:line="20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204"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40"/>
          </w:cols>
          <w:pgMar w:left="320" w:top="456" w:right="5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firstLine="546"/>
        <w:spacing w:after="0" w:line="257" w:lineRule="auto"/>
        <w:rPr>
          <w:sz w:val="20"/>
          <w:szCs w:val="20"/>
          <w:color w:val="auto"/>
        </w:rPr>
      </w:pPr>
      <w:r>
        <w:rPr>
          <w:rFonts w:ascii="Arial" w:cs="Arial" w:eastAsia="Arial" w:hAnsi="Arial"/>
          <w:sz w:val="17"/>
          <w:szCs w:val="17"/>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230" w:lineRule="exact"/>
        <w:rPr>
          <w:sz w:val="20"/>
          <w:szCs w:val="20"/>
          <w:color w:val="auto"/>
        </w:rPr>
      </w:pPr>
    </w:p>
    <w:p>
      <w:pPr>
        <w:ind w:left="160" w:right="200" w:firstLine="546"/>
        <w:spacing w:after="0" w:line="251" w:lineRule="auto"/>
        <w:rPr>
          <w:sz w:val="20"/>
          <w:szCs w:val="20"/>
          <w:color w:val="auto"/>
        </w:rPr>
      </w:pPr>
      <w:r>
        <w:rPr>
          <w:rFonts w:ascii="Arial" w:cs="Arial" w:eastAsia="Arial" w:hAnsi="Arial"/>
          <w:sz w:val="17"/>
          <w:szCs w:val="17"/>
          <w:color w:val="auto"/>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01" w:lineRule="exact"/>
        <w:rPr>
          <w:sz w:val="20"/>
          <w:szCs w:val="20"/>
          <w:color w:val="auto"/>
        </w:rPr>
      </w:pPr>
    </w:p>
    <w:p>
      <w:pPr>
        <w:ind w:left="920" w:hanging="218"/>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13" w:lineRule="exact"/>
        <w:rPr>
          <w:rFonts w:ascii="Arial" w:cs="Arial" w:eastAsia="Arial" w:hAnsi="Arial"/>
          <w:sz w:val="18"/>
          <w:szCs w:val="18"/>
          <w:color w:val="auto"/>
        </w:rPr>
      </w:pPr>
    </w:p>
    <w:p>
      <w:pPr>
        <w:ind w:left="920" w:right="980" w:hanging="218"/>
        <w:spacing w:after="0" w:line="239"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0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provided that no such offer of shares shall require the Issuer or any representative to publish a prospectus pursuant to section 85 of the FSMA or supplement a prospectus pursuant to Article 23 of the UK Prospectus Regulation.</w:t>
      </w:r>
    </w:p>
    <w:p>
      <w:pPr>
        <w:spacing w:after="0" w:line="203"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6"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60"/>
          </w:cols>
          <w:pgMar w:left="320" w:top="456"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Canada</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4"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4"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Hong Kong</w:t>
      </w:r>
    </w:p>
    <w:p>
      <w:pPr>
        <w:spacing w:after="0" w:line="230"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Singapore</w:t>
      </w:r>
    </w:p>
    <w:p>
      <w:pPr>
        <w:spacing w:after="0" w:line="33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and in accordance with the conditions specified in Section 275 of the SFA and (where applicable) Regulation 3 of the Securities and Futures (Class of Investors) Regulations 2018, or (iii) otherwise pursuant to, and in accordance with the conditions of, any other applicable provision of the SFA.</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60"/>
          </w:cols>
          <w:pgMar w:left="320" w:top="456"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2" w:lineRule="exact"/>
        <w:rPr>
          <w:sz w:val="20"/>
          <w:szCs w:val="20"/>
          <w:color w:val="auto"/>
        </w:rPr>
      </w:pPr>
    </w:p>
    <w:p>
      <w:pPr>
        <w:ind w:left="920" w:right="680" w:hanging="218"/>
        <w:spacing w:after="0" w:line="239"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3"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03" w:lineRule="exact"/>
        <w:rPr>
          <w:sz w:val="20"/>
          <w:szCs w:val="20"/>
          <w:color w:val="auto"/>
        </w:rPr>
      </w:pPr>
    </w:p>
    <w:p>
      <w:pPr>
        <w:ind w:left="160" w:right="160" w:firstLine="546"/>
        <w:spacing w:after="0" w:line="257" w:lineRule="auto"/>
        <w:rPr>
          <w:sz w:val="20"/>
          <w:szCs w:val="20"/>
          <w:color w:val="auto"/>
        </w:rPr>
      </w:pPr>
      <w:r>
        <w:rPr>
          <w:rFonts w:ascii="Arial" w:cs="Arial" w:eastAsia="Arial" w:hAnsi="Arial"/>
          <w:sz w:val="17"/>
          <w:szCs w:val="17"/>
          <w:color w:val="auto"/>
        </w:rPr>
        <w:t>Notification under Section 309B(1) of the SFA—The shares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Japan</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60"/>
          </w:cols>
          <w:pgMar w:left="320" w:top="456"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Cooley LLP, Washington, D.C., which has acted as our counsel in connection with this offering, will pass on certain legal matters with respect to U.S. federal law in connection with this offering. Davis Polk &amp; Wardwell LLP, Menlo Park, California has acted as counsel to the underwriters in connection with this offering.</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The consolidated financial statements of Xometry, Inc. as of and for the years ended December 31, 2020 and 2019, have been included herein and in the registration statement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0" w:lineRule="exact"/>
        <w:rPr>
          <w:sz w:val="20"/>
          <w:szCs w:val="20"/>
          <w:color w:val="auto"/>
        </w:rPr>
      </w:pPr>
    </w:p>
    <w:p>
      <w:pPr>
        <w:ind w:left="160" w:firstLine="546"/>
        <w:spacing w:after="0" w:line="24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94"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20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also maintain a website at www.xometry.com. Information contained in, or accessible through, our website is not a part of this prospectus, and the inclusion of our website address in this prospectus is only as an inactive textual reference.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60"/>
          </w:cols>
          <w:pgMar w:left="320" w:top="456" w:right="5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Consolidated Financial Statements</w:t>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Page(s)</w:t>
            </w:r>
          </w:p>
        </w:tc>
      </w:tr>
      <w:tr>
        <w:trPr>
          <w:trHeight w:val="261"/>
        </w:trPr>
        <w:tc>
          <w:tcPr>
            <w:tcW w:w="10360" w:type="dxa"/>
            <w:vAlign w:val="bottom"/>
            <w:gridSpan w:val="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Report of Independent Registered Public Accounting Firm</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6"/>
        </w:trPr>
        <w:tc>
          <w:tcPr>
            <w:tcW w:w="45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58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r>
      <w:tr>
        <w:trPr>
          <w:trHeight w:val="269"/>
        </w:trPr>
        <w:tc>
          <w:tcPr>
            <w:tcW w:w="360" w:type="dxa"/>
            <w:vAlign w:val="bottom"/>
          </w:tcPr>
          <w:p>
            <w:pPr>
              <w:spacing w:after="0"/>
              <w:rPr>
                <w:sz w:val="23"/>
                <w:szCs w:val="23"/>
                <w:color w:val="auto"/>
              </w:rPr>
            </w:pPr>
          </w:p>
        </w:tc>
        <w:tc>
          <w:tcPr>
            <w:tcW w:w="10000" w:type="dxa"/>
            <w:vAlign w:val="bottom"/>
            <w:gridSpan w:val="7"/>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Consolidated Balance Sheets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Consolidated Statements of Operations and Comprehensive Loss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Changes in Convertible Preferred Stock and Stockholders’ Deficit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88"/>
        </w:trPr>
        <w:tc>
          <w:tcPr>
            <w:tcW w:w="36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193">
              <w:r>
                <w:rPr>
                  <w:rFonts w:ascii="Arial" w:cs="Arial" w:eastAsia="Arial" w:hAnsi="Arial"/>
                  <w:sz w:val="18"/>
                  <w:szCs w:val="18"/>
                  <w:color w:val="0000EE"/>
                  <w:w w:val="98"/>
                </w:rPr>
                <w:t>Consolidated Statements of Cash Flows</w:t>
              </w:r>
            </w:hyperlink>
          </w:p>
        </w:tc>
        <w:tc>
          <w:tcPr>
            <w:tcW w:w="4200" w:type="dxa"/>
            <w:vAlign w:val="bottom"/>
            <w:tcBorders>
              <w:top w:val="single" w:sz="8" w:color="0000EE"/>
            </w:tcBorders>
            <w:gridSpan w:val="3"/>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88"/>
        </w:trPr>
        <w:tc>
          <w:tcPr>
            <w:tcW w:w="34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94">
              <w:r>
                <w:rPr>
                  <w:rFonts w:ascii="Arial" w:cs="Arial" w:eastAsia="Arial" w:hAnsi="Arial"/>
                  <w:sz w:val="18"/>
                  <w:szCs w:val="18"/>
                  <w:color w:val="0000EE"/>
                  <w:w w:val="98"/>
                </w:rPr>
                <w:t>Notes to Consolidated Financial Statements</w:t>
              </w:r>
            </w:hyperlink>
          </w:p>
        </w:tc>
        <w:tc>
          <w:tcPr>
            <w:tcW w:w="68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020"/>
          </w:cols>
          <w:pgMar w:left="320" w:top="456"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Stockholders and Board of Directors</w:t>
      </w:r>
    </w:p>
    <w:p>
      <w:pPr>
        <w:ind w:left="160"/>
        <w:spacing w:after="0"/>
        <w:rPr>
          <w:sz w:val="20"/>
          <w:szCs w:val="20"/>
          <w:color w:val="auto"/>
        </w:rPr>
      </w:pPr>
      <w:r>
        <w:rPr>
          <w:rFonts w:ascii="Arial" w:cs="Arial" w:eastAsia="Arial" w:hAnsi="Arial"/>
          <w:sz w:val="18"/>
          <w:szCs w:val="18"/>
          <w:color w:val="auto"/>
        </w:rPr>
        <w:t>Xometry, Inc.:</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We have audited the accompanying consolidated balance sheets of Xometry, Inc. and subsidiaries (the Company) as of December 31, 2020 and 2019, the related consolidated statements of operations and comprehensive loss, changes in convertible preferred stock and stockholders’ deficit, and cash flows for each of the years then ended, and the related notes and financial statement schedule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then ended, in conformity with U.S. generally accepted accounting principles.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Basis for Opinion</w:t>
      </w:r>
    </w:p>
    <w:p>
      <w:pPr>
        <w:spacing w:after="0" w:line="119"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KPMG LLP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2015.</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McLean, Virginia</w:t>
      </w:r>
    </w:p>
    <w:p>
      <w:pPr>
        <w:ind w:left="160"/>
        <w:spacing w:after="0"/>
        <w:rPr>
          <w:sz w:val="20"/>
          <w:szCs w:val="20"/>
          <w:color w:val="auto"/>
        </w:rPr>
      </w:pPr>
      <w:r>
        <w:rPr>
          <w:rFonts w:ascii="Arial" w:cs="Arial" w:eastAsia="Arial" w:hAnsi="Arial"/>
          <w:sz w:val="18"/>
          <w:szCs w:val="18"/>
          <w:color w:val="auto"/>
        </w:rPr>
        <w:t>April 13, 2021</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320" w:top="456"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9"/>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9"/>
              <w:spacing w:after="0" w:line="154"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0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auto"/>
                <w:w w:val="99"/>
              </w:rPr>
              <w:t>(unaudited)</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59,874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40,122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49,512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49,512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10,860</w:t>
            </w:r>
          </w:p>
        </w:tc>
        <w:tc>
          <w:tcPr>
            <w:tcW w:w="100" w:type="dxa"/>
            <w:vAlign w:val="bottom"/>
          </w:tcPr>
          <w:p>
            <w:pPr>
              <w:spacing w:after="0"/>
              <w:rPr>
                <w:sz w:val="13"/>
                <w:szCs w:val="13"/>
                <w:color w:val="auto"/>
              </w:rPr>
            </w:pPr>
          </w:p>
        </w:tc>
        <w:tc>
          <w:tcPr>
            <w:tcW w:w="10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less allowance for doubtful accounts of $0.6 million in 2020 and $0.4 million</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in 2019; and $0.6 million as of March 31, 2021</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w w:val="97"/>
              </w:rPr>
              <w:t>14,574</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line="156" w:lineRule="exact"/>
              <w:rPr>
                <w:sz w:val="20"/>
                <w:szCs w:val="20"/>
                <w:color w:val="auto"/>
              </w:rPr>
            </w:pPr>
            <w:r>
              <w:rPr>
                <w:rFonts w:ascii="Arial" w:cs="Arial" w:eastAsia="Arial" w:hAnsi="Arial"/>
                <w:sz w:val="14"/>
                <w:szCs w:val="14"/>
                <w:color w:val="auto"/>
                <w:w w:val="97"/>
              </w:rPr>
              <w:t>12,405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20,065</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20,065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2,294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1,492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3"/>
                <w:szCs w:val="13"/>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current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77,655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65,408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73,598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73,598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6,113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4,216</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6,671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6,671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right-of-use lease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2,863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2,425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833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833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88,963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77,411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84,612</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5,640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7,935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7,460</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13,606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5,010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15,196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15,196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2,355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1,821</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3,927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 current portion</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Finance lease liabilities, current portion</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15,753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15,809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current liabilities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38,381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15,855</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43,279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43,279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11,433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Operating lease liabilities, net of current portion</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1,118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989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lease liabilities, net of current portion</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39,499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29,352</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44,268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44,268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 (Note 13)</w:t>
            </w: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Stock</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Seed-1, $0.000001 par value. 4,200,000 shares authorized, issued</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Convertible preferred stock- Seed-2, $0.000001 par value. 2,188,322 shares authorized, issued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2,998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2,998</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2,998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A-1, $0.000001 par value. 4,211,094 shares authorized, issued</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8,704</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Convertible preferred stock- Series A-2, $0.000001 par value. 1,591,230 shares authorized, issued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12,839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12,839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B, $0.000001 par value. 4,132,055 shares authorized and</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4,044,271 issued and outstanding as of December 31, 2020 and 2019; and March 31, 2021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(unaudited)</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20,347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7"/>
              </w:rPr>
              <w:t>18,612</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20,347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tcPr>
          <w:p>
            <w:pPr>
              <w:ind w:left="280"/>
              <w:spacing w:after="0"/>
              <w:rPr>
                <w:sz w:val="20"/>
                <w:szCs w:val="20"/>
                <w:color w:val="auto"/>
              </w:rPr>
            </w:pPr>
            <w:r>
              <w:rPr>
                <w:rFonts w:ascii="Arial" w:cs="Arial" w:eastAsia="Arial" w:hAnsi="Arial"/>
                <w:sz w:val="14"/>
                <w:szCs w:val="14"/>
                <w:color w:val="auto"/>
              </w:rPr>
              <w:t>Convertible preferred stock- Series C, $0.000001 par value. 3,754,201 shares authorized, issued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00" w:type="dxa"/>
            <w:vAlign w:val="bottom"/>
          </w:tcPr>
          <w:p>
            <w:pPr>
              <w:ind w:left="420"/>
              <w:spacing w:after="0"/>
              <w:rPr>
                <w:sz w:val="20"/>
                <w:szCs w:val="20"/>
                <w:color w:val="auto"/>
              </w:rPr>
            </w:pPr>
            <w:r>
              <w:rPr>
                <w:rFonts w:ascii="Arial" w:cs="Arial" w:eastAsia="Arial" w:hAnsi="Arial"/>
                <w:sz w:val="14"/>
                <w:szCs w:val="14"/>
                <w:color w:val="auto"/>
              </w:rPr>
              <w:t>and outstanding as of December 31, 2020 and 2019; and March 31, 2021 (unaudited)</w:t>
            </w:r>
          </w:p>
        </w:tc>
        <w:tc>
          <w:tcPr>
            <w:tcW w:w="8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26,004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24,756</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26,004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7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9"/>
              <w:spacing w:after="0" w:line="154"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98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Convertible preferred stock- Series D, $0.000001 par value. 5,494,064 and 5,600,000 shares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authorized and 5,494,064 shares issued and outstanding as of December 31, 2020 and 2019; and</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5,494,064 shares authorized, issued and outstanding as of March 31, 2021 (unaudited)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54,864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$ 54,929</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54,864</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Convertible preferred stock- Series E, $0.000001 par value. 2,400,000 shares authorized and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2,275,759 shares issued and outstanding as of December 31, 2020; and March 31, 2021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30,757</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30,757</w:t>
            </w:r>
          </w:p>
        </w:tc>
        <w:tc>
          <w:tcPr>
            <w:tcW w:w="1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deficit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Common stock, $0.000001 par value. Authorized 42,000,000 and 39,600,000 shares; 7,755,782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shares and 7,289,571 shares issued and outstanding as of December 31, 2020 and 2019;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Authorized 42,000,000 shares; 8,239,494 issued and outstanding as of March 31, 2021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Class A Common stock, $0.000001 par value. Authorized 750,000,000 shares (pro forma);</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32,964,905 issued and outstanding as of December 31, 2020 (pro forma) (unaudited); 33,322,281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shares issued and outstanding as of March 31, 2021 pro forma (unaudited)</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80"/>
              <w:spacing w:after="0" w:line="156"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8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Class B Common stock, $0.000001 par value. Authorized 5,000,000 shares (pro forma); 2,549,818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issued and outstanding as of December 31, 2020 (pro forma) (unaudited); 2,676,154 shares issued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420"/>
              <w:spacing w:after="0" w:line="156" w:lineRule="exact"/>
              <w:rPr>
                <w:sz w:val="20"/>
                <w:szCs w:val="20"/>
                <w:color w:val="auto"/>
              </w:rPr>
            </w:pPr>
            <w:r>
              <w:rPr>
                <w:rFonts w:ascii="Arial" w:cs="Arial" w:eastAsia="Arial" w:hAnsi="Arial"/>
                <w:sz w:val="14"/>
                <w:szCs w:val="14"/>
                <w:color w:val="auto"/>
              </w:rPr>
              <w:t>and outstanding as of March 31, 2021 pro forma (unaudited)</w:t>
            </w:r>
          </w:p>
        </w:tc>
        <w:tc>
          <w:tcPr>
            <w:tcW w:w="80" w:type="dxa"/>
            <w:vAlign w:val="bottom"/>
          </w:tcPr>
          <w:p>
            <w:pPr>
              <w:spacing w:after="0"/>
              <w:rPr>
                <w:sz w:val="13"/>
                <w:szCs w:val="13"/>
                <w:color w:val="auto"/>
              </w:rPr>
            </w:pPr>
          </w:p>
        </w:tc>
        <w:tc>
          <w:tcPr>
            <w:tcW w:w="980" w:type="dxa"/>
            <w:vAlign w:val="bottom"/>
            <w:gridSpan w:val="2"/>
          </w:tcPr>
          <w:p>
            <w:pPr>
              <w:jc w:val="right"/>
              <w:ind w:right="480"/>
              <w:spacing w:after="0" w:line="156"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48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503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4,512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1,854</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162,567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210</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(111,962)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(77,609)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(122,463)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stockholders’ equity (deficit)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(111,249)</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(73,097)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(120,369)</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40,344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8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liabilities, convertible preferred stock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88,963</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$ 77,411</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84,612</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Operations and Comprehensive Loss</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54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2"/>
              <w:spacing w:after="0" w:line="154"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3"/>
              <w:spacing w:after="0" w:line="154"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4"/>
          </w:tcPr>
          <w:p>
            <w:pPr>
              <w:jc w:val="center"/>
              <w:ind w:right="12"/>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141,406</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80,228</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43,922</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108,120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65,492</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34,087</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33,286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14,736</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22,567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14,599</w:t>
            </w:r>
          </w:p>
        </w:tc>
        <w:tc>
          <w:tcPr>
            <w:tcW w:w="120" w:type="dxa"/>
            <w:vAlign w:val="bottom"/>
          </w:tcPr>
          <w:p>
            <w:pPr>
              <w:spacing w:after="0"/>
              <w:rPr>
                <w:sz w:val="17"/>
                <w:szCs w:val="17"/>
                <w:color w:val="auto"/>
              </w:rPr>
            </w:pPr>
          </w:p>
        </w:tc>
        <w:tc>
          <w:tcPr>
            <w:tcW w:w="144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7,563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14,111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10,314</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7"/>
                <w:szCs w:val="17"/>
                <w:color w:val="auto"/>
              </w:rPr>
            </w:pP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12,186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10,637</w:t>
            </w:r>
          </w:p>
        </w:tc>
        <w:tc>
          <w:tcPr>
            <w:tcW w:w="120" w:type="dxa"/>
            <w:vAlign w:val="bottom"/>
          </w:tcPr>
          <w:p>
            <w:pPr>
              <w:spacing w:after="0"/>
              <w:rPr>
                <w:sz w:val="17"/>
                <w:szCs w:val="17"/>
                <w:color w:val="auto"/>
              </w:rPr>
            </w:pPr>
          </w:p>
        </w:tc>
        <w:tc>
          <w:tcPr>
            <w:tcW w:w="144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3,664</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12,046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8,016</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Impairment of goodwill and intangible assets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1,719</w:t>
            </w: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2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62,502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45,285</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19,884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ind w:left="340"/>
              <w:spacing w:after="0" w:line="201" w:lineRule="exact"/>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7"/>
                <w:szCs w:val="17"/>
                <w:color w:val="auto"/>
              </w:rPr>
            </w:pP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(29,216)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(30,549)</w:t>
            </w:r>
          </w:p>
        </w:tc>
        <w:tc>
          <w:tcPr>
            <w:tcW w:w="120" w:type="dxa"/>
            <w:vAlign w:val="bottom"/>
          </w:tcPr>
          <w:p>
            <w:pPr>
              <w:spacing w:after="0"/>
              <w:rPr>
                <w:sz w:val="17"/>
                <w:szCs w:val="17"/>
                <w:color w:val="auto"/>
              </w:rPr>
            </w:pPr>
          </w:p>
        </w:tc>
        <w:tc>
          <w:tcPr>
            <w:tcW w:w="14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(10,049)</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expenses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7"/>
                <w:szCs w:val="17"/>
                <w:color w:val="auto"/>
              </w:rPr>
            </w:pP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(1,089)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14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(780)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8"/>
                <w:szCs w:val="18"/>
                <w:color w:val="auto"/>
              </w:rPr>
              <w:t>Total other expenses</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(31,085)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8"/>
                <w:szCs w:val="18"/>
                <w:color w:val="auto"/>
              </w:rPr>
              <w:t>Deemed dividend to preferred stockholders</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(8,801)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Net loss attributable to common stockholders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(39,886)</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ind w:left="160"/>
              <w:spacing w:after="0" w:line="201" w:lineRule="exact"/>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(5.32)</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(4.88)</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(1.33)</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Weighted-average number of shares outstanding used to</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compute net loss per share attributable to common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7,492,876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w w:val="97"/>
              </w:rPr>
              <w:t>6,345,498</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7,924,848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7,354,673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Class A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ind w:left="160"/>
              <w:spacing w:after="0" w:line="201" w:lineRule="exact"/>
              <w:rPr>
                <w:sz w:val="20"/>
                <w:szCs w:val="20"/>
                <w:color w:val="auto"/>
              </w:rPr>
            </w:pPr>
            <w:r>
              <w:rPr>
                <w:rFonts w:ascii="Arial" w:cs="Arial" w:eastAsia="Arial" w:hAnsi="Arial"/>
                <w:sz w:val="18"/>
                <w:szCs w:val="18"/>
                <w:color w:val="auto"/>
              </w:rPr>
              <w:t>Class B common stockholders, basic and diluted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tcPr>
          <w:p>
            <w:pPr>
              <w:ind w:left="160"/>
              <w:spacing w:after="0" w:line="201" w:lineRule="exact"/>
              <w:rPr>
                <w:sz w:val="20"/>
                <w:szCs w:val="20"/>
                <w:color w:val="auto"/>
              </w:rPr>
            </w:pPr>
            <w:r>
              <w:rPr>
                <w:rFonts w:ascii="Arial" w:cs="Arial" w:eastAsia="Arial" w:hAnsi="Arial"/>
                <w:sz w:val="18"/>
                <w:szCs w:val="18"/>
                <w:color w:val="auto"/>
              </w:rPr>
              <w:t>(unaudited)</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(1.17)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(0.29)</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Pro Forma weighted-average number of Class A and Class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B shares outstanding used to compute net loss per share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w w:val="97"/>
              </w:rPr>
              <w:t>33,998,591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w w:val="95"/>
              </w:rPr>
              <w:t>35,683,789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32,837,855</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(31,085)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(30,875)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(30,994)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(10,471)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1260" w:type="dxa"/>
            <w:vAlign w:val="bottom"/>
          </w:tcPr>
          <w:p>
            <w:pPr>
              <w:spacing w:after="0"/>
              <w:rPr>
                <w:sz w:val="7"/>
                <w:szCs w:val="7"/>
                <w:color w:val="auto"/>
              </w:rPr>
            </w:pPr>
          </w:p>
        </w:tc>
        <w:tc>
          <w:tcPr>
            <w:tcW w:w="780" w:type="dxa"/>
            <w:vAlign w:val="bottom"/>
            <w:gridSpan w:val="5"/>
            <w:vMerge w:val="restart"/>
          </w:tcPr>
          <w:p>
            <w:pPr>
              <w:ind w:left="80"/>
              <w:spacing w:after="0"/>
              <w:rPr>
                <w:sz w:val="20"/>
                <w:szCs w:val="20"/>
                <w:color w:val="auto"/>
              </w:rPr>
            </w:pPr>
            <w:r>
              <w:rPr>
                <w:rFonts w:ascii="Arial" w:cs="Arial" w:eastAsia="Arial" w:hAnsi="Arial"/>
                <w:sz w:val="7"/>
                <w:szCs w:val="7"/>
                <w:b w:val="1"/>
                <w:bCs w:val="1"/>
                <w:color w:val="auto"/>
              </w:rPr>
              <w:t>Preferred Stock</w:t>
            </w:r>
          </w:p>
        </w:tc>
        <w:tc>
          <w:tcPr>
            <w:tcW w:w="800" w:type="dxa"/>
            <w:vAlign w:val="bottom"/>
            <w:gridSpan w:val="5"/>
            <w:vMerge w:val="restart"/>
          </w:tcPr>
          <w:p>
            <w:pPr>
              <w:ind w:left="8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gridSpan w:val="5"/>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5"/>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4"/>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4"/>
            <w:vMerge w:val="restart"/>
          </w:tcPr>
          <w:p>
            <w:pPr>
              <w:jc w:val="center"/>
              <w:ind w:right="12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9"/>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80" w:type="dxa"/>
            <w:vAlign w:val="bottom"/>
            <w:gridSpan w:val="5"/>
            <w:vMerge w:val="continue"/>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20" w:type="dxa"/>
            <w:vAlign w:val="bottom"/>
            <w:tcBorders>
              <w:right w:val="single" w:sz="8" w:color="auto"/>
            </w:tcBorders>
            <w:gridSpan w:val="4"/>
            <w:vMerge w:val="continu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Additional</w:t>
            </w:r>
          </w:p>
        </w:tc>
        <w:tc>
          <w:tcPr>
            <w:tcW w:w="60" w:type="dxa"/>
            <w:vAlign w:val="bottom"/>
          </w:tcPr>
          <w:p>
            <w:pPr>
              <w:spacing w:after="0"/>
              <w:rPr>
                <w:sz w:val="2"/>
                <w:szCs w:val="2"/>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7"/>
                <w:szCs w:val="7"/>
                <w:b w:val="1"/>
                <w:bCs w:val="1"/>
                <w:color w:val="auto"/>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1260" w:type="dxa"/>
            <w:vAlign w:val="bottom"/>
          </w:tcPr>
          <w:p>
            <w:pPr>
              <w:spacing w:after="0"/>
              <w:rPr>
                <w:sz w:val="4"/>
                <w:szCs w:val="4"/>
                <w:color w:val="auto"/>
              </w:rPr>
            </w:pPr>
          </w:p>
        </w:tc>
        <w:tc>
          <w:tcPr>
            <w:tcW w:w="500" w:type="dxa"/>
            <w:vAlign w:val="bottom"/>
            <w:gridSpan w:val="3"/>
            <w:vMerge w:val="restart"/>
          </w:tcPr>
          <w:p>
            <w:pPr>
              <w:ind w:left="220"/>
              <w:spacing w:after="0"/>
              <w:rPr>
                <w:sz w:val="20"/>
                <w:szCs w:val="20"/>
                <w:color w:val="auto"/>
              </w:rPr>
            </w:pPr>
            <w:r>
              <w:rPr>
                <w:rFonts w:ascii="Arial" w:cs="Arial" w:eastAsia="Arial" w:hAnsi="Arial"/>
                <w:sz w:val="7"/>
                <w:szCs w:val="7"/>
                <w:b w:val="1"/>
                <w:bCs w:val="1"/>
                <w:color w:val="auto"/>
              </w:rPr>
              <w:t>Seed-1</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3"/>
            <w:vMerge w:val="restart"/>
          </w:tcPr>
          <w:p>
            <w:pPr>
              <w:ind w:left="240"/>
              <w:spacing w:after="0"/>
              <w:rPr>
                <w:sz w:val="20"/>
                <w:szCs w:val="20"/>
                <w:color w:val="auto"/>
              </w:rPr>
            </w:pPr>
            <w:r>
              <w:rPr>
                <w:rFonts w:ascii="Arial" w:cs="Arial" w:eastAsia="Arial" w:hAnsi="Arial"/>
                <w:sz w:val="7"/>
                <w:szCs w:val="7"/>
                <w:b w:val="1"/>
                <w:bCs w:val="1"/>
                <w:color w:val="auto"/>
              </w:rPr>
              <w:t>Seed-2</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3"/>
            <w:vMerge w:val="restart"/>
          </w:tcPr>
          <w:p>
            <w:pPr>
              <w:ind w:left="180"/>
              <w:spacing w:after="0"/>
              <w:rPr>
                <w:sz w:val="20"/>
                <w:szCs w:val="20"/>
                <w:color w:val="auto"/>
              </w:rPr>
            </w:pPr>
            <w:r>
              <w:rPr>
                <w:rFonts w:ascii="Arial" w:cs="Arial" w:eastAsia="Arial" w:hAnsi="Arial"/>
                <w:sz w:val="7"/>
                <w:szCs w:val="7"/>
                <w:b w:val="1"/>
                <w:bCs w:val="1"/>
                <w:color w:val="auto"/>
                <w:w w:val="99"/>
              </w:rPr>
              <w:t>Series A-1</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5"/>
            <w:vMerge w:val="restart"/>
          </w:tcPr>
          <w:p>
            <w:pPr>
              <w:jc w:val="right"/>
              <w:ind w:right="300"/>
              <w:spacing w:after="0"/>
              <w:rPr>
                <w:sz w:val="20"/>
                <w:szCs w:val="20"/>
                <w:color w:val="auto"/>
              </w:rPr>
            </w:pPr>
            <w:r>
              <w:rPr>
                <w:rFonts w:ascii="Arial" w:cs="Arial" w:eastAsia="Arial" w:hAnsi="Arial"/>
                <w:sz w:val="7"/>
                <w:szCs w:val="7"/>
                <w:b w:val="1"/>
                <w:bCs w:val="1"/>
                <w:color w:val="auto"/>
              </w:rPr>
              <w:t>Series A-2</w:t>
            </w:r>
          </w:p>
        </w:tc>
        <w:tc>
          <w:tcPr>
            <w:tcW w:w="860" w:type="dxa"/>
            <w:vAlign w:val="bottom"/>
            <w:gridSpan w:val="4"/>
            <w:vMerge w:val="restart"/>
          </w:tcPr>
          <w:p>
            <w:pPr>
              <w:jc w:val="right"/>
              <w:ind w:right="340"/>
              <w:spacing w:after="0"/>
              <w:rPr>
                <w:sz w:val="20"/>
                <w:szCs w:val="20"/>
                <w:color w:val="auto"/>
              </w:rPr>
            </w:pPr>
            <w:r>
              <w:rPr>
                <w:rFonts w:ascii="Arial" w:cs="Arial" w:eastAsia="Arial" w:hAnsi="Arial"/>
                <w:sz w:val="7"/>
                <w:szCs w:val="7"/>
                <w:b w:val="1"/>
                <w:bCs w:val="1"/>
                <w:color w:val="auto"/>
              </w:rPr>
              <w:t>Series B</w:t>
            </w:r>
          </w:p>
        </w:tc>
        <w:tc>
          <w:tcPr>
            <w:tcW w:w="840" w:type="dxa"/>
            <w:vAlign w:val="bottom"/>
            <w:gridSpan w:val="4"/>
            <w:vMerge w:val="restart"/>
          </w:tcPr>
          <w:p>
            <w:pPr>
              <w:jc w:val="right"/>
              <w:ind w:right="340"/>
              <w:spacing w:after="0"/>
              <w:rPr>
                <w:sz w:val="20"/>
                <w:szCs w:val="20"/>
                <w:color w:val="auto"/>
              </w:rPr>
            </w:pPr>
            <w:r>
              <w:rPr>
                <w:rFonts w:ascii="Arial" w:cs="Arial" w:eastAsia="Arial" w:hAnsi="Arial"/>
                <w:sz w:val="7"/>
                <w:szCs w:val="7"/>
                <w:b w:val="1"/>
                <w:bCs w:val="1"/>
                <w:color w:val="auto"/>
              </w:rPr>
              <w:t>Series C</w:t>
            </w:r>
          </w:p>
        </w:tc>
        <w:tc>
          <w:tcPr>
            <w:tcW w:w="500" w:type="dxa"/>
            <w:vAlign w:val="bottom"/>
            <w:gridSpan w:val="2"/>
            <w:vMerge w:val="restart"/>
          </w:tcPr>
          <w:p>
            <w:pPr>
              <w:jc w:val="center"/>
              <w:ind w:left="184"/>
              <w:spacing w:after="0"/>
              <w:rPr>
                <w:sz w:val="20"/>
                <w:szCs w:val="20"/>
                <w:color w:val="auto"/>
              </w:rPr>
            </w:pPr>
            <w:r>
              <w:rPr>
                <w:rFonts w:ascii="Arial" w:cs="Arial" w:eastAsia="Arial" w:hAnsi="Arial"/>
                <w:sz w:val="7"/>
                <w:szCs w:val="7"/>
                <w:b w:val="1"/>
                <w:bCs w:val="1"/>
                <w:color w:val="auto"/>
                <w:w w:val="99"/>
              </w:rPr>
              <w:t>Series D</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7"/>
                <w:szCs w:val="7"/>
                <w:b w:val="1"/>
                <w:bCs w:val="1"/>
                <w:color w:val="auto"/>
                <w:w w:val="86"/>
              </w:rPr>
              <w:t>Series E</w:t>
            </w:r>
          </w:p>
        </w:tc>
        <w:tc>
          <w:tcPr>
            <w:tcW w:w="2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720" w:type="dxa"/>
            <w:vAlign w:val="bottom"/>
            <w:gridSpan w:val="4"/>
            <w:vMerge w:val="restart"/>
          </w:tcPr>
          <w:p>
            <w:pPr>
              <w:ind w:left="100"/>
              <w:spacing w:after="0"/>
              <w:rPr>
                <w:sz w:val="20"/>
                <w:szCs w:val="20"/>
                <w:color w:val="auto"/>
              </w:rPr>
            </w:pPr>
            <w:r>
              <w:rPr>
                <w:rFonts w:ascii="Arial" w:cs="Arial" w:eastAsia="Arial" w:hAnsi="Arial"/>
                <w:sz w:val="7"/>
                <w:szCs w:val="7"/>
                <w:b w:val="1"/>
                <w:bCs w:val="1"/>
                <w:color w:val="auto"/>
              </w:rPr>
              <w:t>Common Stock</w:t>
            </w:r>
          </w:p>
        </w:tc>
        <w:tc>
          <w:tcPr>
            <w:tcW w:w="1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7"/>
                <w:szCs w:val="7"/>
                <w:b w:val="1"/>
                <w:bCs w:val="1"/>
                <w:color w:val="auto"/>
                <w:w w:val="94"/>
              </w:rPr>
              <w:t>Paid-in</w:t>
            </w:r>
          </w:p>
        </w:tc>
        <w:tc>
          <w:tcPr>
            <w:tcW w:w="640" w:type="dxa"/>
            <w:vAlign w:val="bottom"/>
            <w:gridSpan w:val="3"/>
            <w:vMerge w:val="restart"/>
          </w:tcPr>
          <w:p>
            <w:pPr>
              <w:jc w:val="center"/>
              <w:ind w:right="100"/>
              <w:spacing w:after="0"/>
              <w:rPr>
                <w:sz w:val="20"/>
                <w:szCs w:val="20"/>
                <w:color w:val="auto"/>
              </w:rPr>
            </w:pPr>
            <w:r>
              <w:rPr>
                <w:rFonts w:ascii="Arial" w:cs="Arial" w:eastAsia="Arial" w:hAnsi="Arial"/>
                <w:sz w:val="7"/>
                <w:szCs w:val="7"/>
                <w:b w:val="1"/>
                <w:bCs w:val="1"/>
                <w:color w:val="auto"/>
              </w:rPr>
              <w:t>Comprehensive</w:t>
            </w:r>
          </w:p>
        </w:tc>
        <w:tc>
          <w:tcPr>
            <w:tcW w:w="460" w:type="dxa"/>
            <w:vAlign w:val="bottom"/>
            <w:gridSpan w:val="2"/>
            <w:vMerge w:val="restart"/>
          </w:tcPr>
          <w:p>
            <w:pPr>
              <w:spacing w:after="0"/>
              <w:rPr>
                <w:sz w:val="20"/>
                <w:szCs w:val="20"/>
                <w:color w:val="auto"/>
              </w:rPr>
            </w:pPr>
            <w:r>
              <w:rPr>
                <w:rFonts w:ascii="Arial" w:cs="Arial" w:eastAsia="Arial" w:hAnsi="Arial"/>
                <w:sz w:val="7"/>
                <w:szCs w:val="7"/>
                <w:b w:val="1"/>
                <w:bCs w:val="1"/>
                <w:color w:val="auto"/>
                <w:w w:val="95"/>
              </w:rPr>
              <w:t>Accumulated</w:t>
            </w:r>
          </w:p>
        </w:tc>
        <w:tc>
          <w:tcPr>
            <w:tcW w:w="100" w:type="dxa"/>
            <w:vAlign w:val="bottom"/>
          </w:tcPr>
          <w:p>
            <w:pPr>
              <w:spacing w:after="0"/>
              <w:rPr>
                <w:sz w:val="2"/>
                <w:szCs w:val="2"/>
                <w:color w:val="auto"/>
              </w:rPr>
            </w:pP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1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1260" w:type="dxa"/>
            <w:vAlign w:val="bottom"/>
          </w:tcPr>
          <w:p>
            <w:pPr>
              <w:spacing w:after="0"/>
              <w:rPr>
                <w:sz w:val="7"/>
                <w:szCs w:val="7"/>
                <w:color w:val="auto"/>
              </w:rPr>
            </w:pPr>
          </w:p>
        </w:tc>
        <w:tc>
          <w:tcPr>
            <w:tcW w:w="340" w:type="dxa"/>
            <w:vAlign w:val="bottom"/>
          </w:tcPr>
          <w:p>
            <w:pPr>
              <w:ind w:left="4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280" w:type="dxa"/>
            <w:vAlign w:val="bottom"/>
            <w:gridSpan w:val="2"/>
          </w:tcPr>
          <w:p>
            <w:pPr>
              <w:spacing w:after="0"/>
              <w:rPr>
                <w:sz w:val="20"/>
                <w:szCs w:val="20"/>
                <w:color w:val="auto"/>
              </w:rPr>
            </w:pPr>
            <w:r>
              <w:rPr>
                <w:rFonts w:ascii="Arial" w:cs="Arial" w:eastAsia="Arial" w:hAnsi="Arial"/>
                <w:sz w:val="7"/>
                <w:szCs w:val="7"/>
                <w:b w:val="1"/>
                <w:bCs w:val="1"/>
                <w:color w:val="auto"/>
                <w:w w:val="98"/>
              </w:rPr>
              <w:t>Amount</w:t>
            </w:r>
          </w:p>
        </w:tc>
        <w:tc>
          <w:tcPr>
            <w:tcW w:w="80" w:type="dxa"/>
            <w:vAlign w:val="bottom"/>
          </w:tcPr>
          <w:p>
            <w:pPr>
              <w:spacing w:after="0"/>
              <w:rPr>
                <w:sz w:val="7"/>
                <w:szCs w:val="7"/>
                <w:color w:val="auto"/>
              </w:rPr>
            </w:pPr>
          </w:p>
        </w:tc>
        <w:tc>
          <w:tcPr>
            <w:tcW w:w="34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gridSpan w:val="3"/>
          </w:tcPr>
          <w:p>
            <w:pPr>
              <w:ind w:left="20"/>
              <w:spacing w:after="0"/>
              <w:rPr>
                <w:sz w:val="20"/>
                <w:szCs w:val="20"/>
                <w:color w:val="auto"/>
              </w:rPr>
            </w:pPr>
            <w:r>
              <w:rPr>
                <w:rFonts w:ascii="Arial" w:cs="Arial" w:eastAsia="Arial" w:hAnsi="Arial"/>
                <w:sz w:val="7"/>
                <w:szCs w:val="7"/>
                <w:b w:val="1"/>
                <w:bCs w:val="1"/>
                <w:color w:val="auto"/>
              </w:rPr>
              <w:t>Amount</w:t>
            </w:r>
          </w:p>
        </w:tc>
        <w:tc>
          <w:tcPr>
            <w:tcW w:w="36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gridSpan w:val="3"/>
          </w:tcPr>
          <w:p>
            <w:pPr>
              <w:ind w:left="20"/>
              <w:spacing w:after="0"/>
              <w:rPr>
                <w:sz w:val="20"/>
                <w:szCs w:val="20"/>
                <w:color w:val="auto"/>
              </w:rPr>
            </w:pPr>
            <w:r>
              <w:rPr>
                <w:rFonts w:ascii="Arial" w:cs="Arial" w:eastAsia="Arial" w:hAnsi="Arial"/>
                <w:sz w:val="7"/>
                <w:szCs w:val="7"/>
                <w:b w:val="1"/>
                <w:bCs w:val="1"/>
                <w:color w:val="auto"/>
              </w:rPr>
              <w:t>Amount</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Shares</w:t>
            </w:r>
          </w:p>
        </w:tc>
        <w:tc>
          <w:tcPr>
            <w:tcW w:w="38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8"/>
              </w:rPr>
              <w:t>Amount</w:t>
            </w:r>
          </w:p>
        </w:tc>
        <w:tc>
          <w:tcPr>
            <w:tcW w:w="340" w:type="dxa"/>
            <w:vAlign w:val="bottom"/>
          </w:tcPr>
          <w:p>
            <w:pPr>
              <w:jc w:val="right"/>
              <w:ind w:right="24"/>
              <w:spacing w:after="0"/>
              <w:rPr>
                <w:sz w:val="20"/>
                <w:szCs w:val="20"/>
                <w:color w:val="auto"/>
              </w:rPr>
            </w:pPr>
            <w:r>
              <w:rPr>
                <w:rFonts w:ascii="Arial" w:cs="Arial" w:eastAsia="Arial" w:hAnsi="Arial"/>
                <w:sz w:val="7"/>
                <w:szCs w:val="7"/>
                <w:b w:val="1"/>
                <w:bCs w:val="1"/>
                <w:color w:val="auto"/>
              </w:rPr>
              <w:t>Shares</w:t>
            </w:r>
          </w:p>
        </w:tc>
        <w:tc>
          <w:tcPr>
            <w:tcW w:w="100" w:type="dxa"/>
            <w:vAlign w:val="bottom"/>
          </w:tcPr>
          <w:p>
            <w:pPr>
              <w:spacing w:after="0"/>
              <w:rPr>
                <w:sz w:val="7"/>
                <w:szCs w:val="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8"/>
              </w:rPr>
              <w:t>Amount</w:t>
            </w:r>
          </w:p>
        </w:tc>
        <w:tc>
          <w:tcPr>
            <w:tcW w:w="340" w:type="dxa"/>
            <w:vAlign w:val="bottom"/>
          </w:tcPr>
          <w:p>
            <w:pPr>
              <w:jc w:val="right"/>
              <w:ind w:right="24"/>
              <w:spacing w:after="0"/>
              <w:rPr>
                <w:sz w:val="20"/>
                <w:szCs w:val="20"/>
                <w:color w:val="auto"/>
              </w:rPr>
            </w:pPr>
            <w:r>
              <w:rPr>
                <w:rFonts w:ascii="Arial" w:cs="Arial" w:eastAsia="Arial" w:hAnsi="Arial"/>
                <w:sz w:val="7"/>
                <w:szCs w:val="7"/>
                <w:b w:val="1"/>
                <w:bCs w:val="1"/>
                <w:color w:val="auto"/>
              </w:rPr>
              <w:t>Shares</w:t>
            </w:r>
          </w:p>
        </w:tc>
        <w:tc>
          <w:tcPr>
            <w:tcW w:w="1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34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160" w:type="dxa"/>
            <w:vAlign w:val="bottom"/>
          </w:tcPr>
          <w:p>
            <w:pPr>
              <w:spacing w:after="0"/>
              <w:rPr>
                <w:sz w:val="7"/>
                <w:szCs w:val="7"/>
                <w:color w:val="auto"/>
              </w:rPr>
            </w:pP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7"/>
                <w:szCs w:val="7"/>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7"/>
                <w:szCs w:val="7"/>
                <w:b w:val="1"/>
                <w:bCs w:val="1"/>
                <w:color w:val="auto"/>
              </w:rPr>
              <w:t>Shares</w:t>
            </w:r>
          </w:p>
        </w:tc>
        <w:tc>
          <w:tcPr>
            <w:tcW w:w="280" w:type="dxa"/>
            <w:vAlign w:val="bottom"/>
            <w:gridSpan w:val="2"/>
          </w:tcPr>
          <w:p>
            <w:pPr>
              <w:ind w:left="20"/>
              <w:spacing w:after="0"/>
              <w:rPr>
                <w:sz w:val="20"/>
                <w:szCs w:val="20"/>
                <w:color w:val="auto"/>
              </w:rPr>
            </w:pPr>
            <w:r>
              <w:rPr>
                <w:rFonts w:ascii="Arial" w:cs="Arial" w:eastAsia="Arial" w:hAnsi="Arial"/>
                <w:sz w:val="7"/>
                <w:szCs w:val="7"/>
                <w:b w:val="1"/>
                <w:bCs w:val="1"/>
                <w:color w:val="auto"/>
                <w:w w:val="90"/>
              </w:rPr>
              <w:t>Amount</w:t>
            </w:r>
          </w:p>
        </w:tc>
        <w:tc>
          <w:tcPr>
            <w:tcW w:w="160" w:type="dxa"/>
            <w:vAlign w:val="bottom"/>
          </w:tcPr>
          <w:p>
            <w:pPr>
              <w:spacing w:after="0"/>
              <w:rPr>
                <w:sz w:val="7"/>
                <w:szCs w:val="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w w:val="94"/>
              </w:rPr>
              <w:t>Capital</w:t>
            </w:r>
          </w:p>
        </w:tc>
        <w:tc>
          <w:tcPr>
            <w:tcW w:w="60" w:type="dxa"/>
            <w:vAlign w:val="bottom"/>
          </w:tcPr>
          <w:p>
            <w:pPr>
              <w:spacing w:after="0"/>
              <w:rPr>
                <w:sz w:val="7"/>
                <w:szCs w:val="7"/>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7"/>
              </w:rPr>
              <w:t>Income</w:t>
            </w:r>
          </w:p>
        </w:tc>
        <w:tc>
          <w:tcPr>
            <w:tcW w:w="80" w:type="dxa"/>
            <w:vAlign w:val="bottom"/>
          </w:tcPr>
          <w:p>
            <w:pPr>
              <w:spacing w:after="0"/>
              <w:rPr>
                <w:sz w:val="7"/>
                <w:szCs w:val="7"/>
                <w:color w:val="auto"/>
              </w:rPr>
            </w:pPr>
          </w:p>
        </w:tc>
        <w:tc>
          <w:tcPr>
            <w:tcW w:w="380" w:type="dxa"/>
            <w:vAlign w:val="bottom"/>
          </w:tcPr>
          <w:p>
            <w:pPr>
              <w:ind w:left="40"/>
              <w:spacing w:after="0"/>
              <w:rPr>
                <w:sz w:val="20"/>
                <w:szCs w:val="20"/>
                <w:color w:val="auto"/>
              </w:rPr>
            </w:pPr>
            <w:r>
              <w:rPr>
                <w:rFonts w:ascii="Arial" w:cs="Arial" w:eastAsia="Arial" w:hAnsi="Arial"/>
                <w:sz w:val="7"/>
                <w:szCs w:val="7"/>
                <w:b w:val="1"/>
                <w:bCs w:val="1"/>
                <w:color w:val="auto"/>
              </w:rPr>
              <w:t>Deficit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20"/>
        </w:trPr>
        <w:tc>
          <w:tcPr>
            <w:tcW w:w="1260" w:type="dxa"/>
            <w:vAlign w:val="bottom"/>
            <w:vMerge w:val="restart"/>
            <w:shd w:val="clear" w:color="auto" w:fill="CCEEFF"/>
          </w:tcPr>
          <w:p>
            <w:pPr>
              <w:spacing w:after="0"/>
              <w:rPr>
                <w:sz w:val="20"/>
                <w:szCs w:val="20"/>
                <w:color w:val="auto"/>
              </w:rPr>
            </w:pPr>
            <w:r>
              <w:rPr>
                <w:rFonts w:ascii="Arial" w:cs="Arial" w:eastAsia="Arial" w:hAnsi="Arial"/>
                <w:sz w:val="7"/>
                <w:szCs w:val="7"/>
                <w:color w:val="auto"/>
              </w:rPr>
              <w:t>Balance, December 31, 2018</w:t>
            </w: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26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ind w:left="20"/>
              <w:spacing w:after="0" w:line="74" w:lineRule="exact"/>
              <w:rPr>
                <w:sz w:val="20"/>
                <w:szCs w:val="20"/>
                <w:color w:val="auto"/>
              </w:rPr>
            </w:pPr>
            <w:r>
              <w:rPr>
                <w:rFonts w:ascii="Arial" w:cs="Arial" w:eastAsia="Arial" w:hAnsi="Arial"/>
                <w:sz w:val="7"/>
                <w:szCs w:val="7"/>
                <w:color w:val="auto"/>
                <w:w w:val="96"/>
              </w:rPr>
              <w:t>4,200,000</w:t>
            </w:r>
          </w:p>
        </w:tc>
        <w:tc>
          <w:tcPr>
            <w:tcW w:w="16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60"/>
              <w:spacing w:after="0" w:line="74" w:lineRule="exact"/>
              <w:rPr>
                <w:sz w:val="20"/>
                <w:szCs w:val="20"/>
                <w:color w:val="auto"/>
              </w:rPr>
            </w:pPr>
            <w:r>
              <w:rPr>
                <w:rFonts w:ascii="Arial" w:cs="Arial" w:eastAsia="Arial" w:hAnsi="Arial"/>
                <w:sz w:val="7"/>
                <w:szCs w:val="7"/>
                <w:color w:val="auto"/>
              </w:rPr>
              <w:t>4,200</w:t>
            </w:r>
          </w:p>
        </w:tc>
        <w:tc>
          <w:tcPr>
            <w:tcW w:w="340" w:type="dxa"/>
            <w:vAlign w:val="bottom"/>
            <w:shd w:val="clear" w:color="auto" w:fill="CCEEFF"/>
          </w:tcPr>
          <w:p>
            <w:pPr>
              <w:ind w:left="40"/>
              <w:spacing w:after="0" w:line="74" w:lineRule="exact"/>
              <w:rPr>
                <w:sz w:val="20"/>
                <w:szCs w:val="20"/>
                <w:color w:val="auto"/>
              </w:rPr>
            </w:pPr>
            <w:r>
              <w:rPr>
                <w:rFonts w:ascii="Arial" w:cs="Arial" w:eastAsia="Arial" w:hAnsi="Arial"/>
                <w:sz w:val="7"/>
                <w:szCs w:val="7"/>
                <w:color w:val="auto"/>
                <w:w w:val="89"/>
              </w:rPr>
              <w:t>2,188,322</w:t>
            </w:r>
          </w:p>
        </w:tc>
        <w:tc>
          <w:tcPr>
            <w:tcW w:w="16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300" w:type="dxa"/>
            <w:vAlign w:val="bottom"/>
            <w:gridSpan w:val="2"/>
            <w:shd w:val="clear" w:color="auto" w:fill="CCEEFF"/>
          </w:tcPr>
          <w:p>
            <w:pPr>
              <w:jc w:val="center"/>
              <w:ind w:right="60"/>
              <w:spacing w:after="0" w:line="74" w:lineRule="exact"/>
              <w:rPr>
                <w:sz w:val="20"/>
                <w:szCs w:val="20"/>
                <w:color w:val="auto"/>
              </w:rPr>
            </w:pPr>
            <w:r>
              <w:rPr>
                <w:rFonts w:ascii="Arial" w:cs="Arial" w:eastAsia="Arial" w:hAnsi="Arial"/>
                <w:sz w:val="7"/>
                <w:szCs w:val="7"/>
                <w:color w:val="auto"/>
                <w:w w:val="91"/>
              </w:rPr>
              <w:t>2,998</w:t>
            </w:r>
          </w:p>
        </w:tc>
        <w:tc>
          <w:tcPr>
            <w:tcW w:w="360" w:type="dxa"/>
            <w:vAlign w:val="bottom"/>
            <w:shd w:val="clear" w:color="auto" w:fill="CCEEFF"/>
          </w:tcPr>
          <w:p>
            <w:pPr>
              <w:ind w:left="40"/>
              <w:spacing w:after="0" w:line="74" w:lineRule="exact"/>
              <w:rPr>
                <w:sz w:val="20"/>
                <w:szCs w:val="20"/>
                <w:color w:val="auto"/>
              </w:rPr>
            </w:pPr>
            <w:r>
              <w:rPr>
                <w:rFonts w:ascii="Arial" w:cs="Arial" w:eastAsia="Arial" w:hAnsi="Arial"/>
                <w:sz w:val="7"/>
                <w:szCs w:val="7"/>
                <w:color w:val="auto"/>
                <w:w w:val="96"/>
              </w:rPr>
              <w:t>4,211,094</w:t>
            </w:r>
          </w:p>
        </w:tc>
        <w:tc>
          <w:tcPr>
            <w:tcW w:w="18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100"/>
              <w:spacing w:after="0" w:line="74" w:lineRule="exact"/>
              <w:rPr>
                <w:sz w:val="20"/>
                <w:szCs w:val="20"/>
                <w:color w:val="auto"/>
              </w:rPr>
            </w:pPr>
            <w:r>
              <w:rPr>
                <w:rFonts w:ascii="Arial" w:cs="Arial" w:eastAsia="Arial" w:hAnsi="Arial"/>
                <w:sz w:val="7"/>
                <w:szCs w:val="7"/>
                <w:color w:val="auto"/>
              </w:rPr>
              <w:t>8,704</w:t>
            </w:r>
          </w:p>
        </w:tc>
        <w:tc>
          <w:tcPr>
            <w:tcW w:w="48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1,591,230</w:t>
            </w:r>
          </w:p>
        </w:tc>
        <w:tc>
          <w:tcPr>
            <w:tcW w:w="6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32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6,957</w:t>
            </w:r>
          </w:p>
        </w:tc>
        <w:tc>
          <w:tcPr>
            <w:tcW w:w="46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4,044,271</w:t>
            </w:r>
          </w:p>
        </w:tc>
        <w:tc>
          <w:tcPr>
            <w:tcW w:w="400" w:type="dxa"/>
            <w:vAlign w:val="bottom"/>
            <w:gridSpan w:val="2"/>
            <w:shd w:val="clear" w:color="auto" w:fill="CCEEFF"/>
          </w:tcPr>
          <w:p>
            <w:pPr>
              <w:jc w:val="right"/>
              <w:ind w:right="120"/>
              <w:spacing w:after="0" w:line="74" w:lineRule="exact"/>
              <w:rPr>
                <w:sz w:val="20"/>
                <w:szCs w:val="20"/>
                <w:color w:val="auto"/>
              </w:rPr>
            </w:pPr>
            <w:r>
              <w:rPr>
                <w:rFonts w:ascii="Arial" w:cs="Arial" w:eastAsia="Arial" w:hAnsi="Arial"/>
                <w:sz w:val="7"/>
                <w:szCs w:val="7"/>
                <w:color w:val="auto"/>
                <w:w w:val="95"/>
              </w:rPr>
              <w:t>$ 18,612</w:t>
            </w:r>
          </w:p>
        </w:tc>
        <w:tc>
          <w:tcPr>
            <w:tcW w:w="3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3,754,201</w:t>
            </w:r>
          </w:p>
        </w:tc>
        <w:tc>
          <w:tcPr>
            <w:tcW w:w="500" w:type="dxa"/>
            <w:vAlign w:val="bottom"/>
            <w:tcBorders>
              <w:left w:val="single" w:sz="8" w:color="CCEEFF"/>
            </w:tcBorders>
            <w:gridSpan w:val="3"/>
            <w:shd w:val="clear" w:color="auto" w:fill="CCEEFF"/>
          </w:tcPr>
          <w:p>
            <w:pPr>
              <w:jc w:val="right"/>
              <w:ind w:right="120"/>
              <w:spacing w:after="0" w:line="74" w:lineRule="exact"/>
              <w:rPr>
                <w:sz w:val="20"/>
                <w:szCs w:val="20"/>
                <w:color w:val="auto"/>
              </w:rPr>
            </w:pPr>
            <w:r>
              <w:rPr>
                <w:rFonts w:ascii="Arial" w:cs="Arial" w:eastAsia="Arial" w:hAnsi="Arial"/>
                <w:sz w:val="7"/>
                <w:szCs w:val="7"/>
                <w:color w:val="auto"/>
              </w:rPr>
              <w:t>$ 24,756</w:t>
            </w:r>
          </w:p>
        </w:tc>
        <w:tc>
          <w:tcPr>
            <w:tcW w:w="340" w:type="dxa"/>
            <w:vAlign w:val="bottom"/>
            <w:shd w:val="clear" w:color="auto" w:fill="CCEEFF"/>
          </w:tcPr>
          <w:p>
            <w:pPr>
              <w:jc w:val="right"/>
              <w:ind w:right="4"/>
              <w:spacing w:after="0" w:line="74" w:lineRule="exact"/>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160"/>
              <w:spacing w:after="0" w:line="74" w:lineRule="exact"/>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line="74" w:lineRule="exact"/>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320" w:type="dxa"/>
            <w:vAlign w:val="bottom"/>
            <w:tcBorders>
              <w:right w:val="single" w:sz="8" w:color="auto"/>
            </w:tcBorders>
            <w:gridSpan w:val="2"/>
            <w:shd w:val="clear" w:color="auto" w:fill="CCEEFF"/>
          </w:tcPr>
          <w:p>
            <w:pPr>
              <w:ind w:left="100"/>
              <w:spacing w:after="0" w:line="74" w:lineRule="exact"/>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jc w:val="right"/>
              <w:ind w:right="80"/>
              <w:spacing w:after="0" w:line="74" w:lineRule="exact"/>
              <w:rPr>
                <w:sz w:val="20"/>
                <w:szCs w:val="20"/>
                <w:color w:val="auto"/>
              </w:rPr>
            </w:pPr>
            <w:r>
              <w:rPr>
                <w:rFonts w:ascii="Arial" w:cs="Arial" w:eastAsia="Arial" w:hAnsi="Arial"/>
                <w:sz w:val="7"/>
                <w:szCs w:val="7"/>
                <w:color w:val="auto"/>
              </w:rPr>
              <w:t>6,083,135</w:t>
            </w:r>
          </w:p>
        </w:tc>
        <w:tc>
          <w:tcPr>
            <w:tcW w:w="12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160" w:type="dxa"/>
            <w:vAlign w:val="bottom"/>
            <w:shd w:val="clear" w:color="auto" w:fill="CCEEFF"/>
          </w:tcPr>
          <w:p>
            <w:pPr>
              <w:ind w:left="60"/>
              <w:spacing w:after="0" w:line="74" w:lineRule="exact"/>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775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ind w:left="380"/>
              <w:spacing w:after="0" w:line="74"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38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(46,615)</w:t>
            </w:r>
          </w:p>
        </w:tc>
        <w:tc>
          <w:tcPr>
            <w:tcW w:w="180" w:type="dxa"/>
            <w:vAlign w:val="bottom"/>
            <w:tcBorders>
              <w:left w:val="single" w:sz="8" w:color="CCEEFF"/>
            </w:tcBorders>
            <w:gridSpan w:val="2"/>
            <w:shd w:val="clear" w:color="auto" w:fill="CCEEFF"/>
          </w:tcPr>
          <w:p>
            <w:pPr>
              <w:ind w:left="100"/>
              <w:spacing w:after="0" w:line="74" w:lineRule="exact"/>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60"/>
              <w:spacing w:after="0" w:line="74" w:lineRule="exact"/>
              <w:rPr>
                <w:sz w:val="20"/>
                <w:szCs w:val="20"/>
                <w:color w:val="auto"/>
              </w:rPr>
            </w:pPr>
            <w:r>
              <w:rPr>
                <w:rFonts w:ascii="Arial" w:cs="Arial" w:eastAsia="Arial" w:hAnsi="Arial"/>
                <w:sz w:val="7"/>
                <w:szCs w:val="7"/>
                <w:color w:val="auto"/>
              </w:rPr>
              <w:t>(45,840)</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Issuance of Common Stock</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ind w:left="2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Issuance of preferred stock – Series D</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w w:val="93"/>
              </w:rPr>
              <w:t>54,929</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Exercise of common stock options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455,665</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450</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ind w:left="2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450</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544</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544</w:t>
            </w:r>
          </w:p>
        </w:tc>
        <w:tc>
          <w:tcPr>
            <w:tcW w:w="0" w:type="dxa"/>
            <w:vAlign w:val="bottom"/>
          </w:tcPr>
          <w:p>
            <w:pPr>
              <w:spacing w:after="0"/>
              <w:rPr>
                <w:sz w:val="1"/>
                <w:szCs w:val="1"/>
                <w:color w:val="auto"/>
              </w:rPr>
            </w:pPr>
          </w:p>
        </w:tc>
      </w:tr>
      <w:tr>
        <w:trPr>
          <w:trHeight w:val="83"/>
        </w:trPr>
        <w:tc>
          <w:tcPr>
            <w:tcW w:w="1260" w:type="dxa"/>
            <w:vAlign w:val="bottom"/>
          </w:tcPr>
          <w:p>
            <w:pPr>
              <w:spacing w:after="0"/>
              <w:rPr>
                <w:sz w:val="20"/>
                <w:szCs w:val="20"/>
                <w:color w:val="auto"/>
              </w:rPr>
            </w:pPr>
            <w:r>
              <w:rPr>
                <w:rFonts w:ascii="Arial" w:cs="Arial" w:eastAsia="Arial" w:hAnsi="Arial"/>
                <w:sz w:val="7"/>
                <w:szCs w:val="7"/>
                <w:color w:val="auto"/>
              </w:rPr>
              <w:t>Shares issued in connection with</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260" w:type="dxa"/>
            <w:vAlign w:val="bottom"/>
          </w:tcPr>
          <w:p>
            <w:pPr>
              <w:ind w:left="80"/>
              <w:spacing w:after="0" w:line="78" w:lineRule="exact"/>
              <w:rPr>
                <w:sz w:val="20"/>
                <w:szCs w:val="20"/>
                <w:color w:val="auto"/>
              </w:rPr>
            </w:pPr>
            <w:r>
              <w:rPr>
                <w:rFonts w:ascii="Arial" w:cs="Arial" w:eastAsia="Arial" w:hAnsi="Arial"/>
                <w:sz w:val="7"/>
                <w:szCs w:val="7"/>
                <w:color w:val="auto"/>
              </w:rPr>
              <w:t>business combination</w:t>
            </w:r>
          </w:p>
        </w:tc>
        <w:tc>
          <w:tcPr>
            <w:tcW w:w="340" w:type="dxa"/>
            <w:vAlign w:val="bottom"/>
          </w:tcPr>
          <w:p>
            <w:pPr>
              <w:ind w:left="22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gridSpan w:val="2"/>
          </w:tcPr>
          <w:p>
            <w:pPr>
              <w:jc w:val="center"/>
              <w:ind w:right="4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gridSpan w:val="2"/>
          </w:tcPr>
          <w:p>
            <w:pPr>
              <w:jc w:val="center"/>
              <w:ind w:right="40"/>
              <w:spacing w:after="0" w:line="78" w:lineRule="exact"/>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gridSpan w:val="2"/>
          </w:tcPr>
          <w:p>
            <w:pPr>
              <w:jc w:val="center"/>
              <w:ind w:right="60"/>
              <w:spacing w:after="0" w:line="78" w:lineRule="exact"/>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60" w:type="dxa"/>
            <w:vAlign w:val="bottom"/>
          </w:tcPr>
          <w:p>
            <w:pPr>
              <w:spacing w:after="0"/>
              <w:rPr>
                <w:sz w:val="6"/>
                <w:szCs w:val="6"/>
                <w:color w:val="auto"/>
              </w:rPr>
            </w:pPr>
          </w:p>
        </w:tc>
        <w:tc>
          <w:tcPr>
            <w:tcW w:w="32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line="7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6"/>
                <w:szCs w:val="6"/>
                <w:color w:val="auto"/>
              </w:rPr>
            </w:pPr>
          </w:p>
        </w:tc>
        <w:tc>
          <w:tcPr>
            <w:tcW w:w="40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34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320" w:type="dxa"/>
            <w:vAlign w:val="bottom"/>
            <w:tcBorders>
              <w:right w:val="single" w:sz="8" w:color="auto"/>
            </w:tcBorders>
            <w:gridSpan w:val="2"/>
          </w:tcPr>
          <w:p>
            <w:pPr>
              <w:ind w:left="100"/>
              <w:spacing w:after="0" w:line="78" w:lineRule="exact"/>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line="78" w:lineRule="exact"/>
              <w:rPr>
                <w:sz w:val="20"/>
                <w:szCs w:val="20"/>
                <w:color w:val="auto"/>
              </w:rPr>
            </w:pPr>
            <w:r>
              <w:rPr>
                <w:rFonts w:ascii="Arial" w:cs="Arial" w:eastAsia="Arial" w:hAnsi="Arial"/>
                <w:sz w:val="7"/>
                <w:szCs w:val="7"/>
                <w:color w:val="auto"/>
              </w:rPr>
              <w:t>750,770</w:t>
            </w:r>
          </w:p>
        </w:tc>
        <w:tc>
          <w:tcPr>
            <w:tcW w:w="120" w:type="dxa"/>
            <w:vAlign w:val="bottom"/>
          </w:tcPr>
          <w:p>
            <w:pPr>
              <w:spacing w:after="0"/>
              <w:rPr>
                <w:sz w:val="6"/>
                <w:szCs w:val="6"/>
                <w:color w:val="auto"/>
              </w:rPr>
            </w:pPr>
          </w:p>
        </w:tc>
        <w:tc>
          <w:tcPr>
            <w:tcW w:w="160" w:type="dxa"/>
            <w:vAlign w:val="bottom"/>
          </w:tcPr>
          <w:p>
            <w:pPr>
              <w:ind w:left="60"/>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400" w:type="dxa"/>
            <w:vAlign w:val="bottom"/>
            <w:gridSpan w:val="2"/>
          </w:tcPr>
          <w:p>
            <w:pPr>
              <w:jc w:val="right"/>
              <w:ind w:right="100"/>
              <w:spacing w:after="0" w:line="78" w:lineRule="exact"/>
              <w:rPr>
                <w:sz w:val="20"/>
                <w:szCs w:val="20"/>
                <w:color w:val="auto"/>
              </w:rPr>
            </w:pPr>
            <w:r>
              <w:rPr>
                <w:rFonts w:ascii="Arial" w:cs="Arial" w:eastAsia="Arial" w:hAnsi="Arial"/>
                <w:sz w:val="7"/>
                <w:szCs w:val="7"/>
                <w:color w:val="auto"/>
              </w:rPr>
              <w:t>2,743</w:t>
            </w:r>
          </w:p>
        </w:tc>
        <w:tc>
          <w:tcPr>
            <w:tcW w:w="60" w:type="dxa"/>
            <w:vAlign w:val="bottom"/>
          </w:tcPr>
          <w:p>
            <w:pPr>
              <w:spacing w:after="0"/>
              <w:rPr>
                <w:sz w:val="6"/>
                <w:szCs w:val="6"/>
                <w:color w:val="auto"/>
              </w:rPr>
            </w:pPr>
          </w:p>
        </w:tc>
        <w:tc>
          <w:tcPr>
            <w:tcW w:w="580" w:type="dxa"/>
            <w:vAlign w:val="bottom"/>
            <w:gridSpan w:val="2"/>
          </w:tcPr>
          <w:p>
            <w:pPr>
              <w:ind w:left="38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380" w:type="dxa"/>
            <w:vAlign w:val="bottom"/>
          </w:tcPr>
          <w:p>
            <w:pPr>
              <w:ind w:left="260"/>
              <w:spacing w:after="0" w:line="7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tcPr>
          <w:p>
            <w:pPr>
              <w:jc w:val="right"/>
              <w:ind w:right="80"/>
              <w:spacing w:after="0" w:line="78" w:lineRule="exact"/>
              <w:rPr>
                <w:sz w:val="20"/>
                <w:szCs w:val="20"/>
                <w:color w:val="auto"/>
              </w:rPr>
            </w:pPr>
            <w:r>
              <w:rPr>
                <w:rFonts w:ascii="Arial" w:cs="Arial" w:eastAsia="Arial" w:hAnsi="Arial"/>
                <w:sz w:val="7"/>
                <w:szCs w:val="7"/>
                <w:color w:val="auto"/>
              </w:rPr>
              <w:t>2,743</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Net loss</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jc w:val="center"/>
              <w:ind w:left="4"/>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jc w:val="center"/>
              <w:ind w:left="24"/>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jc w:val="center"/>
              <w:ind w:left="4"/>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2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7"/>
                <w:szCs w:val="7"/>
                <w:color w:val="auto"/>
              </w:rPr>
              <w:t>—</w:t>
            </w:r>
          </w:p>
        </w:tc>
        <w:tc>
          <w:tcPr>
            <w:tcW w:w="100" w:type="dxa"/>
            <w:vAlign w:val="bottom"/>
            <w:tcBorders>
              <w:right w:val="single" w:sz="8" w:color="auto"/>
            </w:tcBorders>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7"/>
                <w:szCs w:val="7"/>
                <w:color w:val="auto"/>
              </w:rPr>
              <w:t>(30,994)</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(30,994)</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7"/>
                <w:szCs w:val="7"/>
                <w:color w:val="auto"/>
              </w:rPr>
              <w:t>Balance, December 31, 2019</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260" w:type="dxa"/>
            <w:vAlign w:val="bottom"/>
            <w:vMerge w:val="continue"/>
          </w:tcPr>
          <w:p>
            <w:pPr>
              <w:spacing w:after="0"/>
              <w:rPr>
                <w:sz w:val="8"/>
                <w:szCs w:val="8"/>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w w:val="96"/>
              </w:rPr>
              <w:t>4,200,000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rPr>
              <w:t>4,200</w:t>
            </w:r>
          </w:p>
        </w:tc>
        <w:tc>
          <w:tcPr>
            <w:tcW w:w="340" w:type="dxa"/>
            <w:vAlign w:val="bottom"/>
          </w:tcPr>
          <w:p>
            <w:pPr>
              <w:ind w:left="40"/>
              <w:spacing w:after="0"/>
              <w:rPr>
                <w:sz w:val="20"/>
                <w:szCs w:val="20"/>
                <w:color w:val="auto"/>
              </w:rPr>
            </w:pPr>
            <w:r>
              <w:rPr>
                <w:rFonts w:ascii="Arial" w:cs="Arial" w:eastAsia="Arial" w:hAnsi="Arial"/>
                <w:sz w:val="7"/>
                <w:szCs w:val="7"/>
                <w:color w:val="auto"/>
                <w:w w:val="89"/>
              </w:rPr>
              <w:t>2,188,322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w w:val="91"/>
              </w:rPr>
              <w:t>2,998</w:t>
            </w:r>
          </w:p>
        </w:tc>
        <w:tc>
          <w:tcPr>
            <w:tcW w:w="360" w:type="dxa"/>
            <w:vAlign w:val="bottom"/>
          </w:tcPr>
          <w:p>
            <w:pPr>
              <w:ind w:left="40"/>
              <w:spacing w:after="0"/>
              <w:rPr>
                <w:sz w:val="20"/>
                <w:szCs w:val="20"/>
                <w:color w:val="auto"/>
              </w:rPr>
            </w:pPr>
            <w:r>
              <w:rPr>
                <w:rFonts w:ascii="Arial" w:cs="Arial" w:eastAsia="Arial" w:hAnsi="Arial"/>
                <w:sz w:val="7"/>
                <w:szCs w:val="7"/>
                <w:color w:val="auto"/>
                <w:w w:val="96"/>
              </w:rPr>
              <w:t>4,211,094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7"/>
                <w:szCs w:val="7"/>
                <w:color w:val="auto"/>
              </w:rPr>
              <w:t>8,704</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1,591,230</w:t>
            </w:r>
          </w:p>
        </w:tc>
        <w:tc>
          <w:tcPr>
            <w:tcW w:w="60" w:type="dxa"/>
            <w:vAlign w:val="bottom"/>
          </w:tcPr>
          <w:p>
            <w:pPr>
              <w:spacing w:after="0"/>
              <w:rPr>
                <w:sz w:val="8"/>
                <w:szCs w:val="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rPr>
              <w:t>6,957</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4,044,271</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18,612</w:t>
            </w:r>
          </w:p>
        </w:tc>
        <w:tc>
          <w:tcPr>
            <w:tcW w:w="340" w:type="dxa"/>
            <w:vAlign w:val="bottom"/>
          </w:tcPr>
          <w:p>
            <w:pPr>
              <w:jc w:val="right"/>
              <w:spacing w:after="0"/>
              <w:rPr>
                <w:sz w:val="20"/>
                <w:szCs w:val="20"/>
                <w:color w:val="auto"/>
              </w:rPr>
            </w:pPr>
            <w:r>
              <w:rPr>
                <w:rFonts w:ascii="Arial" w:cs="Arial" w:eastAsia="Arial" w:hAnsi="Arial"/>
                <w:sz w:val="7"/>
                <w:szCs w:val="7"/>
                <w:color w:val="auto"/>
              </w:rPr>
              <w:t>3,754,201</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24,756</w:t>
            </w:r>
          </w:p>
        </w:tc>
        <w:tc>
          <w:tcPr>
            <w:tcW w:w="340" w:type="dxa"/>
            <w:vAlign w:val="bottom"/>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Pr>
          <w:p>
            <w:pPr>
              <w:spacing w:after="0"/>
              <w:rPr>
                <w:sz w:val="8"/>
                <w:szCs w:val="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w w:val="93"/>
              </w:rPr>
              <w:t>54,929</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7,289,571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4,512</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(77,609)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(73,097)</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Repurchase of Stock</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(1,136,622)</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w w:val="98"/>
              </w:rPr>
              <w:t>(5,001)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(390,152)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(2,001)</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(405,453)</w:t>
            </w:r>
          </w:p>
        </w:tc>
        <w:tc>
          <w:tcPr>
            <w:tcW w:w="5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7"/>
                <w:szCs w:val="7"/>
                <w:color w:val="auto"/>
              </w:rPr>
              <w:t>(2,700)</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(314,659)</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(3,150)</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(5,578)</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7"/>
                <w:szCs w:val="7"/>
                <w:color w:val="auto"/>
              </w:rPr>
              <w:t>(3,223)</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(8,801)</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Issuance of Stock</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1,136,622</w:t>
            </w:r>
          </w:p>
        </w:tc>
        <w:tc>
          <w:tcPr>
            <w:tcW w:w="60" w:type="dxa"/>
            <w:vAlign w:val="bottom"/>
          </w:tcPr>
          <w:p>
            <w:pPr>
              <w:spacing w:after="0"/>
              <w:rPr>
                <w:sz w:val="8"/>
                <w:szCs w:val="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w w:val="93"/>
              </w:rPr>
              <w:t>10,883</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390,152</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3,736</w:t>
            </w:r>
          </w:p>
        </w:tc>
        <w:tc>
          <w:tcPr>
            <w:tcW w:w="340" w:type="dxa"/>
            <w:vAlign w:val="bottom"/>
          </w:tcPr>
          <w:p>
            <w:pPr>
              <w:jc w:val="right"/>
              <w:spacing w:after="0"/>
              <w:rPr>
                <w:sz w:val="20"/>
                <w:szCs w:val="20"/>
                <w:color w:val="auto"/>
              </w:rPr>
            </w:pPr>
            <w:r>
              <w:rPr>
                <w:rFonts w:ascii="Arial" w:cs="Arial" w:eastAsia="Arial" w:hAnsi="Arial"/>
                <w:sz w:val="7"/>
                <w:szCs w:val="7"/>
                <w:color w:val="auto"/>
              </w:rPr>
              <w:t>405,453</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3,948</w:t>
            </w:r>
          </w:p>
        </w:tc>
        <w:tc>
          <w:tcPr>
            <w:tcW w:w="340" w:type="dxa"/>
            <w:vAlign w:val="bottom"/>
          </w:tcPr>
          <w:p>
            <w:pPr>
              <w:jc w:val="right"/>
              <w:spacing w:after="0"/>
              <w:rPr>
                <w:sz w:val="20"/>
                <w:szCs w:val="20"/>
                <w:color w:val="auto"/>
              </w:rPr>
            </w:pPr>
            <w:r>
              <w:rPr>
                <w:rFonts w:ascii="Arial" w:cs="Arial" w:eastAsia="Arial" w:hAnsi="Arial"/>
                <w:sz w:val="7"/>
                <w:szCs w:val="7"/>
                <w:color w:val="auto"/>
              </w:rPr>
              <w:t>314,659</w:t>
            </w:r>
          </w:p>
        </w:tc>
        <w:tc>
          <w:tcPr>
            <w:tcW w:w="160" w:type="dxa"/>
            <w:vAlign w:val="bottom"/>
          </w:tcPr>
          <w:p>
            <w:pPr>
              <w:spacing w:after="0"/>
              <w:rPr>
                <w:sz w:val="8"/>
                <w:szCs w:val="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rPr>
              <w:t>3,085</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Issuance of preferred stock – Series E</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7"/>
                <w:szCs w:val="7"/>
                <w:color w:val="auto"/>
                <w:w w:val="96"/>
              </w:rPr>
              <w:t>2,275,759</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7"/>
                <w:szCs w:val="7"/>
                <w:color w:val="auto"/>
              </w:rPr>
              <w:t>30,757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Exercise of common stock options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466,211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563</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(45)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518</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1,006</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1,006</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Comprehensive income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ind w:left="160"/>
              <w:spacing w:after="0"/>
              <w:rPr>
                <w:sz w:val="20"/>
                <w:szCs w:val="20"/>
                <w:color w:val="auto"/>
              </w:rPr>
            </w:pPr>
            <w:r>
              <w:rPr>
                <w:rFonts w:ascii="Arial" w:cs="Arial" w:eastAsia="Arial" w:hAnsi="Arial"/>
                <w:sz w:val="7"/>
                <w:szCs w:val="7"/>
                <w:color w:val="auto"/>
              </w:rPr>
              <w:t>Foreign currency translation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7"/>
                <w:szCs w:val="7"/>
                <w:color w:val="auto"/>
              </w:rPr>
              <w:t>210</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210</w:t>
            </w:r>
          </w:p>
        </w:tc>
        <w:tc>
          <w:tcPr>
            <w:tcW w:w="0" w:type="dxa"/>
            <w:vAlign w:val="bottom"/>
          </w:tcPr>
          <w:p>
            <w:pPr>
              <w:spacing w:after="0"/>
              <w:rPr>
                <w:sz w:val="1"/>
                <w:szCs w:val="1"/>
                <w:color w:val="auto"/>
              </w:rPr>
            </w:pPr>
          </w:p>
        </w:tc>
      </w:tr>
      <w:tr>
        <w:trPr>
          <w:trHeight w:val="94"/>
        </w:trPr>
        <w:tc>
          <w:tcPr>
            <w:tcW w:w="1260" w:type="dxa"/>
            <w:vAlign w:val="bottom"/>
          </w:tcPr>
          <w:p>
            <w:pPr>
              <w:ind w:left="160"/>
              <w:spacing w:after="0"/>
              <w:rPr>
                <w:sz w:val="20"/>
                <w:szCs w:val="20"/>
                <w:color w:val="auto"/>
              </w:rPr>
            </w:pPr>
            <w:r>
              <w:rPr>
                <w:rFonts w:ascii="Arial" w:cs="Arial" w:eastAsia="Arial" w:hAnsi="Arial"/>
                <w:sz w:val="7"/>
                <w:szCs w:val="7"/>
                <w:color w:val="auto"/>
              </w:rPr>
              <w:t>Net loss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(31,085)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(31,085)</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Total comprehensive loss</w:t>
            </w: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(30,875)</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7"/>
                <w:szCs w:val="7"/>
                <w:color w:val="auto"/>
              </w:rPr>
              <w:t>Balance, December 31, 2020</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260" w:type="dxa"/>
            <w:vAlign w:val="bottom"/>
            <w:vMerge w:val="continue"/>
          </w:tcPr>
          <w:p>
            <w:pPr>
              <w:spacing w:after="0"/>
              <w:rPr>
                <w:sz w:val="8"/>
                <w:szCs w:val="8"/>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w w:val="96"/>
              </w:rPr>
              <w:t>4,200,000</w:t>
            </w:r>
          </w:p>
        </w:tc>
        <w:tc>
          <w:tcPr>
            <w:tcW w:w="16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rPr>
              <w:t>4,200</w:t>
            </w:r>
          </w:p>
        </w:tc>
        <w:tc>
          <w:tcPr>
            <w:tcW w:w="340" w:type="dxa"/>
            <w:vAlign w:val="bottom"/>
          </w:tcPr>
          <w:p>
            <w:pPr>
              <w:ind w:left="40"/>
              <w:spacing w:after="0"/>
              <w:rPr>
                <w:sz w:val="20"/>
                <w:szCs w:val="20"/>
                <w:color w:val="auto"/>
              </w:rPr>
            </w:pPr>
            <w:r>
              <w:rPr>
                <w:rFonts w:ascii="Arial" w:cs="Arial" w:eastAsia="Arial" w:hAnsi="Arial"/>
                <w:sz w:val="7"/>
                <w:szCs w:val="7"/>
                <w:color w:val="auto"/>
                <w:w w:val="89"/>
              </w:rPr>
              <w:t>2,188,322</w:t>
            </w:r>
          </w:p>
        </w:tc>
        <w:tc>
          <w:tcPr>
            <w:tcW w:w="16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w w:val="91"/>
              </w:rPr>
              <w:t>2,998</w:t>
            </w:r>
          </w:p>
        </w:tc>
        <w:tc>
          <w:tcPr>
            <w:tcW w:w="360" w:type="dxa"/>
            <w:vAlign w:val="bottom"/>
          </w:tcPr>
          <w:p>
            <w:pPr>
              <w:ind w:left="40"/>
              <w:spacing w:after="0"/>
              <w:rPr>
                <w:sz w:val="20"/>
                <w:szCs w:val="20"/>
                <w:color w:val="auto"/>
              </w:rPr>
            </w:pPr>
            <w:r>
              <w:rPr>
                <w:rFonts w:ascii="Arial" w:cs="Arial" w:eastAsia="Arial" w:hAnsi="Arial"/>
                <w:sz w:val="7"/>
                <w:szCs w:val="7"/>
                <w:color w:val="auto"/>
                <w:w w:val="96"/>
              </w:rPr>
              <w:t>4,211,094</w:t>
            </w:r>
          </w:p>
        </w:tc>
        <w:tc>
          <w:tcPr>
            <w:tcW w:w="18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100"/>
              <w:spacing w:after="0"/>
              <w:rPr>
                <w:sz w:val="20"/>
                <w:szCs w:val="20"/>
                <w:color w:val="auto"/>
              </w:rPr>
            </w:pPr>
            <w:r>
              <w:rPr>
                <w:rFonts w:ascii="Arial" w:cs="Arial" w:eastAsia="Arial" w:hAnsi="Arial"/>
                <w:sz w:val="7"/>
                <w:szCs w:val="7"/>
                <w:color w:val="auto"/>
              </w:rPr>
              <w:t>8,704</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1,591,230</w:t>
            </w:r>
          </w:p>
        </w:tc>
        <w:tc>
          <w:tcPr>
            <w:tcW w:w="60" w:type="dxa"/>
            <w:vAlign w:val="bottom"/>
          </w:tcPr>
          <w:p>
            <w:pPr>
              <w:spacing w:after="0"/>
              <w:rPr>
                <w:sz w:val="20"/>
                <w:szCs w:val="20"/>
                <w:color w:val="auto"/>
              </w:rPr>
            </w:pPr>
            <w:r>
              <w:rPr>
                <w:rFonts w:ascii="Arial" w:cs="Arial" w:eastAsia="Arial" w:hAnsi="Arial"/>
                <w:sz w:val="7"/>
                <w:szCs w:val="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w w:val="93"/>
              </w:rPr>
              <w:t>12,839</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4,044,271</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w w:val="95"/>
              </w:rPr>
              <w:t>$ 20,347</w:t>
            </w:r>
          </w:p>
        </w:tc>
        <w:tc>
          <w:tcPr>
            <w:tcW w:w="340" w:type="dxa"/>
            <w:vAlign w:val="bottom"/>
          </w:tcPr>
          <w:p>
            <w:pPr>
              <w:jc w:val="right"/>
              <w:spacing w:after="0"/>
              <w:rPr>
                <w:sz w:val="20"/>
                <w:szCs w:val="20"/>
                <w:color w:val="auto"/>
              </w:rPr>
            </w:pPr>
            <w:r>
              <w:rPr>
                <w:rFonts w:ascii="Arial" w:cs="Arial" w:eastAsia="Arial" w:hAnsi="Arial"/>
                <w:sz w:val="7"/>
                <w:szCs w:val="7"/>
                <w:color w:val="auto"/>
              </w:rPr>
              <w:t>3,754,201</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$ 26,004</w:t>
            </w:r>
          </w:p>
        </w:tc>
        <w:tc>
          <w:tcPr>
            <w:tcW w:w="340" w:type="dxa"/>
            <w:vAlign w:val="bottom"/>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w w:val="93"/>
              </w:rPr>
              <w:t>54,864</w:t>
            </w:r>
          </w:p>
        </w:tc>
        <w:tc>
          <w:tcPr>
            <w:tcW w:w="340" w:type="dxa"/>
            <w:vAlign w:val="bottom"/>
          </w:tcPr>
          <w:p>
            <w:pPr>
              <w:ind w:left="20"/>
              <w:spacing w:after="0"/>
              <w:rPr>
                <w:sz w:val="20"/>
                <w:szCs w:val="20"/>
                <w:color w:val="auto"/>
              </w:rPr>
            </w:pPr>
            <w:r>
              <w:rPr>
                <w:rFonts w:ascii="Arial" w:cs="Arial" w:eastAsia="Arial" w:hAnsi="Arial"/>
                <w:sz w:val="7"/>
                <w:szCs w:val="7"/>
                <w:color w:val="auto"/>
                <w:w w:val="96"/>
              </w:rPr>
              <w:t>2,275,759</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7"/>
                <w:szCs w:val="7"/>
                <w:color w:val="auto"/>
              </w:rPr>
              <w:t>30,757</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7,755,782</w:t>
            </w: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503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ind w:left="360"/>
              <w:spacing w:after="0"/>
              <w:rPr>
                <w:sz w:val="20"/>
                <w:szCs w:val="20"/>
                <w:color w:val="auto"/>
              </w:rPr>
            </w:pPr>
            <w:r>
              <w:rPr>
                <w:rFonts w:ascii="Arial" w:cs="Arial" w:eastAsia="Arial" w:hAnsi="Arial"/>
                <w:sz w:val="7"/>
                <w:szCs w:val="7"/>
                <w:color w:val="auto"/>
              </w:rPr>
              <w:t>210</w:t>
            </w: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380" w:type="dxa"/>
            <w:vAlign w:val="bottom"/>
          </w:tcPr>
          <w:p>
            <w:pPr>
              <w:jc w:val="right"/>
              <w:spacing w:after="0"/>
              <w:rPr>
                <w:sz w:val="20"/>
                <w:szCs w:val="20"/>
                <w:color w:val="auto"/>
              </w:rPr>
            </w:pPr>
            <w:r>
              <w:rPr>
                <w:rFonts w:ascii="Arial" w:cs="Arial" w:eastAsia="Arial" w:hAnsi="Arial"/>
                <w:sz w:val="7"/>
                <w:szCs w:val="7"/>
                <w:color w:val="auto"/>
              </w:rPr>
              <w:t>(111,962)</w:t>
            </w:r>
          </w:p>
        </w:tc>
        <w:tc>
          <w:tcPr>
            <w:tcW w:w="18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(111,249)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159"/>
        <w:spacing w:after="0" w:line="232"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gridSpan w:val="4"/>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780" w:type="dxa"/>
            <w:vAlign w:val="bottom"/>
            <w:gridSpan w:val="3"/>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60" w:type="dxa"/>
            <w:vAlign w:val="bottom"/>
          </w:tcPr>
          <w:p>
            <w:pPr>
              <w:spacing w:after="0"/>
              <w:rPr>
                <w:sz w:val="7"/>
                <w:szCs w:val="7"/>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gridSpan w:val="5"/>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5"/>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tcBorders>
              <w:right w:val="single" w:sz="8" w:color="auto"/>
            </w:tcBorders>
            <w:gridSpan w:val="3"/>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880" w:type="dxa"/>
            <w:vAlign w:val="bottom"/>
            <w:tcBorders>
              <w:right w:val="single" w:sz="8" w:color="auto"/>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Additional</w:t>
            </w:r>
          </w:p>
        </w:tc>
        <w:tc>
          <w:tcPr>
            <w:tcW w:w="100" w:type="dxa"/>
            <w:vAlign w:val="bottom"/>
          </w:tcPr>
          <w:p>
            <w:pPr>
              <w:spacing w:after="0"/>
              <w:rPr>
                <w:sz w:val="2"/>
                <w:szCs w:val="2"/>
                <w:color w:val="auto"/>
              </w:rPr>
            </w:pPr>
          </w:p>
        </w:tc>
        <w:tc>
          <w:tcPr>
            <w:tcW w:w="540" w:type="dxa"/>
            <w:vAlign w:val="bottom"/>
            <w:gridSpan w:val="2"/>
            <w:vMerge w:val="restart"/>
          </w:tcPr>
          <w:p>
            <w:pPr>
              <w:jc w:val="right"/>
              <w:ind w:right="280"/>
              <w:spacing w:after="0"/>
              <w:rPr>
                <w:sz w:val="20"/>
                <w:szCs w:val="20"/>
                <w:color w:val="auto"/>
              </w:rPr>
            </w:pPr>
            <w:r>
              <w:rPr>
                <w:rFonts w:ascii="Arial" w:cs="Arial" w:eastAsia="Arial" w:hAnsi="Arial"/>
                <w:sz w:val="7"/>
                <w:szCs w:val="7"/>
                <w:b w:val="1"/>
                <w:bCs w:val="1"/>
                <w:color w:val="auto"/>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Seed-1</w:t>
            </w:r>
          </w:p>
        </w:tc>
        <w:tc>
          <w:tcPr>
            <w:tcW w:w="780" w:type="dxa"/>
            <w:vAlign w:val="bottom"/>
            <w:gridSpan w:val="3"/>
            <w:vMerge w:val="restart"/>
          </w:tcPr>
          <w:p>
            <w:pPr>
              <w:ind w:left="280"/>
              <w:spacing w:after="0"/>
              <w:rPr>
                <w:sz w:val="20"/>
                <w:szCs w:val="20"/>
                <w:color w:val="auto"/>
              </w:rPr>
            </w:pPr>
            <w:r>
              <w:rPr>
                <w:rFonts w:ascii="Arial" w:cs="Arial" w:eastAsia="Arial" w:hAnsi="Arial"/>
                <w:sz w:val="7"/>
                <w:szCs w:val="7"/>
                <w:b w:val="1"/>
                <w:bCs w:val="1"/>
                <w:color w:val="auto"/>
              </w:rPr>
              <w:t>Seed-2</w:t>
            </w:r>
          </w:p>
        </w:tc>
        <w:tc>
          <w:tcPr>
            <w:tcW w:w="60" w:type="dxa"/>
            <w:vAlign w:val="bottom"/>
          </w:tcPr>
          <w:p>
            <w:pPr>
              <w:spacing w:after="0"/>
              <w:rPr>
                <w:sz w:val="4"/>
                <w:szCs w:val="4"/>
                <w:color w:val="auto"/>
              </w:rPr>
            </w:pPr>
          </w:p>
        </w:tc>
        <w:tc>
          <w:tcPr>
            <w:tcW w:w="860" w:type="dxa"/>
            <w:vAlign w:val="bottom"/>
            <w:gridSpan w:val="4"/>
            <w:vMerge w:val="restart"/>
          </w:tcPr>
          <w:p>
            <w:pPr>
              <w:ind w:left="220"/>
              <w:spacing w:after="0"/>
              <w:rPr>
                <w:sz w:val="20"/>
                <w:szCs w:val="20"/>
                <w:color w:val="auto"/>
              </w:rPr>
            </w:pPr>
            <w:r>
              <w:rPr>
                <w:rFonts w:ascii="Arial" w:cs="Arial" w:eastAsia="Arial" w:hAnsi="Arial"/>
                <w:sz w:val="7"/>
                <w:szCs w:val="7"/>
                <w:b w:val="1"/>
                <w:bCs w:val="1"/>
                <w:color w:val="auto"/>
              </w:rPr>
              <w:t>Series A-1</w:t>
            </w:r>
          </w:p>
        </w:tc>
        <w:tc>
          <w:tcPr>
            <w:tcW w:w="880" w:type="dxa"/>
            <w:vAlign w:val="bottom"/>
            <w:gridSpan w:val="5"/>
            <w:vMerge w:val="restart"/>
          </w:tcPr>
          <w:p>
            <w:pPr>
              <w:ind w:left="240"/>
              <w:spacing w:after="0"/>
              <w:rPr>
                <w:sz w:val="20"/>
                <w:szCs w:val="20"/>
                <w:color w:val="auto"/>
              </w:rPr>
            </w:pPr>
            <w:r>
              <w:rPr>
                <w:rFonts w:ascii="Arial" w:cs="Arial" w:eastAsia="Arial" w:hAnsi="Arial"/>
                <w:sz w:val="7"/>
                <w:szCs w:val="7"/>
                <w:b w:val="1"/>
                <w:bCs w:val="1"/>
                <w:color w:val="auto"/>
              </w:rPr>
              <w:t>Series A-2</w:t>
            </w:r>
          </w:p>
        </w:tc>
        <w:tc>
          <w:tcPr>
            <w:tcW w:w="90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Series B</w:t>
            </w:r>
          </w:p>
        </w:tc>
        <w:tc>
          <w:tcPr>
            <w:tcW w:w="90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Series C</w:t>
            </w:r>
          </w:p>
        </w:tc>
        <w:tc>
          <w:tcPr>
            <w:tcW w:w="900" w:type="dxa"/>
            <w:vAlign w:val="bottom"/>
            <w:gridSpan w:val="5"/>
            <w:vMerge w:val="restart"/>
          </w:tcPr>
          <w:p>
            <w:pPr>
              <w:ind w:left="280"/>
              <w:spacing w:after="0"/>
              <w:rPr>
                <w:sz w:val="20"/>
                <w:szCs w:val="20"/>
                <w:color w:val="auto"/>
              </w:rPr>
            </w:pPr>
            <w:r>
              <w:rPr>
                <w:rFonts w:ascii="Arial" w:cs="Arial" w:eastAsia="Arial" w:hAnsi="Arial"/>
                <w:sz w:val="7"/>
                <w:szCs w:val="7"/>
                <w:b w:val="1"/>
                <w:bCs w:val="1"/>
                <w:color w:val="auto"/>
              </w:rPr>
              <w:t>Series D</w:t>
            </w:r>
          </w:p>
        </w:tc>
        <w:tc>
          <w:tcPr>
            <w:tcW w:w="880" w:type="dxa"/>
            <w:vAlign w:val="bottom"/>
            <w:tcBorders>
              <w:right w:val="single" w:sz="8" w:color="auto"/>
            </w:tcBorders>
            <w:gridSpan w:val="3"/>
            <w:vMerge w:val="restart"/>
          </w:tcPr>
          <w:p>
            <w:pPr>
              <w:ind w:left="260"/>
              <w:spacing w:after="0"/>
              <w:rPr>
                <w:sz w:val="20"/>
                <w:szCs w:val="20"/>
                <w:color w:val="auto"/>
              </w:rPr>
            </w:pPr>
            <w:r>
              <w:rPr>
                <w:rFonts w:ascii="Arial" w:cs="Arial" w:eastAsia="Arial" w:hAnsi="Arial"/>
                <w:sz w:val="7"/>
                <w:szCs w:val="7"/>
                <w:b w:val="1"/>
                <w:bCs w:val="1"/>
                <w:color w:val="auto"/>
              </w:rPr>
              <w:t>Series E</w:t>
            </w:r>
          </w:p>
        </w:tc>
        <w:tc>
          <w:tcPr>
            <w:tcW w:w="20" w:type="dxa"/>
            <w:vAlign w:val="bottom"/>
          </w:tcPr>
          <w:p>
            <w:pPr>
              <w:spacing w:after="0"/>
              <w:rPr>
                <w:sz w:val="4"/>
                <w:szCs w:val="4"/>
                <w:color w:val="auto"/>
              </w:rPr>
            </w:pPr>
          </w:p>
        </w:tc>
        <w:tc>
          <w:tcPr>
            <w:tcW w:w="820" w:type="dxa"/>
            <w:vAlign w:val="bottom"/>
            <w:gridSpan w:val="6"/>
            <w:vMerge w:val="restart"/>
          </w:tcPr>
          <w:p>
            <w:pPr>
              <w:ind w:left="140"/>
              <w:spacing w:after="0"/>
              <w:rPr>
                <w:sz w:val="20"/>
                <w:szCs w:val="20"/>
                <w:color w:val="auto"/>
              </w:rPr>
            </w:pPr>
            <w:r>
              <w:rPr>
                <w:rFonts w:ascii="Arial" w:cs="Arial" w:eastAsia="Arial" w:hAnsi="Arial"/>
                <w:sz w:val="7"/>
                <w:szCs w:val="7"/>
                <w:b w:val="1"/>
                <w:bCs w:val="1"/>
                <w:color w:val="auto"/>
              </w:rPr>
              <w:t>Common Stock</w:t>
            </w:r>
          </w:p>
        </w:tc>
        <w:tc>
          <w:tcPr>
            <w:tcW w:w="2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880" w:type="dxa"/>
            <w:vAlign w:val="bottom"/>
            <w:tcBorders>
              <w:right w:val="single" w:sz="8" w:color="auto"/>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8"/>
            <w:vMerge w:val="restart"/>
          </w:tcPr>
          <w:p>
            <w:pPr>
              <w:jc w:val="right"/>
              <w:ind w:right="80"/>
              <w:spacing w:after="0"/>
              <w:rPr>
                <w:sz w:val="20"/>
                <w:szCs w:val="20"/>
                <w:color w:val="auto"/>
              </w:rPr>
            </w:pPr>
            <w:r>
              <w:rPr>
                <w:rFonts w:ascii="Arial" w:cs="Arial" w:eastAsia="Arial" w:hAnsi="Arial"/>
                <w:sz w:val="7"/>
                <w:szCs w:val="7"/>
                <w:b w:val="1"/>
                <w:bCs w:val="1"/>
                <w:color w:val="auto"/>
              </w:rPr>
              <w:t>Paid-in   Comprehensive   Accumulated</w:t>
            </w:r>
          </w:p>
        </w:tc>
        <w:tc>
          <w:tcPr>
            <w:tcW w:w="40" w:type="dxa"/>
            <w:vAlign w:val="bottom"/>
          </w:tcPr>
          <w:p>
            <w:pPr>
              <w:spacing w:after="0"/>
              <w:rPr>
                <w:sz w:val="2"/>
                <w:szCs w:val="2"/>
                <w:color w:val="auto"/>
              </w:rPr>
            </w:pP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280" w:type="dxa"/>
            <w:vAlign w:val="bottom"/>
          </w:tcPr>
          <w:p>
            <w:pPr>
              <w:spacing w:after="0"/>
              <w:rPr>
                <w:sz w:val="20"/>
                <w:szCs w:val="20"/>
                <w:color w:val="auto"/>
              </w:rPr>
            </w:pPr>
            <w:r>
              <w:rPr>
                <w:rFonts w:ascii="Arial" w:cs="Arial" w:eastAsia="Arial" w:hAnsi="Arial"/>
                <w:sz w:val="7"/>
                <w:szCs w:val="7"/>
                <w:b w:val="1"/>
                <w:bCs w:val="1"/>
                <w:color w:val="auto"/>
                <w:w w:val="98"/>
              </w:rPr>
              <w:t>Amount</w:t>
            </w:r>
          </w:p>
        </w:tc>
        <w:tc>
          <w:tcPr>
            <w:tcW w:w="60" w:type="dxa"/>
            <w:vAlign w:val="bottom"/>
          </w:tcPr>
          <w:p>
            <w:pPr>
              <w:spacing w:after="0"/>
              <w:rPr>
                <w:sz w:val="7"/>
                <w:szCs w:val="7"/>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rPr>
              <w:t>Shares</w:t>
            </w:r>
          </w:p>
        </w:tc>
        <w:tc>
          <w:tcPr>
            <w:tcW w:w="36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420" w:type="dxa"/>
            <w:vAlign w:val="bottom"/>
          </w:tcPr>
          <w:p>
            <w:pPr>
              <w:ind w:left="8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rPr>
              <w:t>Amount</w:t>
            </w:r>
          </w:p>
        </w:tc>
        <w:tc>
          <w:tcPr>
            <w:tcW w:w="42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tcBorders>
              <w:right w:val="single" w:sz="8" w:color="auto"/>
            </w:tcBorders>
          </w:tcPr>
          <w:p>
            <w:pPr>
              <w:jc w:val="center"/>
              <w:ind w:right="16"/>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2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w w:val="94"/>
              </w:rPr>
              <w:t>Capital</w:t>
            </w:r>
          </w:p>
        </w:tc>
        <w:tc>
          <w:tcPr>
            <w:tcW w:w="100" w:type="dxa"/>
            <w:vAlign w:val="bottom"/>
          </w:tcPr>
          <w:p>
            <w:pPr>
              <w:spacing w:after="0"/>
              <w:rPr>
                <w:sz w:val="7"/>
                <w:szCs w:val="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7"/>
                <w:szCs w:val="7"/>
                <w:b w:val="1"/>
                <w:bCs w:val="1"/>
                <w:color w:val="auto"/>
              </w:rPr>
              <w:t>Income</w:t>
            </w:r>
          </w:p>
        </w:tc>
        <w:tc>
          <w:tcPr>
            <w:tcW w:w="80" w:type="dxa"/>
            <w:vAlign w:val="bottom"/>
          </w:tcPr>
          <w:p>
            <w:pPr>
              <w:spacing w:after="0"/>
              <w:rPr>
                <w:sz w:val="7"/>
                <w:szCs w:val="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40" w:type="dxa"/>
            <w:vAlign w:val="bottom"/>
            <w:tcBorders>
              <w:top w:val="single" w:sz="8" w:color="CCEEFF"/>
            </w:tcBorders>
            <w:shd w:val="clear" w:color="auto" w:fill="CCEEFF"/>
          </w:tcPr>
          <w:p>
            <w:pPr>
              <w:spacing w:after="0" w:line="74" w:lineRule="exact"/>
              <w:rPr>
                <w:sz w:val="20"/>
                <w:szCs w:val="20"/>
                <w:color w:val="auto"/>
              </w:rPr>
            </w:pPr>
            <w:r>
              <w:rPr>
                <w:rFonts w:ascii="Arial" w:cs="Arial" w:eastAsia="Arial" w:hAnsi="Arial"/>
                <w:sz w:val="8"/>
                <w:szCs w:val="8"/>
                <w:color w:val="auto"/>
              </w:rPr>
              <w:t>Balance, December</w:t>
            </w: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gridSpan w:val="2"/>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right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28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36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gridSpan w:val="2"/>
            <w:shd w:val="clear" w:color="auto" w:fill="CCEEFF"/>
          </w:tcPr>
          <w:p>
            <w:pPr>
              <w:spacing w:after="0"/>
              <w:rPr>
                <w:sz w:val="6"/>
                <w:szCs w:val="6"/>
                <w:color w:val="auto"/>
              </w:rPr>
            </w:pPr>
          </w:p>
        </w:tc>
        <w:tc>
          <w:tcPr>
            <w:tcW w:w="48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31, 2019</w:t>
            </w:r>
          </w:p>
        </w:tc>
        <w:tc>
          <w:tcPr>
            <w:tcW w:w="440" w:type="dxa"/>
            <w:vAlign w:val="bottom"/>
            <w:shd w:val="clear" w:color="auto" w:fill="CCEEFF"/>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ind w:left="60"/>
              <w:spacing w:after="0" w:line="94" w:lineRule="exact"/>
              <w:rPr>
                <w:sz w:val="20"/>
                <w:szCs w:val="20"/>
                <w:color w:val="auto"/>
              </w:rPr>
            </w:pPr>
            <w:r>
              <w:rPr>
                <w:rFonts w:ascii="Arial" w:cs="Arial" w:eastAsia="Arial" w:hAnsi="Arial"/>
                <w:sz w:val="9"/>
                <w:szCs w:val="9"/>
                <w:color w:val="auto"/>
              </w:rPr>
              <w:t>$4,200</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4"/>
              </w:rPr>
              <w:t>$2,998</w:t>
            </w:r>
          </w:p>
        </w:tc>
        <w:tc>
          <w:tcPr>
            <w:tcW w:w="560" w:type="dxa"/>
            <w:vAlign w:val="bottom"/>
            <w:gridSpan w:val="3"/>
            <w:shd w:val="clear" w:color="auto" w:fill="CCEEFF"/>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$8,704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6,957</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$ 18,612</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$ 24,756</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shd w:val="clear" w:color="auto" w:fill="CCEEFF"/>
          </w:tcPr>
          <w:p>
            <w:pPr>
              <w:jc w:val="center"/>
              <w:ind w:right="40"/>
              <w:spacing w:after="0" w:line="94" w:lineRule="exact"/>
              <w:rPr>
                <w:sz w:val="20"/>
                <w:szCs w:val="20"/>
                <w:color w:val="auto"/>
              </w:rPr>
            </w:pPr>
            <w:r>
              <w:rPr>
                <w:rFonts w:ascii="Arial" w:cs="Arial" w:eastAsia="Arial" w:hAnsi="Arial"/>
                <w:sz w:val="9"/>
                <w:szCs w:val="9"/>
                <w:color w:val="auto"/>
                <w:w w:val="91"/>
              </w:rPr>
              <w:t>$ 54,929</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7,289,571</w:t>
            </w:r>
          </w:p>
        </w:tc>
        <w:tc>
          <w:tcPr>
            <w:tcW w:w="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00"/>
              <w:spacing w:after="0" w:line="94" w:lineRule="exact"/>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4,512</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(77,609)</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(73,097)</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Exercise of common</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ind w:left="80"/>
              <w:spacing w:after="0" w:line="94" w:lineRule="exact"/>
              <w:rPr>
                <w:sz w:val="20"/>
                <w:szCs w:val="20"/>
                <w:color w:val="auto"/>
              </w:rPr>
            </w:pPr>
            <w:r>
              <w:rPr>
                <w:rFonts w:ascii="Arial" w:cs="Arial" w:eastAsia="Arial" w:hAnsi="Arial"/>
                <w:sz w:val="9"/>
                <w:szCs w:val="9"/>
                <w:color w:val="auto"/>
              </w:rPr>
              <w:t>stock options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169,212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Stock based</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Comprehensive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income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Foreign</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currency</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Total comprehensive</w:t>
            </w:r>
          </w:p>
        </w:tc>
        <w:tc>
          <w:tcPr>
            <w:tcW w:w="250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loss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(8,656)</w:t>
            </w:r>
          </w:p>
        </w:tc>
        <w:tc>
          <w:tcPr>
            <w:tcW w:w="0" w:type="dxa"/>
            <w:vAlign w:val="bottom"/>
          </w:tcPr>
          <w:p>
            <w:pPr>
              <w:spacing w:after="0"/>
              <w:rPr>
                <w:sz w:val="1"/>
                <w:szCs w:val="1"/>
                <w:color w:val="auto"/>
              </w:rPr>
            </w:pPr>
          </w:p>
        </w:tc>
      </w:tr>
      <w:tr>
        <w:trPr>
          <w:trHeight w:val="100"/>
        </w:trPr>
        <w:tc>
          <w:tcPr>
            <w:tcW w:w="860" w:type="dxa"/>
            <w:vAlign w:val="bottom"/>
            <w:gridSpan w:val="2"/>
          </w:tcPr>
          <w:p>
            <w:pPr>
              <w:spacing w:after="0" w:line="100" w:lineRule="exact"/>
              <w:rPr>
                <w:sz w:val="20"/>
                <w:szCs w:val="20"/>
                <w:color w:val="auto"/>
              </w:rPr>
            </w:pPr>
            <w:r>
              <w:rPr>
                <w:rFonts w:ascii="Arial" w:cs="Arial" w:eastAsia="Arial" w:hAnsi="Arial"/>
                <w:sz w:val="9"/>
                <w:szCs w:val="9"/>
                <w:color w:val="auto"/>
              </w:rPr>
              <w:t>Balance, March 31,</w:t>
            </w: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2020</w:t>
            </w:r>
          </w:p>
        </w:tc>
        <w:tc>
          <w:tcPr>
            <w:tcW w:w="440" w:type="dxa"/>
            <w:vAlign w:val="bottom"/>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ind w:lef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tcPr>
          <w:p>
            <w:pPr>
              <w:spacing w:after="0" w:line="94" w:lineRule="exact"/>
              <w:rPr>
                <w:sz w:val="20"/>
                <w:szCs w:val="20"/>
                <w:color w:val="auto"/>
              </w:rPr>
            </w:pPr>
            <w:r>
              <w:rPr>
                <w:rFonts w:ascii="Arial" w:cs="Arial" w:eastAsia="Arial" w:hAnsi="Arial"/>
                <w:sz w:val="9"/>
                <w:szCs w:val="9"/>
                <w:u w:val="single" w:color="auto"/>
                <w:color w:val="auto"/>
                <w:w w:val="94"/>
              </w:rPr>
              <w:t>$</w:t>
            </w:r>
            <w:r>
              <w:rPr>
                <w:rFonts w:ascii="Arial" w:cs="Arial" w:eastAsia="Arial" w:hAnsi="Arial"/>
                <w:sz w:val="9"/>
                <w:szCs w:val="9"/>
                <w:color w:val="auto"/>
                <w:w w:val="94"/>
              </w:rPr>
              <w:t>2,998</w:t>
            </w:r>
          </w:p>
        </w:tc>
        <w:tc>
          <w:tcPr>
            <w:tcW w:w="560" w:type="dxa"/>
            <w:vAlign w:val="bottom"/>
            <w:gridSpan w:val="3"/>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tcPr>
          <w:p>
            <w:pPr>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tcPr>
          <w:p>
            <w:pPr>
              <w:jc w:val="right"/>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4" w:lineRule="exact"/>
              <w:rPr>
                <w:sz w:val="20"/>
                <w:szCs w:val="20"/>
                <w:color w:val="auto"/>
              </w:rPr>
            </w:pPr>
            <w:r>
              <w:rPr>
                <w:rFonts w:ascii="Arial" w:cs="Arial" w:eastAsia="Arial" w:hAnsi="Arial"/>
                <w:sz w:val="9"/>
                <w:szCs w:val="9"/>
                <w:color w:val="auto"/>
              </w:rPr>
              <w:t>6,957</w:t>
            </w:r>
          </w:p>
        </w:tc>
        <w:tc>
          <w:tcPr>
            <w:tcW w:w="60" w:type="dxa"/>
            <w:vAlign w:val="bottom"/>
          </w:tcPr>
          <w:p>
            <w:pPr>
              <w:spacing w:after="0"/>
              <w:rPr>
                <w:sz w:val="8"/>
                <w:szCs w:val="8"/>
                <w:color w:val="auto"/>
              </w:rPr>
            </w:pP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$ 18,612</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$ 24,756</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tcPr>
          <w:p>
            <w:pPr>
              <w:jc w:val="center"/>
              <w:ind w:right="40"/>
              <w:spacing w:after="0" w:line="94" w:lineRule="exact"/>
              <w:rPr>
                <w:sz w:val="20"/>
                <w:szCs w:val="20"/>
                <w:color w:val="auto"/>
              </w:rPr>
            </w:pPr>
            <w:r>
              <w:rPr>
                <w:rFonts w:ascii="Arial" w:cs="Arial" w:eastAsia="Arial" w:hAnsi="Arial"/>
                <w:sz w:val="9"/>
                <w:szCs w:val="9"/>
                <w:color w:val="auto"/>
                <w:w w:val="91"/>
              </w:rPr>
              <w:t>$ 54,929</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7,458,783</w:t>
            </w:r>
          </w:p>
        </w:tc>
        <w:tc>
          <w:tcPr>
            <w:tcW w:w="20" w:type="dxa"/>
            <w:vAlign w:val="bottom"/>
          </w:tcPr>
          <w:p>
            <w:pPr>
              <w:spacing w:after="0"/>
              <w:rPr>
                <w:sz w:val="8"/>
                <w:szCs w:val="8"/>
                <w:color w:val="auto"/>
              </w:rPr>
            </w:pPr>
          </w:p>
        </w:tc>
        <w:tc>
          <w:tcPr>
            <w:tcW w:w="14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4,755</w:t>
            </w:r>
          </w:p>
        </w:tc>
        <w:tc>
          <w:tcPr>
            <w:tcW w:w="10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(49)</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(86,216)</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(81,510)</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Balance, December</w:t>
            </w:r>
          </w:p>
        </w:tc>
        <w:tc>
          <w:tcPr>
            <w:tcW w:w="3060" w:type="dxa"/>
            <w:vAlign w:val="bottom"/>
            <w:gridSpan w:val="21"/>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31, 2020</w:t>
            </w:r>
          </w:p>
        </w:tc>
        <w:tc>
          <w:tcPr>
            <w:tcW w:w="440" w:type="dxa"/>
            <w:vAlign w:val="bottom"/>
            <w:shd w:val="clear" w:color="auto" w:fill="CCEEFF"/>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ind w:left="60"/>
              <w:spacing w:after="0" w:line="94" w:lineRule="exact"/>
              <w:rPr>
                <w:sz w:val="20"/>
                <w:szCs w:val="20"/>
                <w:color w:val="auto"/>
              </w:rPr>
            </w:pPr>
            <w:r>
              <w:rPr>
                <w:rFonts w:ascii="Arial" w:cs="Arial" w:eastAsia="Arial" w:hAnsi="Arial"/>
                <w:sz w:val="9"/>
                <w:szCs w:val="9"/>
                <w:color w:val="auto"/>
              </w:rPr>
              <w:t>$4,200</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4"/>
              </w:rPr>
              <w:t>$2,998</w:t>
            </w:r>
          </w:p>
        </w:tc>
        <w:tc>
          <w:tcPr>
            <w:tcW w:w="560" w:type="dxa"/>
            <w:vAlign w:val="bottom"/>
            <w:gridSpan w:val="3"/>
            <w:shd w:val="clear" w:color="auto" w:fill="CCEEFF"/>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$8,704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w w:val="94"/>
              </w:rPr>
              <w:t>12,839</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$ 20,347</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$ 26,004</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shd w:val="clear" w:color="auto" w:fill="CCEEFF"/>
          </w:tcPr>
          <w:p>
            <w:pPr>
              <w:jc w:val="center"/>
              <w:ind w:right="40"/>
              <w:spacing w:after="0" w:line="94" w:lineRule="exact"/>
              <w:rPr>
                <w:sz w:val="20"/>
                <w:szCs w:val="20"/>
                <w:color w:val="auto"/>
              </w:rPr>
            </w:pPr>
            <w:r>
              <w:rPr>
                <w:rFonts w:ascii="Arial" w:cs="Arial" w:eastAsia="Arial" w:hAnsi="Arial"/>
                <w:sz w:val="9"/>
                <w:szCs w:val="9"/>
                <w:color w:val="auto"/>
                <w:w w:val="91"/>
              </w:rPr>
              <w:t>$ 54,864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2,275,759</w:t>
            </w:r>
          </w:p>
        </w:tc>
        <w:tc>
          <w:tcPr>
            <w:tcW w:w="460" w:type="dxa"/>
            <w:vAlign w:val="bottom"/>
            <w:tcBorders>
              <w:right w:val="single" w:sz="8" w:color="auto"/>
            </w:tcBorders>
            <w:gridSpan w:val="2"/>
            <w:shd w:val="clear" w:color="auto" w:fill="CCEEFF"/>
          </w:tcPr>
          <w:p>
            <w:pPr>
              <w:jc w:val="center"/>
              <w:spacing w:after="0" w:line="94" w:lineRule="exact"/>
              <w:rPr>
                <w:sz w:val="20"/>
                <w:szCs w:val="20"/>
                <w:color w:val="auto"/>
              </w:rPr>
            </w:pPr>
            <w:r>
              <w:rPr>
                <w:rFonts w:ascii="Arial" w:cs="Arial" w:eastAsia="Arial" w:hAnsi="Arial"/>
                <w:sz w:val="9"/>
                <w:szCs w:val="9"/>
                <w:color w:val="auto"/>
                <w:w w:val="91"/>
              </w:rPr>
              <w:t>$ 30,757</w:t>
            </w: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7,755,782</w:t>
            </w:r>
          </w:p>
        </w:tc>
        <w:tc>
          <w:tcPr>
            <w:tcW w:w="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00"/>
              <w:spacing w:after="0" w:line="94" w:lineRule="exact"/>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503</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210</w:t>
            </w: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w w:val="98"/>
              </w:rPr>
              <w:t>(111,962)</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(111,249)</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Exercise of common</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ind w:left="80"/>
              <w:spacing w:after="0" w:line="94" w:lineRule="exact"/>
              <w:rPr>
                <w:sz w:val="20"/>
                <w:szCs w:val="20"/>
                <w:color w:val="auto"/>
              </w:rPr>
            </w:pPr>
            <w:r>
              <w:rPr>
                <w:rFonts w:ascii="Arial" w:cs="Arial" w:eastAsia="Arial" w:hAnsi="Arial"/>
                <w:sz w:val="9"/>
                <w:szCs w:val="9"/>
                <w:color w:val="auto"/>
              </w:rPr>
              <w:t>stock options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483,712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Stock based</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Comprehensive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income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Foreign</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currency</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30</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Total comprehensive</w:t>
            </w:r>
          </w:p>
        </w:tc>
        <w:tc>
          <w:tcPr>
            <w:tcW w:w="250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loss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(10,471)</w:t>
            </w:r>
          </w:p>
        </w:tc>
        <w:tc>
          <w:tcPr>
            <w:tcW w:w="0" w:type="dxa"/>
            <w:vAlign w:val="bottom"/>
          </w:tcPr>
          <w:p>
            <w:pPr>
              <w:spacing w:after="0"/>
              <w:rPr>
                <w:sz w:val="1"/>
                <w:szCs w:val="1"/>
                <w:color w:val="auto"/>
              </w:rPr>
            </w:pPr>
          </w:p>
        </w:tc>
      </w:tr>
      <w:tr>
        <w:trPr>
          <w:trHeight w:val="100"/>
        </w:trPr>
        <w:tc>
          <w:tcPr>
            <w:tcW w:w="860" w:type="dxa"/>
            <w:vAlign w:val="bottom"/>
            <w:gridSpan w:val="2"/>
          </w:tcPr>
          <w:p>
            <w:pPr>
              <w:spacing w:after="0" w:line="100" w:lineRule="exact"/>
              <w:rPr>
                <w:sz w:val="20"/>
                <w:szCs w:val="20"/>
                <w:color w:val="auto"/>
              </w:rPr>
            </w:pPr>
            <w:r>
              <w:rPr>
                <w:rFonts w:ascii="Arial" w:cs="Arial" w:eastAsia="Arial" w:hAnsi="Arial"/>
                <w:sz w:val="9"/>
                <w:szCs w:val="9"/>
                <w:color w:val="auto"/>
              </w:rPr>
              <w:t>Balance, March 31,</w:t>
            </w: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2021</w:t>
            </w:r>
          </w:p>
        </w:tc>
        <w:tc>
          <w:tcPr>
            <w:tcW w:w="440" w:type="dxa"/>
            <w:vAlign w:val="bottom"/>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ind w:lef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tcPr>
          <w:p>
            <w:pPr>
              <w:spacing w:after="0" w:line="94" w:lineRule="exact"/>
              <w:rPr>
                <w:sz w:val="20"/>
                <w:szCs w:val="20"/>
                <w:color w:val="auto"/>
              </w:rPr>
            </w:pPr>
            <w:r>
              <w:rPr>
                <w:rFonts w:ascii="Arial" w:cs="Arial" w:eastAsia="Arial" w:hAnsi="Arial"/>
                <w:sz w:val="9"/>
                <w:szCs w:val="9"/>
                <w:u w:val="single" w:color="auto"/>
                <w:color w:val="auto"/>
                <w:w w:val="94"/>
              </w:rPr>
              <w:t>$</w:t>
            </w:r>
            <w:r>
              <w:rPr>
                <w:rFonts w:ascii="Arial" w:cs="Arial" w:eastAsia="Arial" w:hAnsi="Arial"/>
                <w:sz w:val="9"/>
                <w:szCs w:val="9"/>
                <w:color w:val="auto"/>
                <w:w w:val="94"/>
              </w:rPr>
              <w:t>2,998</w:t>
            </w:r>
          </w:p>
        </w:tc>
        <w:tc>
          <w:tcPr>
            <w:tcW w:w="560" w:type="dxa"/>
            <w:vAlign w:val="bottom"/>
            <w:gridSpan w:val="3"/>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tcPr>
          <w:p>
            <w:pPr>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tcPr>
          <w:p>
            <w:pPr>
              <w:jc w:val="right"/>
              <w:spacing w:after="0" w:line="94" w:lineRule="exact"/>
              <w:rPr>
                <w:sz w:val="20"/>
                <w:szCs w:val="20"/>
                <w:color w:val="auto"/>
              </w:rPr>
            </w:pPr>
            <w:r>
              <w:rPr>
                <w:rFonts w:ascii="Arial" w:cs="Arial" w:eastAsia="Arial" w:hAnsi="Arial"/>
                <w:sz w:val="9"/>
                <w:szCs w:val="9"/>
                <w:color w:val="auto"/>
              </w:rPr>
              <w:t>$</w:t>
            </w:r>
          </w:p>
        </w:tc>
        <w:tc>
          <w:tcPr>
            <w:tcW w:w="340" w:type="dxa"/>
            <w:vAlign w:val="bottom"/>
            <w:gridSpan w:val="2"/>
          </w:tcPr>
          <w:p>
            <w:pPr>
              <w:jc w:val="right"/>
              <w:ind w:right="60"/>
              <w:spacing w:after="0" w:line="94" w:lineRule="exact"/>
              <w:rPr>
                <w:sz w:val="20"/>
                <w:szCs w:val="20"/>
                <w:color w:val="auto"/>
              </w:rPr>
            </w:pPr>
            <w:r>
              <w:rPr>
                <w:rFonts w:ascii="Arial" w:cs="Arial" w:eastAsia="Arial" w:hAnsi="Arial"/>
                <w:sz w:val="9"/>
                <w:szCs w:val="9"/>
                <w:color w:val="auto"/>
                <w:w w:val="94"/>
              </w:rPr>
              <w:t>12,839</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$ 20,347</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$ 26,004</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tcPr>
          <w:p>
            <w:pPr>
              <w:jc w:val="center"/>
              <w:ind w:right="40"/>
              <w:spacing w:after="0" w:line="94" w:lineRule="exact"/>
              <w:rPr>
                <w:sz w:val="20"/>
                <w:szCs w:val="20"/>
                <w:color w:val="auto"/>
              </w:rPr>
            </w:pPr>
            <w:r>
              <w:rPr>
                <w:rFonts w:ascii="Arial" w:cs="Arial" w:eastAsia="Arial" w:hAnsi="Arial"/>
                <w:sz w:val="9"/>
                <w:szCs w:val="9"/>
                <w:color w:val="auto"/>
                <w:w w:val="91"/>
              </w:rPr>
              <w:t>$ 54,864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2,275,759</w:t>
            </w:r>
          </w:p>
        </w:tc>
        <w:tc>
          <w:tcPr>
            <w:tcW w:w="460" w:type="dxa"/>
            <w:vAlign w:val="bottom"/>
            <w:tcBorders>
              <w:right w:val="single" w:sz="8" w:color="auto"/>
            </w:tcBorders>
            <w:gridSpan w:val="2"/>
          </w:tcPr>
          <w:p>
            <w:pPr>
              <w:jc w:val="center"/>
              <w:spacing w:after="0" w:line="94" w:lineRule="exact"/>
              <w:rPr>
                <w:sz w:val="20"/>
                <w:szCs w:val="20"/>
                <w:color w:val="auto"/>
              </w:rPr>
            </w:pPr>
            <w:r>
              <w:rPr>
                <w:rFonts w:ascii="Arial" w:cs="Arial" w:eastAsia="Arial" w:hAnsi="Arial"/>
                <w:sz w:val="9"/>
                <w:szCs w:val="9"/>
                <w:color w:val="auto"/>
                <w:w w:val="91"/>
              </w:rPr>
              <w:t>$ 30,757</w:t>
            </w:r>
          </w:p>
        </w:tc>
        <w:tc>
          <w:tcPr>
            <w:tcW w:w="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8,239,494</w:t>
            </w:r>
          </w:p>
        </w:tc>
        <w:tc>
          <w:tcPr>
            <w:tcW w:w="20" w:type="dxa"/>
            <w:vAlign w:val="bottom"/>
          </w:tcPr>
          <w:p>
            <w:pPr>
              <w:spacing w:after="0"/>
              <w:rPr>
                <w:sz w:val="8"/>
                <w:szCs w:val="8"/>
                <w:color w:val="auto"/>
              </w:rPr>
            </w:pPr>
          </w:p>
        </w:tc>
        <w:tc>
          <w:tcPr>
            <w:tcW w:w="14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1,854</w:t>
            </w:r>
          </w:p>
        </w:tc>
        <w:tc>
          <w:tcPr>
            <w:tcW w:w="10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240</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w w:val="98"/>
              </w:rPr>
              <w:t>(122,463)</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(120,369)</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jc w:val="center"/>
        <w:ind w:right="-159"/>
        <w:spacing w:after="0"/>
        <w:rPr>
          <w:sz w:val="20"/>
          <w:szCs w:val="20"/>
          <w:color w:val="auto"/>
        </w:rPr>
      </w:pPr>
      <w:r>
        <w:rPr>
          <w:rFonts w:ascii="Arial" w:cs="Arial" w:eastAsia="Arial" w:hAnsi="Arial"/>
          <w:sz w:val="18"/>
          <w:szCs w:val="18"/>
          <w:color w:val="auto"/>
        </w:rPr>
        <w:t>(In thousands)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5"/>
            <w:shd w:val="clear" w:color="auto" w:fill="CCEEFF"/>
          </w:tcPr>
          <w:p>
            <w:pPr>
              <w:jc w:val="right"/>
              <w:ind w:right="229"/>
              <w:spacing w:after="0" w:line="154" w:lineRule="exact"/>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(31,085)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(30,994)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(10,501)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(8,607)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1,847</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Reduction in carrying amount of right-of-use asset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based compensation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Non-cash interest expense</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writeoff</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Gain on sale of property and equipment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discount on short-term investments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Changes in other assets and liabilities: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(5,505)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(5,525)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2,813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1,856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8,569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1,645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Lease liabilities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Net cash used in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(22,049)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(27,125)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(9,942)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short-term investments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(17,711)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(28,850)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(17,710)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short-term investments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28,571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30,470</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17,002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sale of property and equipment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acquisitions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(1,244)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A-2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10,883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A-2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3,948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C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D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54,929</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D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E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30,757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Deemed dividend to preferred stockholders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stock options exercised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line of credit, net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term loan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other borrowings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4,783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Repayment of other borrowings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finance lease obligations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financing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35,261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54,715</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19,752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25,240</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(10,362)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14,882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59,874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40,122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4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59,874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40,122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49,512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36,219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vMerge w:val="restart"/>
          </w:tcPr>
          <w:p>
            <w:pPr>
              <w:spacing w:after="0"/>
              <w:rPr>
                <w:sz w:val="5"/>
                <w:szCs w:val="5"/>
                <w:color w:val="auto"/>
              </w:rPr>
            </w:pPr>
          </w:p>
        </w:tc>
        <w:tc>
          <w:tcPr>
            <w:tcW w:w="6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rPr>
                <w:sz w:val="20"/>
                <w:szCs w:val="20"/>
                <w:color w:val="auto"/>
              </w:rPr>
            </w:pPr>
            <w:r>
              <w:rPr>
                <w:rFonts w:ascii="Arial" w:cs="Arial" w:eastAsia="Arial" w:hAnsi="Arial"/>
                <w:sz w:val="14"/>
                <w:szCs w:val="14"/>
                <w:color w:val="auto"/>
              </w:rPr>
              <w:t>Cash paid for interest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1,269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1,111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activity:</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rPr>
                <w:sz w:val="20"/>
                <w:szCs w:val="20"/>
                <w:color w:val="auto"/>
              </w:rPr>
            </w:pPr>
            <w:r>
              <w:rPr>
                <w:rFonts w:ascii="Arial" w:cs="Arial" w:eastAsia="Arial" w:hAnsi="Arial"/>
                <w:sz w:val="14"/>
                <w:szCs w:val="14"/>
                <w:color w:val="auto"/>
              </w:rPr>
              <w:t>Non-cash consideration issued in connection with the acquisition of Shift GmbH</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2,743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700" w:hanging="533"/>
        <w:spacing w:after="0"/>
        <w:tabs>
          <w:tab w:leader="none" w:pos="7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Xometry Inc. (“Xometry”, or the “Company”)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98" w:lineRule="exact"/>
        <w:rPr>
          <w:rFonts w:ascii="Arial" w:cs="Arial" w:eastAsia="Arial" w:hAnsi="Arial"/>
          <w:sz w:val="18"/>
          <w:szCs w:val="18"/>
          <w:b w:val="1"/>
          <w:bCs w:val="1"/>
          <w:color w:val="auto"/>
        </w:rPr>
      </w:pPr>
    </w:p>
    <w:p>
      <w:pPr>
        <w:ind w:left="720" w:right="1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95" w:lineRule="exact"/>
        <w:rPr>
          <w:rFonts w:ascii="Arial" w:cs="Arial" w:eastAsia="Arial" w:hAnsi="Arial"/>
          <w:sz w:val="18"/>
          <w:szCs w:val="18"/>
          <w:b w:val="1"/>
          <w:bCs w:val="1"/>
          <w:color w:val="auto"/>
        </w:rPr>
      </w:pPr>
    </w:p>
    <w:p>
      <w:pPr>
        <w:ind w:left="720" w:right="2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Machine Tool &amp; Supply Corporation (“MTS”), a machine and tool supplier, located in Tennessee and on November 26, 2019, the Company acquired Munich, Germany based Shift, an on-demand manufacturing marketplace in Europe.</w:t>
      </w:r>
    </w:p>
    <w:p>
      <w:pPr>
        <w:spacing w:after="0" w:line="327" w:lineRule="exact"/>
        <w:rPr>
          <w:rFonts w:ascii="Arial" w:cs="Arial" w:eastAsia="Arial" w:hAnsi="Arial"/>
          <w:sz w:val="18"/>
          <w:szCs w:val="18"/>
          <w:b w:val="1"/>
          <w:bCs w:val="1"/>
          <w:color w:val="auto"/>
        </w:rPr>
      </w:pPr>
    </w:p>
    <w:p>
      <w:pPr>
        <w:ind w:left="700" w:hanging="533"/>
        <w:spacing w:after="0"/>
        <w:tabs>
          <w:tab w:leader="none" w:pos="7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4" w:lineRule="exact"/>
        <w:rPr>
          <w:sz w:val="20"/>
          <w:szCs w:val="20"/>
          <w:color w:val="auto"/>
        </w:rPr>
      </w:pPr>
    </w:p>
    <w:p>
      <w:pPr>
        <w:ind w:left="1340" w:hanging="638"/>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Principles of Consolidation and Basis of Presentation</w:t>
      </w:r>
    </w:p>
    <w:p>
      <w:pPr>
        <w:spacing w:after="0" w:line="123" w:lineRule="exact"/>
        <w:rPr>
          <w:sz w:val="20"/>
          <w:szCs w:val="20"/>
          <w:color w:val="auto"/>
        </w:rPr>
      </w:pPr>
    </w:p>
    <w:p>
      <w:pPr>
        <w:ind w:left="1360" w:right="80"/>
        <w:spacing w:after="0" w:line="236" w:lineRule="auto"/>
        <w:rPr>
          <w:sz w:val="20"/>
          <w:szCs w:val="20"/>
          <w:color w:val="auto"/>
        </w:rPr>
      </w:pPr>
      <w:r>
        <w:rPr>
          <w:rFonts w:ascii="Arial" w:cs="Arial" w:eastAsia="Arial" w:hAnsi="Arial"/>
          <w:sz w:val="18"/>
          <w:szCs w:val="18"/>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Europe.</w:t>
      </w:r>
    </w:p>
    <w:p>
      <w:pPr>
        <w:spacing w:after="0" w:line="77"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19" w:lineRule="exact"/>
        <w:rPr>
          <w:sz w:val="20"/>
          <w:szCs w:val="20"/>
          <w:color w:val="auto"/>
        </w:rPr>
      </w:pPr>
    </w:p>
    <w:p>
      <w:pPr>
        <w:ind w:left="1360" w:right="60"/>
        <w:spacing w:after="0" w:line="234" w:lineRule="auto"/>
        <w:rPr>
          <w:sz w:val="20"/>
          <w:szCs w:val="20"/>
          <w:color w:val="auto"/>
        </w:rPr>
      </w:pPr>
      <w:r>
        <w:rPr>
          <w:rFonts w:ascii="Arial" w:cs="Arial" w:eastAsia="Arial" w:hAnsi="Arial"/>
          <w:sz w:val="18"/>
          <w:szCs w:val="18"/>
          <w:color w:val="auto"/>
        </w:rPr>
        <w:t>The U.S. dollar (“USD”) is the functional currency for Xometry’s consolidated subsidiary operating in the U.S. The functional currency for the Company’s consolidated subsidiary operating in Germany is the Euro (“EUR”). For the Company’s consolidated subsidiary whose functional currency is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90" w:lineRule="exact"/>
        <w:rPr>
          <w:sz w:val="20"/>
          <w:szCs w:val="20"/>
          <w:color w:val="auto"/>
        </w:rPr>
      </w:pPr>
    </w:p>
    <w:p>
      <w:pPr>
        <w:ind w:left="1340" w:hanging="638"/>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Interim Consolidated Financial Information</w:t>
      </w:r>
    </w:p>
    <w:p>
      <w:pPr>
        <w:spacing w:after="0" w:line="123" w:lineRule="exact"/>
        <w:rPr>
          <w:sz w:val="20"/>
          <w:szCs w:val="20"/>
          <w:color w:val="auto"/>
        </w:rPr>
      </w:pPr>
    </w:p>
    <w:p>
      <w:pPr>
        <w:ind w:left="1360" w:right="380"/>
        <w:spacing w:after="0" w:line="236" w:lineRule="auto"/>
        <w:rPr>
          <w:sz w:val="20"/>
          <w:szCs w:val="20"/>
          <w:color w:val="auto"/>
        </w:rPr>
      </w:pPr>
      <w:r>
        <w:rPr>
          <w:rFonts w:ascii="Arial" w:cs="Arial" w:eastAsia="Arial" w:hAnsi="Arial"/>
          <w:sz w:val="18"/>
          <w:szCs w:val="18"/>
          <w:color w:val="auto"/>
        </w:rPr>
        <w:t>The accompanying interim Consolidated Balance Sheet as of March 31, 2021 and the Consolidated Statements of Operations and Comprehensive Loss, Consolidated Statements of Changes in Convertible Preferred Stock and Stockholders’ Deficit, and Cash Flows for the three months ended March 31, 2021 and 2020, and the related footnote disclosures are unaudited. These unaudited interim consolidated financial statements have been prepared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00"/>
          </w:cols>
          <w:pgMar w:left="320" w:top="456" w:right="5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140"/>
        <w:spacing w:after="0" w:line="235" w:lineRule="auto"/>
        <w:rPr>
          <w:sz w:val="20"/>
          <w:szCs w:val="20"/>
          <w:color w:val="auto"/>
        </w:rPr>
      </w:pPr>
      <w:r>
        <w:rPr>
          <w:rFonts w:ascii="Arial" w:cs="Arial" w:eastAsia="Arial" w:hAnsi="Arial"/>
          <w:sz w:val="18"/>
          <w:szCs w:val="18"/>
          <w:color w:val="auto"/>
        </w:rPr>
        <w:t>in accordance with GAAP. In management’s opinion, the unaudited interim consolidated financial statements include all adjustments necessary to state fairly the Company’s financial position as of March 31, 2021 and its results of operations and cash flows for the three months ended March 31, 2021 and 2020. The financial data and the other information disclosed in these notes to the consolidated financial statements related to these three-month periods are unaudited. The results for the three months ended March 31, 2021 are not necessarily indicative of the results expected for the full year ending December 31, 2021 or any future period.</w:t>
      </w:r>
    </w:p>
    <w:p>
      <w:pPr>
        <w:spacing w:after="0" w:line="86" w:lineRule="exact"/>
        <w:rPr>
          <w:sz w:val="20"/>
          <w:szCs w:val="20"/>
          <w:color w:val="auto"/>
        </w:rPr>
      </w:pPr>
    </w:p>
    <w:p>
      <w:pPr>
        <w:ind w:left="1340" w:hanging="638"/>
        <w:spacing w:after="0"/>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pro forma balance sheet information</w:t>
      </w:r>
    </w:p>
    <w:p>
      <w:pPr>
        <w:spacing w:after="0" w:line="123"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The unaudited pro forma balance sheet information as of March 31, 2021 assumes the automatic conversion of all shares of convertible preferred stock outstanding as of that date into an aggregate of 27,758,941 shares of the Company’s common stock in connection with a qualifying initial public offering (“IPO”). The shares of common stock issuable and the proceeds expected to be received in connection with a qualifying IPO are excluded from such unaudited pro forma financial information. The unaudited pro forma balance sheet information as of March 31, 2021 also assumes the (i) filing of our amended and restated certificate of incorporation, (ii) the associated authorization of our Class A common stock and Class B common stock, (iii) the reclassification of our outstanding common stock into Class A common stock and (iv) the exchange of 2,676,154 shares of Class A common stock held by our co-founders for an equal number of shares of our Class B common stock, each of which will occur immediately prior to the completion of the IPO.</w:t>
      </w:r>
    </w:p>
    <w:p>
      <w:pPr>
        <w:spacing w:after="0" w:line="88" w:lineRule="exact"/>
        <w:rPr>
          <w:sz w:val="20"/>
          <w:szCs w:val="20"/>
          <w:color w:val="auto"/>
        </w:rPr>
      </w:pPr>
    </w:p>
    <w:p>
      <w:pPr>
        <w:ind w:left="1340" w:hanging="638"/>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Reclassifications</w:t>
      </w:r>
    </w:p>
    <w:p>
      <w:pPr>
        <w:spacing w:after="0" w:line="123" w:lineRule="exact"/>
        <w:rPr>
          <w:sz w:val="20"/>
          <w:szCs w:val="20"/>
          <w:color w:val="auto"/>
        </w:rPr>
      </w:pPr>
    </w:p>
    <w:p>
      <w:pPr>
        <w:ind w:left="1360" w:right="340"/>
        <w:spacing w:after="0" w:line="239" w:lineRule="auto"/>
        <w:rPr>
          <w:sz w:val="20"/>
          <w:szCs w:val="20"/>
          <w:color w:val="auto"/>
        </w:rPr>
      </w:pPr>
      <w:r>
        <w:rPr>
          <w:rFonts w:ascii="Arial" w:cs="Arial" w:eastAsia="Arial" w:hAnsi="Arial"/>
          <w:sz w:val="18"/>
          <w:szCs w:val="18"/>
          <w:color w:val="auto"/>
        </w:rPr>
        <w:t>Certain line items on the Company’s consolidated financial statements have been reclassified to conform to the current period presentation.</w:t>
      </w:r>
    </w:p>
    <w:p>
      <w:pPr>
        <w:spacing w:after="0" w:line="87" w:lineRule="exact"/>
        <w:rPr>
          <w:sz w:val="20"/>
          <w:szCs w:val="20"/>
          <w:color w:val="auto"/>
        </w:rPr>
      </w:pPr>
    </w:p>
    <w:p>
      <w:pPr>
        <w:ind w:left="1340" w:hanging="638"/>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Use of Estimates</w:t>
      </w:r>
    </w:p>
    <w:p>
      <w:pPr>
        <w:spacing w:after="0" w:line="123" w:lineRule="exact"/>
        <w:rPr>
          <w:sz w:val="20"/>
          <w:szCs w:val="20"/>
          <w:color w:val="auto"/>
        </w:rPr>
      </w:pPr>
    </w:p>
    <w:p>
      <w:pPr>
        <w:ind w:left="1360" w:right="80"/>
        <w:spacing w:after="0" w:line="237"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87" w:lineRule="exact"/>
        <w:rPr>
          <w:sz w:val="20"/>
          <w:szCs w:val="20"/>
          <w:color w:val="auto"/>
        </w:rPr>
      </w:pPr>
    </w:p>
    <w:p>
      <w:pPr>
        <w:ind w:left="1340" w:hanging="638"/>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Business Combinations</w:t>
      </w:r>
    </w:p>
    <w:p>
      <w:pPr>
        <w:spacing w:after="0" w:line="123" w:lineRule="exact"/>
        <w:rPr>
          <w:sz w:val="20"/>
          <w:szCs w:val="20"/>
          <w:color w:val="auto"/>
        </w:rPr>
      </w:pPr>
    </w:p>
    <w:p>
      <w:pPr>
        <w:ind w:left="1360" w:right="160"/>
        <w:spacing w:after="0" w:line="234"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Acquisition costs, such as legal and consulting fees, are expensed as incurred.</w:t>
      </w:r>
    </w:p>
    <w:p>
      <w:pPr>
        <w:spacing w:after="0" w:line="89" w:lineRule="exact"/>
        <w:rPr>
          <w:sz w:val="20"/>
          <w:szCs w:val="20"/>
          <w:color w:val="auto"/>
        </w:rPr>
      </w:pPr>
    </w:p>
    <w:p>
      <w:pPr>
        <w:ind w:left="1340" w:hanging="638"/>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Measurements and Financial Instruments</w:t>
      </w:r>
    </w:p>
    <w:p>
      <w:pPr>
        <w:spacing w:after="0" w:line="123" w:lineRule="exact"/>
        <w:rPr>
          <w:sz w:val="20"/>
          <w:szCs w:val="20"/>
          <w:color w:val="auto"/>
        </w:rPr>
      </w:pPr>
    </w:p>
    <w:p>
      <w:pPr>
        <w:ind w:left="1360" w:right="100"/>
        <w:spacing w:after="0" w:line="236" w:lineRule="auto"/>
        <w:rPr>
          <w:sz w:val="20"/>
          <w:szCs w:val="20"/>
          <w:color w:val="auto"/>
        </w:rPr>
      </w:pPr>
      <w:r>
        <w:rPr>
          <w:rFonts w:ascii="Arial" w:cs="Arial" w:eastAsia="Arial" w:hAnsi="Arial"/>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360" w:right="280"/>
        <w:spacing w:after="0" w:line="237" w:lineRule="auto"/>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01" w:lineRule="exact"/>
        <w:rPr>
          <w:sz w:val="20"/>
          <w:szCs w:val="20"/>
          <w:color w:val="auto"/>
        </w:rPr>
      </w:pPr>
    </w:p>
    <w:p>
      <w:pPr>
        <w:ind w:left="1360"/>
        <w:spacing w:after="0" w:line="257" w:lineRule="auto"/>
        <w:rPr>
          <w:sz w:val="20"/>
          <w:szCs w:val="20"/>
          <w:color w:val="auto"/>
        </w:rPr>
      </w:pPr>
      <w:r>
        <w:rPr>
          <w:rFonts w:ascii="Arial" w:cs="Arial" w:eastAsia="Arial" w:hAnsi="Arial"/>
          <w:sz w:val="17"/>
          <w:szCs w:val="17"/>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81" w:lineRule="exact"/>
        <w:rPr>
          <w:sz w:val="20"/>
          <w:szCs w:val="20"/>
          <w:color w:val="auto"/>
        </w:rPr>
      </w:pPr>
    </w:p>
    <w:p>
      <w:pPr>
        <w:ind w:left="1360" w:right="320"/>
        <w:spacing w:after="0" w:line="237" w:lineRule="auto"/>
        <w:rPr>
          <w:sz w:val="20"/>
          <w:szCs w:val="20"/>
          <w:color w:val="auto"/>
        </w:rPr>
      </w:pPr>
      <w:r>
        <w:rPr>
          <w:rFonts w:ascii="Arial" w:cs="Arial" w:eastAsia="Arial" w:hAnsi="Arial"/>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96" w:lineRule="exact"/>
        <w:rPr>
          <w:sz w:val="20"/>
          <w:szCs w:val="20"/>
          <w:color w:val="auto"/>
        </w:rPr>
      </w:pPr>
    </w:p>
    <w:p>
      <w:pPr>
        <w:ind w:left="1360" w:right="100"/>
        <w:spacing w:after="0" w:line="236" w:lineRule="auto"/>
        <w:rPr>
          <w:sz w:val="20"/>
          <w:szCs w:val="20"/>
          <w:color w:val="auto"/>
        </w:rPr>
      </w:pPr>
      <w:r>
        <w:rPr>
          <w:rFonts w:ascii="Arial" w:cs="Arial" w:eastAsia="Arial" w:hAnsi="Arial"/>
          <w:sz w:val="18"/>
          <w:szCs w:val="18"/>
          <w:color w:val="auto"/>
        </w:rPr>
        <w:t>The carrying amounts of certain of the Company’s financial instruments, which include cash equivalents, short-term investments, accounts receivable, prepaid expenses and other assets, accounts payable, accrued expenses and contract liabilities approximate their fair values due to their short maturities. The carrying value of the Company’s long-term debt, which is recorded at cost, approximates its fair value due to its expected repayment in 2021.</w:t>
      </w:r>
    </w:p>
    <w:p>
      <w:pPr>
        <w:spacing w:after="0" w:line="87" w:lineRule="exact"/>
        <w:rPr>
          <w:sz w:val="20"/>
          <w:szCs w:val="20"/>
          <w:color w:val="auto"/>
        </w:rPr>
      </w:pPr>
    </w:p>
    <w:p>
      <w:pPr>
        <w:ind w:left="1340" w:hanging="638"/>
        <w:spacing w:after="0"/>
        <w:tabs>
          <w:tab w:leader="none" w:pos="134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123" w:lineRule="exact"/>
        <w:rPr>
          <w:sz w:val="20"/>
          <w:szCs w:val="20"/>
          <w:color w:val="auto"/>
        </w:rPr>
      </w:pPr>
    </w:p>
    <w:p>
      <w:pPr>
        <w:ind w:left="1360" w:right="580"/>
        <w:spacing w:after="0" w:line="237" w:lineRule="auto"/>
        <w:rPr>
          <w:sz w:val="20"/>
          <w:szCs w:val="20"/>
          <w:color w:val="auto"/>
        </w:rPr>
      </w:pPr>
      <w:r>
        <w:rPr>
          <w:rFonts w:ascii="Arial" w:cs="Arial" w:eastAsia="Arial" w:hAnsi="Arial"/>
          <w:sz w:val="18"/>
          <w:szCs w:val="18"/>
          <w:color w:val="auto"/>
        </w:rPr>
        <w:t>Cash and cash equivalents consist of cash held in checking accounts and investments in money market funds. The Company considers all highly liquid securities purchased with an initial maturity of three months or less to be cash equivalents. These investments are stated at cost, which approximates fair value.</w:t>
      </w:r>
    </w:p>
    <w:p>
      <w:pPr>
        <w:spacing w:after="0" w:line="87" w:lineRule="exact"/>
        <w:rPr>
          <w:sz w:val="20"/>
          <w:szCs w:val="20"/>
          <w:color w:val="auto"/>
        </w:rPr>
      </w:pPr>
    </w:p>
    <w:p>
      <w:pPr>
        <w:ind w:left="1340" w:hanging="638"/>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Short-term Investments</w:t>
      </w:r>
    </w:p>
    <w:p>
      <w:pPr>
        <w:spacing w:after="0" w:line="123" w:lineRule="exact"/>
        <w:rPr>
          <w:sz w:val="20"/>
          <w:szCs w:val="20"/>
          <w:color w:val="auto"/>
        </w:rPr>
      </w:pPr>
    </w:p>
    <w:p>
      <w:pPr>
        <w:ind w:left="1360" w:right="140"/>
        <w:spacing w:after="0" w:line="235" w:lineRule="auto"/>
        <w:rPr>
          <w:sz w:val="20"/>
          <w:szCs w:val="20"/>
          <w:color w:val="auto"/>
        </w:rPr>
      </w:pPr>
      <w:r>
        <w:rPr>
          <w:rFonts w:ascii="Arial" w:cs="Arial" w:eastAsia="Arial" w:hAnsi="Arial"/>
          <w:sz w:val="18"/>
          <w:szCs w:val="18"/>
          <w:color w:val="auto"/>
        </w:rPr>
        <w:t>The Company invested in various short-term debt investments consisting of US Treasury Securities, US Government bonds, and commercial paper. All of the investments have original maturity dates that are 6 months or less. These securities have been classified as held to maturity on the Company’s balance sheet and are recorded at amortized cost. Because of the short-term nature of the investments, carrying value approximates fair value. The Company had no short-term investments at March 31, 2021 (unaudited) and December 31, 2020 and $10.9 million of short-term investments at December 31, 2019.</w:t>
      </w:r>
    </w:p>
    <w:p>
      <w:pPr>
        <w:spacing w:after="0" w:line="86" w:lineRule="exact"/>
        <w:rPr>
          <w:sz w:val="20"/>
          <w:szCs w:val="20"/>
          <w:color w:val="auto"/>
        </w:rPr>
      </w:pPr>
    </w:p>
    <w:p>
      <w:pPr>
        <w:ind w:left="1340" w:hanging="638"/>
        <w:spacing w:after="0"/>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123" w:lineRule="exact"/>
        <w:rPr>
          <w:sz w:val="20"/>
          <w:szCs w:val="20"/>
          <w:color w:val="auto"/>
        </w:rPr>
      </w:pPr>
    </w:p>
    <w:p>
      <w:pPr>
        <w:ind w:left="1360" w:right="140"/>
        <w:spacing w:after="0" w:line="234"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90" w:lineRule="exact"/>
        <w:rPr>
          <w:sz w:val="20"/>
          <w:szCs w:val="20"/>
          <w:color w:val="auto"/>
        </w:rPr>
      </w:pPr>
    </w:p>
    <w:p>
      <w:pPr>
        <w:ind w:left="1340" w:hanging="638"/>
        <w:spacing w:after="0"/>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Inventory</w:t>
      </w:r>
    </w:p>
    <w:p>
      <w:pPr>
        <w:spacing w:after="0" w:line="123" w:lineRule="exact"/>
        <w:rPr>
          <w:sz w:val="20"/>
          <w:szCs w:val="20"/>
          <w:color w:val="auto"/>
        </w:rPr>
      </w:pPr>
    </w:p>
    <w:p>
      <w:pPr>
        <w:ind w:left="1360" w:right="260"/>
        <w:spacing w:after="0" w:line="236" w:lineRule="auto"/>
        <w:rPr>
          <w:sz w:val="20"/>
          <w:szCs w:val="20"/>
          <w:color w:val="auto"/>
        </w:rPr>
      </w:pPr>
      <w:r>
        <w:rPr>
          <w:rFonts w:ascii="Arial" w:cs="Arial" w:eastAsia="Arial" w:hAnsi="Arial"/>
          <w:sz w:val="18"/>
          <w:szCs w:val="18"/>
          <w:color w:val="auto"/>
        </w:rPr>
        <w:t>Inventory consists primarily of work-in-progress, raw materials and tools.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20"/>
          </w:cols>
          <w:pgMar w:left="320" w:top="456" w:right="5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340" w:hanging="638"/>
        <w:spacing w:after="0"/>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123" w:lineRule="exact"/>
        <w:rPr>
          <w:sz w:val="20"/>
          <w:szCs w:val="20"/>
          <w:color w:val="auto"/>
        </w:rPr>
      </w:pPr>
    </w:p>
    <w:p>
      <w:pPr>
        <w:ind w:left="1360" w:right="80"/>
        <w:spacing w:after="0" w:line="236"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95" w:lineRule="exact"/>
        <w:rPr>
          <w:sz w:val="20"/>
          <w:szCs w:val="20"/>
          <w:color w:val="auto"/>
        </w:rPr>
      </w:pPr>
    </w:p>
    <w:p>
      <w:pPr>
        <w:ind w:left="1360" w:right="60"/>
        <w:spacing w:after="0" w:line="249" w:lineRule="auto"/>
        <w:rPr>
          <w:sz w:val="20"/>
          <w:szCs w:val="20"/>
          <w:color w:val="auto"/>
        </w:rPr>
      </w:pPr>
      <w:r>
        <w:rPr>
          <w:rFonts w:ascii="Arial" w:cs="Arial" w:eastAsia="Arial" w:hAnsi="Arial"/>
          <w:sz w:val="17"/>
          <w:szCs w:val="17"/>
          <w:color w:val="auto"/>
        </w:rPr>
        <w:t>Property and equipment and intangibles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92"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$3.6 million and $1.5 million for the years ended December 31, 2020 and 2019, respectively and $1.2 million for the quarter ended March 31, 2021 (unaudited).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90" w:lineRule="exact"/>
        <w:rPr>
          <w:sz w:val="20"/>
          <w:szCs w:val="20"/>
          <w:color w:val="auto"/>
        </w:rPr>
      </w:pPr>
    </w:p>
    <w:p>
      <w:pPr>
        <w:ind w:left="1340" w:hanging="638"/>
        <w:spacing w:after="0"/>
        <w:tabs>
          <w:tab w:leader="none" w:pos="134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360" w:right="120"/>
        <w:spacing w:after="0" w:line="236" w:lineRule="auto"/>
        <w:rPr>
          <w:sz w:val="20"/>
          <w:szCs w:val="20"/>
          <w:color w:val="auto"/>
        </w:rPr>
      </w:pPr>
      <w:r>
        <w:rPr>
          <w:rFonts w:ascii="Arial" w:cs="Arial" w:eastAsia="Arial" w:hAnsi="Arial"/>
          <w:sz w:val="18"/>
          <w:szCs w:val="18"/>
          <w:color w:val="auto"/>
        </w:rPr>
        <w:t>The Company derives substantially all of its revenue in the U.S. and Europe from the sale of parts and assemblies fulfilled using a vast network of manufacturers. The Company recognizes revenue from the sales to its buyers pursuant to Financial Accounting Standard Board’s (“FASB”) Accounting Standards Codification (“ASC”) Topic 606, Revenue from Contracts with Customers (“ASC 606”).</w:t>
      </w:r>
    </w:p>
    <w:p>
      <w:pPr>
        <w:spacing w:after="0" w:line="95" w:lineRule="exact"/>
        <w:rPr>
          <w:sz w:val="20"/>
          <w:szCs w:val="20"/>
          <w:color w:val="auto"/>
        </w:rPr>
      </w:pPr>
    </w:p>
    <w:p>
      <w:pPr>
        <w:ind w:left="1360" w:right="140"/>
        <w:spacing w:after="0" w:line="234"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99" w:lineRule="exact"/>
        <w:rPr>
          <w:sz w:val="20"/>
          <w:szCs w:val="20"/>
          <w:color w:val="auto"/>
        </w:rPr>
      </w:pPr>
    </w:p>
    <w:p>
      <w:pPr>
        <w:ind w:left="1360" w:right="20"/>
        <w:spacing w:after="0" w:line="234" w:lineRule="auto"/>
        <w:rPr>
          <w:sz w:val="20"/>
          <w:szCs w:val="20"/>
          <w:color w:val="auto"/>
        </w:rPr>
      </w:pPr>
      <w:r>
        <w:rPr>
          <w:rFonts w:ascii="Arial" w:cs="Arial" w:eastAsia="Arial" w:hAnsi="Arial"/>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360" w:right="200"/>
        <w:spacing w:after="0" w:line="237" w:lineRule="auto"/>
        <w:rPr>
          <w:sz w:val="20"/>
          <w:szCs w:val="20"/>
          <w:color w:val="auto"/>
        </w:rPr>
      </w:pPr>
      <w:r>
        <w:rPr>
          <w:rFonts w:ascii="Arial" w:cs="Arial" w:eastAsia="Arial" w:hAnsi="Arial"/>
          <w:sz w:val="18"/>
          <w:szCs w:val="18"/>
          <w:color w:val="auto"/>
        </w:rPr>
        <w:t>Revenue is shown net of estimated returns, refunds, and allowances. At March 31, 2021 (unaudited) and December 31, 2020, the Company has a $0.1 million provision for estimated returns, refunds or allowances. There was no provision for estimated returns, refunds or allowances at December 31, 2019.</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Contract Liabilities</w:t>
      </w:r>
    </w:p>
    <w:p>
      <w:pPr>
        <w:spacing w:after="0" w:line="119" w:lineRule="exact"/>
        <w:rPr>
          <w:sz w:val="20"/>
          <w:szCs w:val="20"/>
          <w:color w:val="auto"/>
        </w:rPr>
      </w:pPr>
    </w:p>
    <w:p>
      <w:pPr>
        <w:ind w:left="1360" w:right="60"/>
        <w:spacing w:after="0" w:line="237" w:lineRule="auto"/>
        <w:rPr>
          <w:sz w:val="20"/>
          <w:szCs w:val="20"/>
          <w:color w:val="auto"/>
        </w:rPr>
      </w:pPr>
      <w:r>
        <w:rPr>
          <w:rFonts w:ascii="Arial" w:cs="Arial" w:eastAsia="Arial" w:hAnsi="Arial"/>
          <w:sz w:val="18"/>
          <w:szCs w:val="18"/>
          <w:color w:val="auto"/>
        </w:rPr>
        <w:t>Contract liabilities are primarily derived from customer credit card payments received at the time an order is placed, for which the associated performance obligations have not been satisfied and revenue has not been recognized based on the Company’s revenue recognition criteria described above.</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following table is a summary of the contract liabilities (in thousands):</w:t>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Rollforward of contract liabilities: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Contract liabilities at December 31, 2018</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6"/>
              </w:rPr>
              <w:t>$ 1,185</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(1,185)</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1,821</w:t>
            </w:r>
          </w:p>
        </w:tc>
      </w:tr>
      <w:tr>
        <w:trPr>
          <w:trHeight w:val="27"/>
        </w:trPr>
        <w:tc>
          <w:tcPr>
            <w:tcW w:w="7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at December 31, 2019</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6"/>
              </w:rPr>
              <w:t>$ 1,821</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(1,821)</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2,355</w:t>
            </w:r>
          </w:p>
        </w:tc>
      </w:tr>
      <w:tr>
        <w:trPr>
          <w:trHeight w:val="20"/>
        </w:trPr>
        <w:tc>
          <w:tcPr>
            <w:tcW w:w="7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8"/>
                <w:szCs w:val="18"/>
                <w:color w:val="auto"/>
              </w:rPr>
              <w:t>Contract liabilities at December 31, 2020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$ 2,355</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(2,355)</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3,927</w:t>
            </w:r>
          </w:p>
        </w:tc>
      </w:tr>
      <w:tr>
        <w:trPr>
          <w:trHeight w:val="27"/>
        </w:trPr>
        <w:tc>
          <w:tcPr>
            <w:tcW w:w="7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at March 31, 2021 (unaudited)</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6"/>
              </w:rPr>
              <w:t>$ 3,927</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2"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Sales Contract Acquisition Costs</w:t>
      </w:r>
    </w:p>
    <w:p>
      <w:pPr>
        <w:spacing w:after="0" w:line="119" w:lineRule="exact"/>
        <w:rPr>
          <w:sz w:val="20"/>
          <w:szCs w:val="20"/>
          <w:color w:val="auto"/>
        </w:rPr>
      </w:pPr>
    </w:p>
    <w:p>
      <w:pPr>
        <w:ind w:left="1360" w:right="20"/>
        <w:spacing w:after="0" w:line="235" w:lineRule="auto"/>
        <w:rPr>
          <w:sz w:val="20"/>
          <w:szCs w:val="20"/>
          <w:color w:val="auto"/>
        </w:rPr>
      </w:pPr>
      <w:r>
        <w:rPr>
          <w:rFonts w:ascii="Arial" w:cs="Arial" w:eastAsia="Arial" w:hAnsi="Arial"/>
          <w:sz w:val="18"/>
          <w:szCs w:val="18"/>
          <w:color w:val="auto"/>
        </w:rPr>
        <w:t>The Company’s incremental costs to obtain a contract may include a sales commission which is generally determined on a per order basis. The Company expenses sales commissions when earned, given the short period until the fulfillment of customer orders. The Company elected the practical expedient, allowed under Topic 606, to expense costs to obtain a contract as incurred when the amortization period would have been one year or less. Sales commissions Xometry pay are included in Xometry’s sales and marketing expenses in the Consolidated Statements of Operations and Comprehensive Loss.</w:t>
      </w:r>
    </w:p>
    <w:p>
      <w:pPr>
        <w:spacing w:after="0" w:line="86" w:lineRule="exact"/>
        <w:rPr>
          <w:sz w:val="20"/>
          <w:szCs w:val="20"/>
          <w:color w:val="auto"/>
        </w:rPr>
      </w:pPr>
    </w:p>
    <w:p>
      <w:pPr>
        <w:ind w:left="1340" w:hanging="638"/>
        <w:spacing w:after="0"/>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360" w:right="140"/>
        <w:spacing w:after="0" w:line="239" w:lineRule="auto"/>
        <w:rPr>
          <w:sz w:val="20"/>
          <w:szCs w:val="20"/>
          <w:color w:val="auto"/>
        </w:rPr>
      </w:pPr>
      <w:r>
        <w:rPr>
          <w:rFonts w:ascii="Arial" w:cs="Arial" w:eastAsia="Arial" w:hAnsi="Arial"/>
          <w:sz w:val="18"/>
          <w:szCs w:val="18"/>
          <w:color w:val="auto"/>
        </w:rPr>
        <w:t>Cost of revenue primarily consists of the cost of the products that are manufactured by the Company’s sellers for delivery to buyers on Xometry’s platform, internal production costs, shipping costs and certain internal depreciation.</w:t>
      </w:r>
    </w:p>
    <w:p>
      <w:pPr>
        <w:spacing w:after="0" w:line="87" w:lineRule="exact"/>
        <w:rPr>
          <w:sz w:val="20"/>
          <w:szCs w:val="20"/>
          <w:color w:val="auto"/>
        </w:rPr>
      </w:pPr>
    </w:p>
    <w:p>
      <w:pPr>
        <w:ind w:left="1340" w:hanging="638"/>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105" w:lineRule="exact"/>
        <w:rPr>
          <w:sz w:val="20"/>
          <w:szCs w:val="20"/>
          <w:color w:val="auto"/>
        </w:rPr>
      </w:pPr>
    </w:p>
    <w:p>
      <w:pPr>
        <w:ind w:left="1360" w:right="220"/>
        <w:spacing w:after="0" w:line="242" w:lineRule="auto"/>
        <w:rPr>
          <w:sz w:val="20"/>
          <w:szCs w:val="20"/>
          <w:color w:val="auto"/>
        </w:rPr>
      </w:pPr>
      <w:r>
        <w:rPr>
          <w:rFonts w:ascii="Arial" w:cs="Arial" w:eastAsia="Arial" w:hAnsi="Arial"/>
          <w:sz w:val="18"/>
          <w:szCs w:val="18"/>
          <w:color w:val="auto"/>
        </w:rPr>
        <w:t xml:space="preserve">On January 1, 2019, the Company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method. On January 1, 2019, the Company recognized $2.6 million of right of use (“ROU”) operating lease assets and $2.8 million of operating lease liabilities, including noncurrent operating lease liabilities of $2.2 million, as a result of adopting this standard.</w:t>
      </w:r>
    </w:p>
    <w:p>
      <w:pPr>
        <w:spacing w:after="0" w:line="93" w:lineRule="exact"/>
        <w:rPr>
          <w:sz w:val="20"/>
          <w:szCs w:val="20"/>
          <w:color w:val="auto"/>
        </w:rPr>
      </w:pPr>
    </w:p>
    <w:p>
      <w:pPr>
        <w:ind w:left="1360"/>
        <w:spacing w:after="0" w:line="235" w:lineRule="auto"/>
        <w:rPr>
          <w:sz w:val="20"/>
          <w:szCs w:val="20"/>
          <w:color w:val="auto"/>
        </w:rPr>
      </w:pPr>
      <w:r>
        <w:rPr>
          <w:rFonts w:ascii="Arial" w:cs="Arial" w:eastAsia="Arial" w:hAnsi="Arial"/>
          <w:sz w:val="18"/>
          <w:szCs w:val="18"/>
          <w:color w:val="auto"/>
        </w:rPr>
        <w:t>The new standard provides several optional practical expedients for use in transition. The Company elected to use what the FASB deemed the “package of practical expedients,” which allows the Company not to reassess the Company’s previous conclusions about lease identification, lease classification and the accounting treatment for initial direct costs. The standard also provided several optional practical expedients for the ongoing accounting for leases. The Company has elected the short-term lease recognition exemption for all</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40"/>
          </w:cols>
          <w:pgMar w:left="320" w:top="456" w:right="5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180"/>
        <w:spacing w:after="0" w:line="235" w:lineRule="auto"/>
        <w:rPr>
          <w:sz w:val="20"/>
          <w:szCs w:val="20"/>
          <w:color w:val="auto"/>
        </w:rPr>
      </w:pPr>
      <w:r>
        <w:rPr>
          <w:rFonts w:ascii="Arial" w:cs="Arial" w:eastAsia="Arial" w:hAnsi="Arial"/>
          <w:sz w:val="18"/>
          <w:szCs w:val="18"/>
          <w:color w:val="auto"/>
        </w:rPr>
        <w:t>leases that qualify, meaning that for leases with terms of twelve months or less, the Company will not recognize ROU assets or lease liabilities on the Consolidated Balance Sheets. Additionally, the Company has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97" w:lineRule="exact"/>
        <w:rPr>
          <w:sz w:val="20"/>
          <w:szCs w:val="20"/>
          <w:color w:val="auto"/>
        </w:rPr>
      </w:pPr>
    </w:p>
    <w:p>
      <w:pPr>
        <w:ind w:left="1360" w:right="40"/>
        <w:spacing w:after="0" w:line="236" w:lineRule="auto"/>
        <w:rPr>
          <w:sz w:val="20"/>
          <w:szCs w:val="20"/>
          <w:color w:val="auto"/>
        </w:rPr>
      </w:pPr>
      <w:r>
        <w:rPr>
          <w:rFonts w:ascii="Arial" w:cs="Arial" w:eastAsia="Arial" w:hAnsi="Arial"/>
          <w:sz w:val="18"/>
          <w:szCs w:val="18"/>
          <w:color w:val="auto"/>
        </w:rPr>
        <w:t>The Company determines if an arrangement contains a lease and the classification of that lease, if applicable, at inception. Operating leases are included in operating lease ROU assets, operating lease liabilities and operating lease liabilities (net of current portion) in the Consolidated Balance Sheets. The Company has finance leases as detailed in the Long-Lived Assets section above.</w:t>
      </w:r>
    </w:p>
    <w:p>
      <w:pPr>
        <w:spacing w:after="0" w:line="95"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92" w:lineRule="exact"/>
        <w:rPr>
          <w:sz w:val="20"/>
          <w:szCs w:val="20"/>
          <w:color w:val="auto"/>
        </w:rPr>
      </w:pPr>
    </w:p>
    <w:p>
      <w:pPr>
        <w:ind w:left="1340" w:hanging="638"/>
        <w:spacing w:after="0"/>
        <w:tabs>
          <w:tab w:leader="none" w:pos="134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ind w:left="1360" w:right="180"/>
        <w:spacing w:after="0" w:line="251" w:lineRule="auto"/>
        <w:rPr>
          <w:sz w:val="20"/>
          <w:szCs w:val="20"/>
          <w:color w:val="auto"/>
        </w:rPr>
      </w:pPr>
      <w:r>
        <w:rPr>
          <w:rFonts w:ascii="Arial" w:cs="Arial" w:eastAsia="Arial" w:hAnsi="Arial"/>
          <w:sz w:val="17"/>
          <w:szCs w:val="17"/>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years ended December 31, 2020 and 2019, the Company’s advertising costs were $12.0 million and $7.9 million, respectively. For the quarters ended March 31, 2021 and 2020 (unaudited), the Company’s advertising costs were $4.2 million and $2.4 million, respectively.</w:t>
      </w:r>
    </w:p>
    <w:p>
      <w:pPr>
        <w:spacing w:after="0" w:line="79" w:lineRule="exact"/>
        <w:rPr>
          <w:sz w:val="20"/>
          <w:szCs w:val="20"/>
          <w:color w:val="auto"/>
        </w:rPr>
      </w:pPr>
    </w:p>
    <w:p>
      <w:pPr>
        <w:ind w:left="1340" w:hanging="638"/>
        <w:spacing w:after="0"/>
        <w:tabs>
          <w:tab w:leader="none" w:pos="134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Operations and Support</w:t>
      </w:r>
    </w:p>
    <w:p>
      <w:pPr>
        <w:spacing w:after="0" w:line="123" w:lineRule="exact"/>
        <w:rPr>
          <w:sz w:val="20"/>
          <w:szCs w:val="20"/>
          <w:color w:val="auto"/>
        </w:rPr>
      </w:pPr>
    </w:p>
    <w:p>
      <w:pPr>
        <w:ind w:left="1360" w:right="20"/>
        <w:spacing w:after="0" w:line="236"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87" w:lineRule="exact"/>
        <w:rPr>
          <w:sz w:val="20"/>
          <w:szCs w:val="20"/>
          <w:color w:val="auto"/>
        </w:rPr>
      </w:pPr>
    </w:p>
    <w:p>
      <w:pPr>
        <w:ind w:left="1340" w:hanging="638"/>
        <w:spacing w:after="0"/>
        <w:tabs>
          <w:tab w:leader="none" w:pos="1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Product Development</w:t>
      </w:r>
    </w:p>
    <w:p>
      <w:pPr>
        <w:spacing w:after="0" w:line="123" w:lineRule="exact"/>
        <w:rPr>
          <w:sz w:val="20"/>
          <w:szCs w:val="20"/>
          <w:color w:val="auto"/>
        </w:rPr>
      </w:pPr>
    </w:p>
    <w:p>
      <w:pPr>
        <w:jc w:val="both"/>
        <w:ind w:left="1360" w:right="240"/>
        <w:spacing w:after="0" w:line="237"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87" w:lineRule="exact"/>
        <w:rPr>
          <w:sz w:val="20"/>
          <w:szCs w:val="20"/>
          <w:color w:val="auto"/>
        </w:rPr>
      </w:pPr>
    </w:p>
    <w:p>
      <w:pPr>
        <w:ind w:left="1340" w:hanging="638"/>
        <w:spacing w:after="0"/>
        <w:tabs>
          <w:tab w:leader="none" w:pos="1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360" w:right="660"/>
        <w:spacing w:after="0" w:line="237"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340" w:hanging="638"/>
        <w:spacing w:after="0"/>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Stock Based Compensation</w:t>
      </w:r>
    </w:p>
    <w:p>
      <w:pPr>
        <w:spacing w:after="0" w:line="123" w:lineRule="exact"/>
        <w:rPr>
          <w:sz w:val="20"/>
          <w:szCs w:val="20"/>
          <w:color w:val="auto"/>
        </w:rPr>
      </w:pPr>
    </w:p>
    <w:p>
      <w:pPr>
        <w:jc w:val="both"/>
        <w:ind w:left="1360" w:right="40"/>
        <w:spacing w:after="0" w:line="237" w:lineRule="auto"/>
        <w:rPr>
          <w:sz w:val="20"/>
          <w:szCs w:val="20"/>
          <w:color w:val="auto"/>
        </w:rPr>
      </w:pPr>
      <w:r>
        <w:rPr>
          <w:rFonts w:ascii="Arial" w:cs="Arial" w:eastAsia="Arial" w:hAnsi="Arial"/>
          <w:sz w:val="18"/>
          <w:szCs w:val="18"/>
          <w:color w:val="auto"/>
        </w:rPr>
        <w:t>Stock option awards are measured at the grant date fair value of the award. The Company estimates grant date fair value using the Black-Scholes option-pricing model. The fair value of stock options is recognized as compensation expense on a straight-line basis over the requisite service period, which is typically four years.</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Black-Scholes model considers several variables and assumptions in estimating the fair value of stock-based awards.</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These variables include:</w:t>
      </w:r>
    </w:p>
    <w:p>
      <w:pPr>
        <w:spacing w:after="0" w:line="114" w:lineRule="exact"/>
        <w:rPr>
          <w:sz w:val="20"/>
          <w:szCs w:val="20"/>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01" w:lineRule="exact"/>
        <w:rPr>
          <w:sz w:val="20"/>
          <w:szCs w:val="20"/>
          <w:color w:val="auto"/>
        </w:rPr>
      </w:pPr>
    </w:p>
    <w:p>
      <w:pPr>
        <w:ind w:left="1360"/>
        <w:spacing w:after="0" w:line="235" w:lineRule="auto"/>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The Company’s common stock is not publicly traded, and therefore, the Company used the historical volatility of the stock price of similar publicly traded peer companies. The Company utilized a dividend yield of zero, as it had no history or plan of declaring dividends on its common stock.</w:t>
      </w:r>
    </w:p>
    <w:p>
      <w:pPr>
        <w:spacing w:after="0" w:line="97"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Total stock-based compensation cost for the years ended December 31, 2020 and 2019 and for the quarters ended March 31, 2021 and 2020 (unaudited) were as follows (amounts in thousands):</w:t>
      </w:r>
    </w:p>
    <w:p>
      <w:pPr>
        <w:spacing w:after="0" w:line="217" w:lineRule="exact"/>
        <w:rPr>
          <w:sz w:val="20"/>
          <w:szCs w:val="20"/>
          <w:color w:val="auto"/>
        </w:rPr>
      </w:pPr>
    </w:p>
    <w:tbl>
      <w:tblPr>
        <w:tblLayout w:type="fixed"/>
        <w:tblInd w:w="148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4"/>
        </w:trPr>
        <w:tc>
          <w:tcPr>
            <w:tcW w:w="5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5"/>
          </w:tcPr>
          <w:p>
            <w:pPr>
              <w:jc w:val="right"/>
              <w:ind w:right="171"/>
              <w:spacing w:after="0" w:line="154"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3"/>
                <w:szCs w:val="13"/>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156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93</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23</w:t>
            </w: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Operations and support</w:t>
            </w:r>
          </w:p>
        </w:tc>
        <w:tc>
          <w:tcPr>
            <w:tcW w:w="12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w w:val="86"/>
              </w:rPr>
              <w:t>259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3"/>
              </w:rPr>
              <w:t>154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104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38</w:t>
            </w: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375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223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55</w:t>
            </w: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w w:val="86"/>
              </w:rPr>
              <w:t>216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273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32</w:t>
            </w:r>
          </w:p>
        </w:tc>
      </w:tr>
      <w:tr>
        <w:trPr>
          <w:trHeight w:val="27"/>
        </w:trPr>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 compensation expense</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544</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505</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u w:val="single" w:color="auto"/>
                <w:color w:val="auto"/>
              </w:rPr>
              <w:t>$</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3"/>
              </w:rPr>
              <w:t>148</w:t>
            </w:r>
          </w:p>
        </w:tc>
      </w:tr>
      <w:tr>
        <w:trPr>
          <w:trHeight w:val="20"/>
        </w:trPr>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1" w:lineRule="exact"/>
        <w:rPr>
          <w:sz w:val="20"/>
          <w:szCs w:val="20"/>
          <w:color w:val="auto"/>
        </w:rPr>
      </w:pPr>
    </w:p>
    <w:p>
      <w:pPr>
        <w:ind w:left="1340" w:hanging="638"/>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Net Loss Per Share Attributable to Common Stockholders</w:t>
      </w:r>
    </w:p>
    <w:p>
      <w:pPr>
        <w:spacing w:after="0" w:line="123" w:lineRule="exact"/>
        <w:rPr>
          <w:sz w:val="20"/>
          <w:szCs w:val="20"/>
          <w:color w:val="auto"/>
        </w:rPr>
      </w:pPr>
    </w:p>
    <w:p>
      <w:pPr>
        <w:ind w:left="1360" w:right="140"/>
        <w:spacing w:after="0" w:line="235" w:lineRule="auto"/>
        <w:rPr>
          <w:sz w:val="20"/>
          <w:szCs w:val="20"/>
          <w:color w:val="auto"/>
        </w:rPr>
      </w:pPr>
      <w:r>
        <w:rPr>
          <w:rFonts w:ascii="Arial" w:cs="Arial" w:eastAsia="Arial" w:hAnsi="Arial"/>
          <w:sz w:val="18"/>
          <w:szCs w:val="18"/>
          <w:color w:val="auto"/>
        </w:rPr>
        <w:t>For purposes of calculating net income available to common stockholders the Company increased the net loss by the deemed dividends paid to the preferred stockholders. 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w:t>
      </w:r>
    </w:p>
    <w:p>
      <w:pPr>
        <w:spacing w:after="0" w:line="86" w:lineRule="exact"/>
        <w:rPr>
          <w:sz w:val="20"/>
          <w:szCs w:val="20"/>
          <w:color w:val="auto"/>
        </w:rPr>
      </w:pPr>
    </w:p>
    <w:p>
      <w:pPr>
        <w:ind w:left="1340" w:hanging="638"/>
        <w:spacing w:after="0"/>
        <w:tabs>
          <w:tab w:leader="none" w:pos="13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Unaudited Pro Forma Net Loss per Share Attributable to Common Stockholders</w:t>
      </w:r>
    </w:p>
    <w:p>
      <w:pPr>
        <w:spacing w:after="0" w:line="123" w:lineRule="exact"/>
        <w:rPr>
          <w:sz w:val="20"/>
          <w:szCs w:val="20"/>
          <w:color w:val="auto"/>
        </w:rPr>
      </w:pPr>
    </w:p>
    <w:p>
      <w:pPr>
        <w:ind w:left="1360" w:right="360"/>
        <w:spacing w:after="0" w:line="239" w:lineRule="auto"/>
        <w:rPr>
          <w:sz w:val="20"/>
          <w:szCs w:val="20"/>
          <w:color w:val="auto"/>
        </w:rPr>
      </w:pPr>
      <w:r>
        <w:rPr>
          <w:rFonts w:ascii="Arial" w:cs="Arial" w:eastAsia="Arial" w:hAnsi="Arial"/>
          <w:sz w:val="18"/>
          <w:szCs w:val="18"/>
          <w:color w:val="auto"/>
        </w:rPr>
        <w:t>Upon the closing of the Company’s IPO, all outstanding shares of convertible preferred stock as of March 31, 2021 will automatically convert into 27,758,941 shares of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40"/>
          </w:cols>
          <w:pgMar w:left="320" w:top="456" w:right="5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20"/>
        <w:spacing w:after="0" w:line="237" w:lineRule="auto"/>
        <w:rPr>
          <w:sz w:val="20"/>
          <w:szCs w:val="20"/>
          <w:color w:val="auto"/>
        </w:rPr>
      </w:pPr>
      <w:r>
        <w:rPr>
          <w:rFonts w:ascii="Arial" w:cs="Arial" w:eastAsia="Arial" w:hAnsi="Arial"/>
          <w:sz w:val="18"/>
          <w:szCs w:val="18"/>
          <w:color w:val="auto"/>
        </w:rPr>
        <w:t>Company’s common stock. The Company has calculated unaudited pro forma basic and diluted net loss per share to give effect to the impact of the conversion of the convertible preferred stock as though such preferred stock had been converted to common stock as of the beginning of the period, or date of issuance, if later.</w:t>
      </w:r>
    </w:p>
    <w:p>
      <w:pPr>
        <w:spacing w:after="0" w:line="87" w:lineRule="exact"/>
        <w:rPr>
          <w:sz w:val="20"/>
          <w:szCs w:val="20"/>
          <w:color w:val="auto"/>
        </w:rPr>
      </w:pPr>
    </w:p>
    <w:p>
      <w:pPr>
        <w:ind w:left="1340" w:hanging="638"/>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23"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and are measured at the largest amount that is greater than 50% likely of being realized. Changes in recognition or measurement are reflected in the period in which the change in judgment occurs. To the extent that it is not considered to be more likely than not that a deferred tax asset will be realized, a valuation allowance will be established.</w:t>
      </w:r>
    </w:p>
    <w:p>
      <w:pPr>
        <w:spacing w:after="0" w:line="86" w:lineRule="exact"/>
        <w:rPr>
          <w:sz w:val="20"/>
          <w:szCs w:val="20"/>
          <w:color w:val="auto"/>
        </w:rPr>
      </w:pPr>
    </w:p>
    <w:p>
      <w:pPr>
        <w:ind w:left="1340" w:hanging="638"/>
        <w:spacing w:after="0"/>
        <w:tabs>
          <w:tab w:leader="none" w:pos="134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123" w:lineRule="exact"/>
        <w:rPr>
          <w:sz w:val="20"/>
          <w:szCs w:val="20"/>
          <w:color w:val="auto"/>
        </w:rPr>
      </w:pPr>
    </w:p>
    <w:p>
      <w:pPr>
        <w:jc w:val="both"/>
        <w:ind w:left="1360" w:right="280"/>
        <w:spacing w:after="0" w:line="237"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87" w:lineRule="exact"/>
        <w:rPr>
          <w:sz w:val="20"/>
          <w:szCs w:val="20"/>
          <w:color w:val="auto"/>
        </w:rPr>
      </w:pPr>
    </w:p>
    <w:p>
      <w:pPr>
        <w:ind w:left="1340" w:hanging="638"/>
        <w:spacing w:after="0"/>
        <w:tabs>
          <w:tab w:leader="none" w:pos="1340"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w:t>
      </w:r>
    </w:p>
    <w:p>
      <w:pPr>
        <w:spacing w:after="0" w:line="123" w:lineRule="exact"/>
        <w:rPr>
          <w:sz w:val="20"/>
          <w:szCs w:val="20"/>
          <w:color w:val="auto"/>
        </w:rPr>
      </w:pPr>
    </w:p>
    <w:p>
      <w:pPr>
        <w:ind w:left="1360" w:right="260"/>
        <w:spacing w:after="0" w:line="237"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which range from one to 15 years. Xometry reviews definite-lived intangible assets for impairment under the long-lived asset model described in Property and Equipment and Long-Lived Assets above.</w:t>
      </w:r>
    </w:p>
    <w:p>
      <w:pPr>
        <w:spacing w:after="0" w:line="87" w:lineRule="exact"/>
        <w:rPr>
          <w:sz w:val="20"/>
          <w:szCs w:val="20"/>
          <w:color w:val="auto"/>
        </w:rPr>
      </w:pPr>
    </w:p>
    <w:p>
      <w:pPr>
        <w:ind w:left="1340" w:hanging="638"/>
        <w:spacing w:after="0"/>
        <w:tabs>
          <w:tab w:leader="none" w:pos="134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left="1360" w:right="180"/>
        <w:spacing w:after="0" w:line="236"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The Company test goodwill for impairment annually in the fourth quarter, or more frequently, if needed, and when there is a triggering event (e.g., a deterioration in general economic conditions or in the environment in which Xometry operates).</w:t>
      </w:r>
    </w:p>
    <w:p>
      <w:pPr>
        <w:spacing w:after="0" w:line="95" w:lineRule="exact"/>
        <w:rPr>
          <w:sz w:val="20"/>
          <w:szCs w:val="20"/>
          <w:color w:val="auto"/>
        </w:rPr>
      </w:pPr>
    </w:p>
    <w:p>
      <w:pPr>
        <w:ind w:left="1360"/>
        <w:spacing w:after="0" w:line="236" w:lineRule="auto"/>
        <w:rPr>
          <w:sz w:val="20"/>
          <w:szCs w:val="20"/>
          <w:color w:val="auto"/>
        </w:rPr>
      </w:pPr>
      <w:r>
        <w:rPr>
          <w:rFonts w:ascii="Arial" w:cs="Arial" w:eastAsia="Arial" w:hAnsi="Arial"/>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95" w:lineRule="exact"/>
        <w:rPr>
          <w:sz w:val="20"/>
          <w:szCs w:val="20"/>
          <w:color w:val="auto"/>
        </w:rPr>
      </w:pPr>
    </w:p>
    <w:p>
      <w:pPr>
        <w:ind w:left="1360" w:right="200"/>
        <w:spacing w:after="0" w:line="236" w:lineRule="auto"/>
        <w:rPr>
          <w:sz w:val="20"/>
          <w:szCs w:val="20"/>
          <w:color w:val="auto"/>
        </w:rPr>
      </w:pPr>
      <w:r>
        <w:rPr>
          <w:rFonts w:ascii="Arial" w:cs="Arial" w:eastAsia="Arial" w:hAnsi="Arial"/>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340" w:hanging="638"/>
        <w:spacing w:after="0"/>
        <w:tabs>
          <w:tab w:leader="none" w:pos="1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105"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the Year Ended December 31, 2020</w:t>
      </w:r>
    </w:p>
    <w:p>
      <w:pPr>
        <w:spacing w:after="0" w:line="119" w:lineRule="exact"/>
        <w:rPr>
          <w:sz w:val="20"/>
          <w:szCs w:val="20"/>
          <w:color w:val="auto"/>
        </w:rPr>
      </w:pPr>
    </w:p>
    <w:p>
      <w:pPr>
        <w:ind w:left="1360" w:right="180"/>
        <w:spacing w:after="0" w:line="234" w:lineRule="auto"/>
        <w:rPr>
          <w:sz w:val="20"/>
          <w:szCs w:val="20"/>
          <w:color w:val="auto"/>
        </w:rPr>
      </w:pPr>
      <w:r>
        <w:rPr>
          <w:rFonts w:ascii="Arial" w:cs="Arial" w:eastAsia="Arial" w:hAnsi="Arial"/>
          <w:sz w:val="18"/>
          <w:szCs w:val="18"/>
          <w:color w:val="auto"/>
        </w:rPr>
        <w:t>In August 2018, the FASB issued Accounting Standards Update (“ASU”) 2018-13, Fair Value Measurement (Topic 820), Disclosure Framework-Changes to the Disclosure Requirements for Fair Value Measurement (“ASU 2018-13”). This ASU modifies the disclosure requirements for fair value measurements by removing, modifying, or adding 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ASU 2018-13 on January 1, 2020 and it did not materially impact the Company’s consolidated financial statements and related disclosures.</w:t>
      </w:r>
    </w:p>
    <w:p>
      <w:pPr>
        <w:spacing w:after="0" w:line="77"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01" w:lineRule="exact"/>
        <w:rPr>
          <w:sz w:val="20"/>
          <w:szCs w:val="20"/>
          <w:color w:val="auto"/>
        </w:rPr>
      </w:pPr>
    </w:p>
    <w:p>
      <w:pPr>
        <w:ind w:left="1360"/>
        <w:spacing w:after="0" w:line="23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w:t>
      </w:r>
      <w:r>
        <w:rPr>
          <w:rFonts w:ascii="Arial" w:cs="Arial" w:eastAsia="Arial" w:hAnsi="Arial"/>
          <w:sz w:val="18"/>
          <w:szCs w:val="18"/>
          <w:i w:val="1"/>
          <w:iCs w:val="1"/>
          <w:color w:val="auto"/>
        </w:rPr>
        <w:t>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Topic 326 changes the impairment model for most financial assets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77" w:lineRule="exact"/>
        <w:rPr>
          <w:sz w:val="20"/>
          <w:szCs w:val="20"/>
          <w:color w:val="auto"/>
        </w:rPr>
      </w:pPr>
    </w:p>
    <w:p>
      <w:pPr>
        <w:ind w:left="1360" w:right="100"/>
        <w:spacing w:after="0" w:line="23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is expected to simplify and improve comparability of financial reporting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convertible instruments and contracts in an entity’s own equity. The ASU is effective for public business entities for fiscal years beginning after December 15, 2021, including interim periods within those fiscal years. For all other entities, the standard will be effective for fiscal years beginning after December 15, 2023, including interim periods within those fiscal years. Early adoption is permitted. The Company is currently evaluating the impact of ASU 2020-06 on its consolidated financial statements and related disclosures.</w:t>
      </w:r>
    </w:p>
    <w:p>
      <w:pPr>
        <w:spacing w:after="0" w:line="95" w:lineRule="exact"/>
        <w:rPr>
          <w:sz w:val="20"/>
          <w:szCs w:val="20"/>
          <w:color w:val="auto"/>
        </w:rPr>
      </w:pPr>
    </w:p>
    <w:p>
      <w:pPr>
        <w:ind w:left="1360" w:right="80"/>
        <w:spacing w:after="0" w:line="239"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328" w:lineRule="exact"/>
        <w:rPr>
          <w:sz w:val="20"/>
          <w:szCs w:val="20"/>
          <w:color w:val="auto"/>
        </w:rPr>
      </w:pPr>
    </w:p>
    <w:p>
      <w:pPr>
        <w:ind w:left="700" w:hanging="533"/>
        <w:spacing w:after="0"/>
        <w:tabs>
          <w:tab w:leader="none" w:pos="7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Concentrations</w:t>
      </w:r>
    </w:p>
    <w:p>
      <w:pPr>
        <w:spacing w:after="0" w:line="122" w:lineRule="exact"/>
        <w:rPr>
          <w:rFonts w:ascii="Arial" w:cs="Arial" w:eastAsia="Arial" w:hAnsi="Arial"/>
          <w:sz w:val="18"/>
          <w:szCs w:val="18"/>
          <w:b w:val="1"/>
          <w:bCs w:val="1"/>
          <w:color w:val="auto"/>
        </w:rPr>
      </w:pPr>
    </w:p>
    <w:p>
      <w:pPr>
        <w:ind w:left="720" w:right="1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60"/>
        <w:spacing w:after="0" w:line="236" w:lineRule="auto"/>
        <w:rPr>
          <w:sz w:val="20"/>
          <w:szCs w:val="20"/>
          <w:color w:val="auto"/>
        </w:rPr>
      </w:pPr>
      <w:r>
        <w:rPr>
          <w:rFonts w:ascii="Arial" w:cs="Arial" w:eastAsia="Arial" w:hAnsi="Arial"/>
          <w:sz w:val="18"/>
          <w:szCs w:val="18"/>
          <w:color w:val="auto"/>
        </w:rPr>
        <w:t>For 2020, one customer accounted for more than 10% of the Company’s revenue with a total concentration of approximately 11.2%. As of December 31, 2020, no single customer accounted for more than 10% of the Company’s accounts receivable. For 2019, no single customer accounted for more than 10% of the Company’s revenue. As of December 31, 2019, one customer accounted for 16% of the Company’s accounts receivable.</w:t>
      </w:r>
    </w:p>
    <w:p>
      <w:pPr>
        <w:spacing w:after="0" w:line="95"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For the quarters ended March 31, 2021 and 2020 (unaudited), no one customer accounted for more than 10% of the Company’s revenue. As of March 31, 2021 (unaudited), one customer accounted for approximately 10% of the Company’s accounts receivable.</w:t>
      </w:r>
    </w:p>
    <w:p>
      <w:pPr>
        <w:spacing w:after="0" w:line="328" w:lineRule="exact"/>
        <w:rPr>
          <w:sz w:val="20"/>
          <w:szCs w:val="20"/>
          <w:color w:val="auto"/>
        </w:rPr>
      </w:pPr>
    </w:p>
    <w:p>
      <w:pPr>
        <w:ind w:left="700" w:hanging="533"/>
        <w:spacing w:after="0"/>
        <w:tabs>
          <w:tab w:leader="none" w:pos="7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2" w:lineRule="exact"/>
        <w:rPr>
          <w:rFonts w:ascii="Arial" w:cs="Arial" w:eastAsia="Arial" w:hAnsi="Arial"/>
          <w:sz w:val="18"/>
          <w:szCs w:val="18"/>
          <w:b w:val="1"/>
          <w:bCs w:val="1"/>
          <w:color w:val="auto"/>
        </w:rPr>
      </w:pPr>
    </w:p>
    <w:p>
      <w:pPr>
        <w:ind w:left="720" w:right="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March 31, 2021 (unaudited), and December 31, 2020 and 2019 (in thousands):</w:t>
      </w: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4"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4"/>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80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9"/>
              </w:rPr>
              <w:t>(unaudited)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17"/>
                <w:szCs w:val="17"/>
                <w:color w:val="auto"/>
              </w:rPr>
            </w:pPr>
          </w:p>
        </w:tc>
        <w:tc>
          <w:tcPr>
            <w:tcW w:w="11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484</w:t>
            </w:r>
          </w:p>
        </w:tc>
        <w:tc>
          <w:tcPr>
            <w:tcW w:w="1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1,247</w:t>
            </w: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Tools inventory</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85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1,492</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3"/>
              </w:rPr>
              <w:t>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Long-Lived Assets</w:t>
      </w:r>
    </w:p>
    <w:p>
      <w:pPr>
        <w:spacing w:after="0" w:line="122" w:lineRule="exact"/>
        <w:rPr>
          <w:rFonts w:ascii="Arial" w:cs="Arial" w:eastAsia="Arial" w:hAnsi="Arial"/>
          <w:sz w:val="18"/>
          <w:szCs w:val="18"/>
          <w:b w:val="1"/>
          <w:bCs w:val="1"/>
          <w:color w:val="auto"/>
        </w:rPr>
      </w:pPr>
    </w:p>
    <w:p>
      <w:pPr>
        <w:ind w:left="720" w:right="6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as of March 31, 2021 (unaudited), and December 31,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4"/>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hardware</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3 years</w:t>
            </w:r>
          </w:p>
        </w:tc>
        <w:tc>
          <w:tcPr>
            <w:tcW w:w="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1,452</w:t>
            </w:r>
          </w:p>
        </w:tc>
        <w:tc>
          <w:tcPr>
            <w:tcW w:w="9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$ 1,107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Manufacturing equipment</w:t>
            </w:r>
          </w:p>
        </w:tc>
        <w:tc>
          <w:tcPr>
            <w:tcW w:w="1260" w:type="dxa"/>
            <w:vAlign w:val="bottom"/>
          </w:tcPr>
          <w:p>
            <w:pPr>
              <w:spacing w:after="0"/>
              <w:rPr>
                <w:sz w:val="17"/>
                <w:szCs w:val="17"/>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2,603</w:t>
            </w: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2,603</w:t>
            </w:r>
          </w:p>
        </w:tc>
        <w:tc>
          <w:tcPr>
            <w:tcW w:w="96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3 years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9,226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8,123</w:t>
            </w:r>
          </w:p>
        </w:tc>
        <w:tc>
          <w:tcPr>
            <w:tcW w:w="9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Patent</w:t>
            </w:r>
          </w:p>
        </w:tc>
        <w:tc>
          <w:tcPr>
            <w:tcW w:w="1260" w:type="dxa"/>
            <w:vAlign w:val="bottom"/>
          </w:tcPr>
          <w:p>
            <w:pPr>
              <w:spacing w:after="0"/>
              <w:rPr>
                <w:sz w:val="17"/>
                <w:szCs w:val="17"/>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17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157</w:t>
            </w:r>
          </w:p>
        </w:tc>
        <w:tc>
          <w:tcPr>
            <w:tcW w:w="280" w:type="dxa"/>
            <w:vAlign w:val="bottom"/>
          </w:tcPr>
          <w:p>
            <w:pPr>
              <w:spacing w:after="0"/>
              <w:rPr>
                <w:sz w:val="17"/>
                <w:szCs w:val="17"/>
                <w:color w:val="auto"/>
              </w:rPr>
            </w:pP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40"/>
              <w:spacing w:after="0" w:line="200" w:lineRule="exact"/>
              <w:rPr>
                <w:sz w:val="20"/>
                <w:szCs w:val="20"/>
                <w:color w:val="auto"/>
              </w:rPr>
            </w:pPr>
            <w:r>
              <w:rPr>
                <w:rFonts w:ascii="Arial" w:cs="Arial" w:eastAsia="Arial" w:hAnsi="Arial"/>
                <w:sz w:val="18"/>
                <w:szCs w:val="18"/>
                <w:color w:val="auto"/>
                <w:w w:val="98"/>
              </w:rPr>
              <w:t>Shorter of useful</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life or lease term</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Furniture and fixtures</w:t>
            </w:r>
          </w:p>
        </w:tc>
        <w:tc>
          <w:tcPr>
            <w:tcW w:w="1260" w:type="dxa"/>
            <w:vAlign w:val="bottom"/>
          </w:tcPr>
          <w:p>
            <w:pPr>
              <w:spacing w:after="0"/>
              <w:rPr>
                <w:sz w:val="18"/>
                <w:szCs w:val="18"/>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7 years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678</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14,951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98"/>
              </w:rPr>
              <w:t>13,727</w:t>
            </w:r>
          </w:p>
        </w:tc>
        <w:tc>
          <w:tcPr>
            <w:tcW w:w="9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Less accumulated depreciation</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(8,280)</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(7,614)</w:t>
            </w:r>
          </w:p>
        </w:tc>
        <w:tc>
          <w:tcPr>
            <w:tcW w:w="9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6,671</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6,113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$ 4,216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60" w:type="dxa"/>
            <w:vAlign w:val="bottom"/>
            <w:gridSpan w:val="3"/>
            <w:vMerge w:val="restart"/>
          </w:tcPr>
          <w:p>
            <w:pPr>
              <w:ind w:left="1080"/>
              <w:spacing w:after="0"/>
              <w:rPr>
                <w:sz w:val="20"/>
                <w:szCs w:val="20"/>
                <w:color w:val="auto"/>
              </w:rPr>
            </w:pPr>
            <w:r>
              <w:rPr>
                <w:rFonts w:ascii="Arial" w:cs="Arial" w:eastAsia="Arial" w:hAnsi="Arial"/>
                <w:sz w:val="18"/>
                <w:szCs w:val="18"/>
                <w:color w:val="auto"/>
              </w:rPr>
              <w:t>F-18</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6" w:right="7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expense for the years ended December 31, 2020 and 2019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4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5"/>
              <w:spacing w:after="0" w:line="154"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94"/>
        </w:trPr>
        <w:tc>
          <w:tcPr>
            <w:tcW w:w="84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6"/>
                <w:szCs w:val="16"/>
                <w:color w:val="auto"/>
              </w:rPr>
            </w:pPr>
          </w:p>
        </w:tc>
      </w:tr>
      <w:tr>
        <w:trPr>
          <w:trHeight w:val="201"/>
        </w:trPr>
        <w:tc>
          <w:tcPr>
            <w:tcW w:w="840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4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23</w:t>
            </w: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136</w:t>
            </w:r>
          </w:p>
        </w:tc>
      </w:tr>
      <w:tr>
        <w:trPr>
          <w:trHeight w:val="214"/>
        </w:trPr>
        <w:tc>
          <w:tcPr>
            <w:tcW w:w="840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1,543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975</w:t>
            </w: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130</w:t>
            </w:r>
          </w:p>
        </w:tc>
      </w:tr>
      <w:tr>
        <w:trPr>
          <w:trHeight w:val="20"/>
        </w:trPr>
        <w:tc>
          <w:tcPr>
            <w:tcW w:w="8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Total depreciation expense</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2,287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1,546</w:t>
            </w:r>
          </w:p>
        </w:tc>
      </w:tr>
      <w:tr>
        <w:trPr>
          <w:trHeight w:val="20"/>
        </w:trPr>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expense for the quarters ended March 31, 2021 and 2020 (unaudited)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jc w:val="right"/>
              <w:ind w:right="151"/>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61</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51</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570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3"/>
              </w:rPr>
              <w:t>287</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47</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666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452</w:t>
            </w:r>
          </w:p>
        </w:tc>
      </w:tr>
      <w:tr>
        <w:trPr>
          <w:trHeight w:val="20"/>
        </w:trPr>
        <w:tc>
          <w:tcPr>
            <w:tcW w:w="8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ind w:left="700" w:hanging="533"/>
        <w:spacing w:after="0"/>
        <w:tabs>
          <w:tab w:leader="none" w:pos="7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2" w:lineRule="exact"/>
        <w:rPr>
          <w:rFonts w:ascii="Arial" w:cs="Arial" w:eastAsia="Arial" w:hAnsi="Arial"/>
          <w:sz w:val="18"/>
          <w:szCs w:val="18"/>
          <w:b w:val="1"/>
          <w:bCs w:val="1"/>
          <w:color w:val="auto"/>
        </w:rPr>
      </w:pPr>
    </w:p>
    <w:p>
      <w:pPr>
        <w:ind w:left="7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Operating lease expense for the years ended December 31, 2020 and 2019 and for the quarters ended March 31, 2021 and 2020 (unaudited) was as follows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496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3"/>
          </w:tcPr>
          <w:p>
            <w:pPr>
              <w:jc w:val="right"/>
              <w:ind w:right="40"/>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49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9"/>
              </w:rPr>
              <w:t>196</w:t>
            </w: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4"/>
              </w:rPr>
              <w:t>$169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4960" w:type="dxa"/>
            <w:vAlign w:val="bottom"/>
          </w:tcPr>
          <w:p>
            <w:pPr>
              <w:spacing w:after="0"/>
              <w:rPr>
                <w:sz w:val="17"/>
                <w:szCs w:val="17"/>
                <w:color w:val="auto"/>
              </w:rPr>
            </w:pPr>
          </w:p>
        </w:tc>
        <w:tc>
          <w:tcPr>
            <w:tcW w:w="5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1,024</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lease expense</w:t>
            </w:r>
          </w:p>
        </w:tc>
        <w:tc>
          <w:tcPr>
            <w:tcW w:w="5980" w:type="dxa"/>
            <w:vAlign w:val="bottom"/>
            <w:gridSpan w:val="5"/>
            <w:shd w:val="clear" w:color="auto" w:fill="CCEEFF"/>
          </w:tcPr>
          <w:p>
            <w:pPr>
              <w:jc w:val="right"/>
              <w:ind w:right="4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1,220</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5100" w:type="dxa"/>
            <w:vAlign w:val="bottom"/>
            <w:gridSpan w:val="2"/>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55"/>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520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36</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$ 45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w w:val="99"/>
              </w:rPr>
              <w:t>282</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lease expense</w:t>
            </w:r>
          </w:p>
        </w:tc>
        <w:tc>
          <w:tcPr>
            <w:tcW w:w="510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318</w:t>
            </w: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00" w:type="dxa"/>
            <w:vAlign w:val="bottom"/>
            <w:gridSpan w:val="3"/>
          </w:tcPr>
          <w:p>
            <w:pPr>
              <w:jc w:val="right"/>
              <w:ind w:right="3520"/>
              <w:spacing w:after="0"/>
              <w:rPr>
                <w:sz w:val="20"/>
                <w:szCs w:val="20"/>
                <w:color w:val="auto"/>
              </w:rPr>
            </w:pPr>
            <w:r>
              <w:rPr>
                <w:rFonts w:ascii="Arial" w:cs="Arial" w:eastAsia="Arial" w:hAnsi="Arial"/>
                <w:sz w:val="18"/>
                <w:szCs w:val="18"/>
                <w:color w:val="auto"/>
              </w:rPr>
              <w:t>F-19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6" w:right="6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140"/>
        <w:spacing w:after="0" w:line="239" w:lineRule="auto"/>
        <w:rPr>
          <w:sz w:val="20"/>
          <w:szCs w:val="20"/>
          <w:color w:val="auto"/>
        </w:rPr>
      </w:pPr>
      <w:r>
        <w:rPr>
          <w:rFonts w:ascii="Arial" w:cs="Arial" w:eastAsia="Arial" w:hAnsi="Arial"/>
          <w:sz w:val="18"/>
          <w:szCs w:val="18"/>
          <w:color w:val="auto"/>
        </w:rPr>
        <w:t>The following table includes supplemental cash and non-cash information related to Xometry’s leases during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794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1"/>
        </w:trPr>
        <w:tc>
          <w:tcPr>
            <w:tcW w:w="794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1"/>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1640" w:type="dxa"/>
            <w:vAlign w:val="bottom"/>
            <w:gridSpan w:val="3"/>
          </w:tcPr>
          <w:p>
            <w:pPr>
              <w:jc w:val="right"/>
              <w:ind w:right="460"/>
              <w:spacing w:after="0" w:line="201" w:lineRule="exact"/>
              <w:rPr>
                <w:sz w:val="20"/>
                <w:szCs w:val="20"/>
                <w:color w:val="auto"/>
              </w:rPr>
            </w:pPr>
            <w:r>
              <w:rPr>
                <w:rFonts w:ascii="Arial" w:cs="Arial" w:eastAsia="Arial" w:hAnsi="Arial"/>
                <w:sz w:val="18"/>
                <w:szCs w:val="18"/>
                <w:color w:val="auto"/>
              </w:rPr>
              <w:t>$1,222</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$724</w:t>
            </w:r>
          </w:p>
        </w:tc>
      </w:tr>
      <w:tr>
        <w:trPr>
          <w:trHeight w:val="201"/>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Financing cash flows from financing leases</w:t>
            </w:r>
          </w:p>
        </w:tc>
        <w:tc>
          <w:tcPr>
            <w:tcW w:w="1640" w:type="dxa"/>
            <w:vAlign w:val="bottom"/>
            <w:gridSpan w:val="3"/>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164</w:t>
            </w:r>
          </w:p>
        </w:tc>
      </w:tr>
      <w:tr>
        <w:trPr>
          <w:trHeight w:val="200"/>
        </w:trPr>
        <w:tc>
          <w:tcPr>
            <w:tcW w:w="7940" w:type="dxa"/>
            <w:vAlign w:val="bottom"/>
          </w:tcPr>
          <w:p>
            <w:pPr>
              <w:spacing w:after="0" w:line="200" w:lineRule="exact"/>
              <w:rPr>
                <w:sz w:val="20"/>
                <w:szCs w:val="20"/>
                <w:color w:val="auto"/>
              </w:rPr>
            </w:pPr>
            <w:r>
              <w:rPr>
                <w:rFonts w:ascii="Arial" w:cs="Arial" w:eastAsia="Arial" w:hAnsi="Arial"/>
                <w:sz w:val="18"/>
                <w:szCs w:val="18"/>
                <w:color w:val="auto"/>
              </w:rPr>
              <w:t>New operating lease right-of-use assets obtained, excluding the amount initially capitalized in</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8"/>
                <w:szCs w:val="18"/>
                <w:color w:val="auto"/>
              </w:rPr>
              <w:t>conjunction with the adoption of Topic 842</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95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bl>
    <w:p>
      <w:pPr>
        <w:spacing w:after="0" w:line="201"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following table (unaudited) includes supplemental cash information related to Xometry’s leases for the quarters ended March 31, 2021 and 2020 (in thousands):</w:t>
      </w:r>
    </w:p>
    <w:p>
      <w:pPr>
        <w:spacing w:after="0" w:line="217"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8255</wp:posOffset>
            </wp:positionV>
            <wp:extent cx="8153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8" w:lineRule="exact"/>
        <w:rPr>
          <w:sz w:val="20"/>
          <w:szCs w:val="20"/>
          <w:color w:val="auto"/>
        </w:rPr>
      </w:pPr>
    </w:p>
    <w:p>
      <w:pPr>
        <w:ind w:left="9360"/>
        <w:spacing w:after="0"/>
        <w:tabs>
          <w:tab w:leader="none" w:pos="10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-635</wp:posOffset>
            </wp:positionV>
            <wp:extent cx="8153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ind w:left="9560"/>
        <w:spacing w:after="0"/>
        <w:rPr>
          <w:sz w:val="20"/>
          <w:szCs w:val="20"/>
          <w:color w:val="auto"/>
        </w:rPr>
      </w:pPr>
      <w:r>
        <w:rPr>
          <w:rFonts w:ascii="Arial" w:cs="Arial" w:eastAsia="Arial" w:hAnsi="Arial"/>
          <w:sz w:val="14"/>
          <w:szCs w:val="14"/>
          <w:b w:val="1"/>
          <w:bCs w:val="1"/>
          <w:color w:val="auto"/>
        </w:rPr>
        <w:t>(unaudited)</w:t>
      </w:r>
    </w:p>
    <w:tbl>
      <w:tblPr>
        <w:tblLayout w:type="fixed"/>
        <w:tblInd w:w="60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4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$295</w:t>
            </w: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Financing cash flows from financing leases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gridSpan w:val="5"/>
          </w:tcPr>
          <w:p>
            <w:pPr>
              <w:ind w:left="100"/>
              <w:spacing w:after="0"/>
              <w:rPr>
                <w:sz w:val="20"/>
                <w:szCs w:val="20"/>
                <w:color w:val="auto"/>
              </w:rPr>
            </w:pPr>
            <w:r>
              <w:rPr>
                <w:rFonts w:ascii="Arial" w:cs="Arial" w:eastAsia="Arial" w:hAnsi="Arial"/>
                <w:sz w:val="18"/>
                <w:szCs w:val="18"/>
                <w:color w:val="auto"/>
              </w:rPr>
              <w:t>Xometry’s aggregate annual lease obligations at December 31, 2020 are as follows (in thousands):</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6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2021</w:t>
            </w: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1,153</w:t>
            </w:r>
          </w:p>
        </w:tc>
        <w:tc>
          <w:tcPr>
            <w:tcW w:w="5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2022</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557</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362</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331</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undiscounted lease obligations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2,403</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Less imputed interest</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272</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lease obligations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2,131</w:t>
            </w:r>
          </w:p>
        </w:tc>
        <w:tc>
          <w:tcPr>
            <w:tcW w:w="5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Xometry’s aggregate annual lease obligations at March 31, 2021 (unaudited) are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1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80"/>
              <w:spacing w:after="0" w:line="154" w:lineRule="exact"/>
              <w:rPr>
                <w:sz w:val="20"/>
                <w:szCs w:val="20"/>
                <w:color w:val="auto"/>
              </w:rPr>
            </w:pPr>
            <w:r>
              <w:rPr>
                <w:rFonts w:ascii="Arial" w:cs="Arial" w:eastAsia="Arial" w:hAnsi="Arial"/>
                <w:sz w:val="14"/>
                <w:szCs w:val="14"/>
                <w:b w:val="1"/>
                <w:bCs w:val="1"/>
                <w:color w:val="auto"/>
              </w:rPr>
              <w:t>(unaudited)</w:t>
            </w: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2021</w:t>
            </w:r>
          </w:p>
        </w:tc>
        <w:tc>
          <w:tcPr>
            <w:tcW w:w="2960" w:type="dxa"/>
            <w:vAlign w:val="bottom"/>
            <w:gridSpan w:val="2"/>
            <w:shd w:val="clear" w:color="auto" w:fill="CCEEFF"/>
          </w:tcPr>
          <w:p>
            <w:pPr>
              <w:ind w:left="25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844</w:t>
            </w:r>
          </w:p>
        </w:tc>
        <w:tc>
          <w:tcPr>
            <w:tcW w:w="158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2022</w:t>
            </w: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557</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2023</w:t>
            </w:r>
          </w:p>
        </w:tc>
        <w:tc>
          <w:tcPr>
            <w:tcW w:w="2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362</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2024</w:t>
            </w:r>
          </w:p>
        </w:tc>
        <w:tc>
          <w:tcPr>
            <w:tcW w:w="2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undiscounted lease obligations</w:t>
            </w:r>
          </w:p>
        </w:tc>
        <w:tc>
          <w:tcPr>
            <w:tcW w:w="2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2,094</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less imputed interest</w:t>
            </w: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229</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lease obligations</w:t>
            </w:r>
          </w:p>
        </w:tc>
        <w:tc>
          <w:tcPr>
            <w:tcW w:w="2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1,865</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960" w:type="dxa"/>
            <w:vAlign w:val="bottom"/>
            <w:gridSpan w:val="2"/>
          </w:tcPr>
          <w:p>
            <w:pPr>
              <w:ind w:left="860"/>
              <w:spacing w:after="0"/>
              <w:rPr>
                <w:sz w:val="20"/>
                <w:szCs w:val="20"/>
                <w:color w:val="auto"/>
              </w:rPr>
            </w:pPr>
            <w:r>
              <w:rPr>
                <w:rFonts w:ascii="Arial" w:cs="Arial" w:eastAsia="Arial" w:hAnsi="Arial"/>
                <w:sz w:val="18"/>
                <w:szCs w:val="18"/>
                <w:color w:val="auto"/>
              </w:rPr>
              <w:t>F-20</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6" w:right="7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240"/>
        <w:spacing w:after="0" w:line="239" w:lineRule="auto"/>
        <w:rPr>
          <w:sz w:val="20"/>
          <w:szCs w:val="20"/>
          <w:color w:val="auto"/>
        </w:rPr>
      </w:pPr>
      <w:r>
        <w:rPr>
          <w:rFonts w:ascii="Arial" w:cs="Arial" w:eastAsia="Arial" w:hAnsi="Arial"/>
          <w:sz w:val="18"/>
          <w:szCs w:val="18"/>
          <w:color w:val="auto"/>
        </w:rPr>
        <w:t>The following are the remaining weighted average lease terms and discount rates for Xometry’s leases as of December 31, 2020 and 2019:</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520" w:type="dxa"/>
            <w:vAlign w:val="bottom"/>
          </w:tcPr>
          <w:p>
            <w:pPr>
              <w:spacing w:after="0"/>
              <w:rPr>
                <w:sz w:val="15"/>
                <w:szCs w:val="15"/>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5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4"/>
        </w:trPr>
        <w:tc>
          <w:tcPr>
            <w:tcW w:w="85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 average remaining lease term (in years)</w:t>
            </w: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6"/>
                <w:szCs w:val="16"/>
                <w:color w:val="auto"/>
              </w:rPr>
            </w:pPr>
          </w:p>
        </w:tc>
      </w:tr>
      <w:tr>
        <w:trPr>
          <w:trHeight w:val="213"/>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8.45%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r>
    </w:tbl>
    <w:p>
      <w:pPr>
        <w:spacing w:after="0" w:line="200" w:lineRule="exact"/>
        <w:rPr>
          <w:sz w:val="20"/>
          <w:szCs w:val="20"/>
          <w:color w:val="auto"/>
        </w:rPr>
      </w:pPr>
    </w:p>
    <w:p>
      <w:pPr>
        <w:ind w:left="720" w:right="660"/>
        <w:spacing w:after="0" w:line="239" w:lineRule="auto"/>
        <w:rPr>
          <w:sz w:val="20"/>
          <w:szCs w:val="20"/>
          <w:color w:val="auto"/>
        </w:rPr>
      </w:pPr>
      <w:r>
        <w:rPr>
          <w:rFonts w:ascii="Arial" w:cs="Arial" w:eastAsia="Arial" w:hAnsi="Arial"/>
          <w:sz w:val="18"/>
          <w:szCs w:val="18"/>
          <w:color w:val="auto"/>
        </w:rPr>
        <w:t>The following are the remaining weighted average lease terms and discount rate for Xometry’s leases as of March 31, 2021 (unaudited):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90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r>
      <w:tr>
        <w:trPr>
          <w:trHeight w:val="154"/>
        </w:trPr>
        <w:tc>
          <w:tcPr>
            <w:tcW w:w="90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3"/>
                <w:szCs w:val="13"/>
                <w:color w:val="auto"/>
              </w:rPr>
            </w:pPr>
          </w:p>
        </w:tc>
      </w:tr>
      <w:tr>
        <w:trPr>
          <w:trHeight w:val="154"/>
        </w:trPr>
        <w:tc>
          <w:tcPr>
            <w:tcW w:w="904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01"/>
        </w:trPr>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remaining lease term (in years)</w:t>
            </w:r>
          </w:p>
        </w:tc>
        <w:tc>
          <w:tcPr>
            <w:tcW w:w="10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2.6</w:t>
            </w:r>
          </w:p>
        </w:tc>
      </w:tr>
      <w:tr>
        <w:trPr>
          <w:trHeight w:val="213"/>
        </w:trPr>
        <w:tc>
          <w:tcPr>
            <w:tcW w:w="90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r>
    </w:tbl>
    <w:p>
      <w:pPr>
        <w:spacing w:after="0" w:line="326" w:lineRule="exact"/>
        <w:rPr>
          <w:sz w:val="20"/>
          <w:szCs w:val="20"/>
          <w:color w:val="auto"/>
        </w:rPr>
      </w:pPr>
    </w:p>
    <w:p>
      <w:pPr>
        <w:ind w:left="700" w:hanging="533"/>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2" w:lineRule="exact"/>
        <w:rPr>
          <w:rFonts w:ascii="Arial" w:cs="Arial" w:eastAsia="Arial" w:hAnsi="Arial"/>
          <w:sz w:val="18"/>
          <w:szCs w:val="18"/>
          <w:b w:val="1"/>
          <w:bCs w:val="1"/>
          <w:color w:val="auto"/>
        </w:rPr>
      </w:pPr>
    </w:p>
    <w:p>
      <w:pPr>
        <w:ind w:left="720" w:right="1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rights upon liquidation, and dissolution of the Company.</w:t>
      </w:r>
    </w:p>
    <w:p>
      <w:pPr>
        <w:spacing w:after="0" w:line="327" w:lineRule="exact"/>
        <w:rPr>
          <w:rFonts w:ascii="Arial" w:cs="Arial" w:eastAsia="Arial" w:hAnsi="Arial"/>
          <w:sz w:val="18"/>
          <w:szCs w:val="18"/>
          <w:b w:val="1"/>
          <w:bCs w:val="1"/>
          <w:color w:val="auto"/>
        </w:rPr>
      </w:pPr>
    </w:p>
    <w:p>
      <w:pPr>
        <w:ind w:left="700" w:hanging="533"/>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2" w:lineRule="exact"/>
        <w:rPr>
          <w:rFonts w:ascii="Arial" w:cs="Arial" w:eastAsia="Arial" w:hAnsi="Arial"/>
          <w:sz w:val="18"/>
          <w:szCs w:val="18"/>
          <w:b w:val="1"/>
          <w:bCs w:val="1"/>
          <w:color w:val="auto"/>
        </w:rPr>
      </w:pPr>
    </w:p>
    <w:p>
      <w:pPr>
        <w:ind w:left="720" w:right="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Company has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203" w:lineRule="exact"/>
        <w:rPr>
          <w:rFonts w:ascii="Arial" w:cs="Arial" w:eastAsia="Arial" w:hAnsi="Arial"/>
          <w:sz w:val="18"/>
          <w:szCs w:val="18"/>
          <w:b w:val="1"/>
          <w:bCs w:val="1"/>
          <w:color w:val="auto"/>
        </w:rPr>
      </w:pPr>
    </w:p>
    <w:p>
      <w:pPr>
        <w:ind w:left="720" w:righ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 numbers of authorized and outstanding shares in the Convertible Preferred Stock, with their total respective liquidation preferences, were as follows (in thousands, except share and per share data):</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650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24"/>
                <w:szCs w:val="24"/>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54"/>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60" w:type="dxa"/>
            <w:vAlign w:val="bottom"/>
            <w:gridSpan w:val="3"/>
          </w:tcPr>
          <w:p>
            <w:pPr>
              <w:jc w:val="right"/>
              <w:ind w:right="1160"/>
              <w:spacing w:after="0" w:line="154"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rPr>
              <w:t>Carrying</w:t>
            </w:r>
          </w:p>
        </w:tc>
      </w:tr>
      <w:tr>
        <w:trPr>
          <w:trHeight w:val="154"/>
        </w:trPr>
        <w:tc>
          <w:tcPr>
            <w:tcW w:w="6500" w:type="dxa"/>
            <w:vAlign w:val="bottom"/>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Authorized</w:t>
            </w:r>
          </w:p>
        </w:tc>
        <w:tc>
          <w:tcPr>
            <w:tcW w:w="4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Value</w:t>
            </w:r>
          </w:p>
        </w:tc>
      </w:tr>
      <w:tr>
        <w:trPr>
          <w:trHeight w:val="181"/>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4,200,000</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2,188,322</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4,211,094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1,591,230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12,884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12,839</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4,132,055</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20,764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20,347</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3,754,201</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26,248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26,004</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5,494,064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54,933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54,864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2,400,000</w:t>
            </w: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2,275,759</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32,693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30,757</w:t>
            </w:r>
          </w:p>
        </w:tc>
      </w:tr>
      <w:tr>
        <w:trPr>
          <w:trHeight w:val="20"/>
        </w:trPr>
        <w:tc>
          <w:tcPr>
            <w:tcW w:w="6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500" w:type="dxa"/>
            <w:vAlign w:val="bottom"/>
          </w:tcPr>
          <w:p>
            <w:pPr>
              <w:spacing w:after="0"/>
              <w:rPr>
                <w:sz w:val="20"/>
                <w:szCs w:val="20"/>
                <w:color w:val="auto"/>
              </w:rPr>
            </w:pPr>
            <w:r>
              <w:rPr>
                <w:rFonts w:ascii="Arial" w:cs="Arial" w:eastAsia="Arial" w:hAnsi="Arial"/>
                <w:sz w:val="14"/>
                <w:szCs w:val="14"/>
                <w:color w:val="auto"/>
              </w:rPr>
              <w:t>Totals</w:t>
            </w:r>
          </w:p>
        </w:tc>
        <w:tc>
          <w:tcPr>
            <w:tcW w:w="800" w:type="dxa"/>
            <w:vAlign w:val="bottom"/>
          </w:tcPr>
          <w:p>
            <w:pPr>
              <w:jc w:val="right"/>
              <w:spacing w:after="0"/>
              <w:rPr>
                <w:sz w:val="20"/>
                <w:szCs w:val="20"/>
                <w:color w:val="auto"/>
              </w:rPr>
            </w:pPr>
            <w:r>
              <w:rPr>
                <w:rFonts w:ascii="Arial" w:cs="Arial" w:eastAsia="Arial" w:hAnsi="Arial"/>
                <w:sz w:val="14"/>
                <w:szCs w:val="14"/>
                <w:color w:val="auto"/>
              </w:rPr>
              <w:t>27,970,966</w:t>
            </w:r>
          </w:p>
        </w:tc>
        <w:tc>
          <w:tcPr>
            <w:tcW w:w="4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27,758,941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163,520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160,713</w:t>
            </w:r>
          </w:p>
        </w:tc>
      </w:tr>
      <w:tr>
        <w:trPr>
          <w:trHeight w:val="20"/>
        </w:trPr>
        <w:tc>
          <w:tcPr>
            <w:tcW w:w="6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600" w:right="60" w:hanging="433"/>
        <w:spacing w:after="0" w:line="254" w:lineRule="auto"/>
        <w:tabs>
          <w:tab w:leader="none" w:pos="6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This table reflects the numbers of authorized and outstanding shares in the Convertible Preferred Stock, with their total respective liquidation preferences as of March 31, 2021 (unaudited).</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6"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jc w:val="right"/>
              <w:ind w:right="1160"/>
              <w:spacing w:after="0" w:line="154" w:lineRule="exact"/>
              <w:rPr>
                <w:sz w:val="20"/>
                <w:szCs w:val="20"/>
                <w:color w:val="auto"/>
              </w:rPr>
            </w:pPr>
            <w:r>
              <w:rPr>
                <w:rFonts w:ascii="Arial" w:cs="Arial" w:eastAsia="Arial" w:hAnsi="Arial"/>
                <w:sz w:val="14"/>
                <w:szCs w:val="14"/>
                <w:b w:val="1"/>
                <w:bCs w:val="1"/>
                <w:color w:val="auto"/>
                <w:w w:val="98"/>
              </w:rPr>
              <w:t>Shares</w:t>
            </w: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rPr>
              <w:t>Carrying</w:t>
            </w:r>
          </w:p>
        </w:tc>
      </w:tr>
      <w:tr>
        <w:trPr>
          <w:trHeight w:val="154"/>
        </w:trPr>
        <w:tc>
          <w:tcPr>
            <w:tcW w:w="65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auto"/>
              </w:rPr>
              <w:t>Authorized</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Value</w:t>
            </w:r>
          </w:p>
        </w:tc>
      </w:tr>
      <w:tr>
        <w:trPr>
          <w:trHeight w:val="181"/>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4,200,000</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2,188,322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4,211,094</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1,591,230</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6,957</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4,132,055</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18,846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18,612</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3,754,201</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24,756</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5,600,000</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55,000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54,929</w:t>
            </w:r>
          </w:p>
        </w:tc>
      </w:tr>
      <w:tr>
        <w:trPr>
          <w:trHeight w:val="27"/>
        </w:trPr>
        <w:tc>
          <w:tcPr>
            <w:tcW w:w="6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25,676,902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25,483,182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121,156</w:t>
            </w:r>
          </w:p>
        </w:tc>
      </w:tr>
      <w:tr>
        <w:trPr>
          <w:trHeight w:val="20"/>
        </w:trPr>
        <w:tc>
          <w:tcPr>
            <w:tcW w:w="6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60"/>
        <w:spacing w:after="0" w:line="234"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 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 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is a reconciliation of the Convertible Preferred Stock reacquired and reissued in 2020 (in thousands):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70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41"/>
        </w:trPr>
        <w:tc>
          <w:tcPr>
            <w:tcW w:w="3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rPr>
              <w:t>Cash Paid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3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Outstanding</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Reacquire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3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Preferred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9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3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Preferred</w:t>
            </w:r>
          </w:p>
        </w:tc>
        <w:tc>
          <w:tcPr>
            <w:tcW w:w="9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Preferred</w:t>
            </w:r>
          </w:p>
        </w:tc>
        <w:tc>
          <w:tcPr>
            <w:tcW w:w="10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Carrying</w:t>
            </w:r>
          </w:p>
        </w:tc>
      </w:tr>
      <w:tr>
        <w:trPr>
          <w:trHeight w:val="174"/>
        </w:trPr>
        <w:tc>
          <w:tcPr>
            <w:tcW w:w="3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Repurchased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Issued</w:t>
            </w:r>
          </w:p>
        </w:tc>
        <w:tc>
          <w:tcPr>
            <w:tcW w:w="9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140"/>
        </w:trPr>
        <w:tc>
          <w:tcPr>
            <w:tcW w:w="31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Series:</w:t>
            </w: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0"/>
        </w:trPr>
        <w:tc>
          <w:tcPr>
            <w:tcW w:w="31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4,200,000</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4,200,000</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  4,200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  4,200</w:t>
            </w:r>
          </w:p>
        </w:tc>
      </w:tr>
      <w:tr>
        <w:trPr>
          <w:trHeight w:val="160"/>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2,188,322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2,188,322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2,998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31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4,211,094</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4,211,094</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8,704</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1,591,230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(1,136,622)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1,136,622</w:t>
            </w:r>
          </w:p>
        </w:tc>
        <w:tc>
          <w:tcPr>
            <w:tcW w:w="220" w:type="dxa"/>
            <w:vAlign w:val="bottom"/>
            <w:shd w:val="clear" w:color="auto" w:fill="CCEEFF"/>
          </w:tcPr>
          <w:p>
            <w:pPr>
              <w:spacing w:after="0"/>
              <w:rPr>
                <w:sz w:val="13"/>
                <w:szCs w:val="13"/>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1,591,230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6,957</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10,883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12,839</w:t>
            </w:r>
          </w:p>
        </w:tc>
      </w:tr>
      <w:tr>
        <w:trPr>
          <w:trHeight w:val="160"/>
        </w:trPr>
        <w:tc>
          <w:tcPr>
            <w:tcW w:w="31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4,044,271</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(390,152)</w:t>
            </w:r>
          </w:p>
        </w:tc>
        <w:tc>
          <w:tcPr>
            <w:tcW w:w="780" w:type="dxa"/>
            <w:vAlign w:val="bottom"/>
          </w:tcPr>
          <w:p>
            <w:pPr>
              <w:jc w:val="right"/>
              <w:spacing w:after="0"/>
              <w:rPr>
                <w:sz w:val="20"/>
                <w:szCs w:val="20"/>
                <w:color w:val="auto"/>
              </w:rPr>
            </w:pPr>
            <w:r>
              <w:rPr>
                <w:rFonts w:ascii="Arial" w:cs="Arial" w:eastAsia="Arial" w:hAnsi="Arial"/>
                <w:sz w:val="14"/>
                <w:szCs w:val="14"/>
                <w:color w:val="auto"/>
              </w:rPr>
              <w:t>390,152</w:t>
            </w:r>
          </w:p>
        </w:tc>
        <w:tc>
          <w:tcPr>
            <w:tcW w:w="220" w:type="dxa"/>
            <w:vAlign w:val="bottom"/>
          </w:tcPr>
          <w:p>
            <w:pPr>
              <w:spacing w:after="0"/>
              <w:rPr>
                <w:sz w:val="13"/>
                <w:szCs w:val="13"/>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4,044,271</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18,612</w:t>
            </w:r>
          </w:p>
        </w:tc>
        <w:tc>
          <w:tcPr>
            <w:tcW w:w="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(2,001)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3,736</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20,347</w:t>
            </w:r>
          </w:p>
        </w:tc>
      </w:tr>
      <w:tr>
        <w:trPr>
          <w:trHeight w:val="160"/>
        </w:trPr>
        <w:tc>
          <w:tcPr>
            <w:tcW w:w="31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3,754,201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(405,453)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405,453</w:t>
            </w:r>
          </w:p>
        </w:tc>
        <w:tc>
          <w:tcPr>
            <w:tcW w:w="220" w:type="dxa"/>
            <w:vAlign w:val="bottom"/>
            <w:shd w:val="clear" w:color="auto" w:fill="CCEEFF"/>
          </w:tcPr>
          <w:p>
            <w:pPr>
              <w:spacing w:after="0"/>
              <w:rPr>
                <w:sz w:val="13"/>
                <w:szCs w:val="13"/>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3,754,201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24,756</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26,004</w:t>
            </w:r>
          </w:p>
        </w:tc>
      </w:tr>
    </w:tbl>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center"/>
              <w:ind w:left="14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rPr>
              <w:t>Cash Paid to</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Reacquire</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Repurchased</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Issued</w:t>
            </w: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rPr>
              <w:t>Issuance</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40" w:type="dxa"/>
            <w:vAlign w:val="bottom"/>
            <w:shd w:val="clear" w:color="auto" w:fill="CCEEFF"/>
          </w:tcPr>
          <w:p>
            <w:pPr>
              <w:ind w:left="300"/>
              <w:spacing w:after="0" w:line="154" w:lineRule="exact"/>
              <w:rPr>
                <w:sz w:val="20"/>
                <w:szCs w:val="20"/>
                <w:color w:val="auto"/>
              </w:rPr>
            </w:pPr>
            <w:r>
              <w:rPr>
                <w:rFonts w:ascii="Arial" w:cs="Arial" w:eastAsia="Arial" w:hAnsi="Arial"/>
                <w:sz w:val="14"/>
                <w:szCs w:val="14"/>
                <w:color w:val="auto"/>
              </w:rPr>
              <w:t>Series D Convertible Preferred Stock</w:t>
            </w:r>
          </w:p>
        </w:tc>
        <w:tc>
          <w:tcPr>
            <w:tcW w:w="86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5,494,064</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line="154" w:lineRule="exact"/>
              <w:rPr>
                <w:sz w:val="20"/>
                <w:szCs w:val="20"/>
                <w:color w:val="auto"/>
              </w:rPr>
            </w:pPr>
            <w:r>
              <w:rPr>
                <w:rFonts w:ascii="Arial" w:cs="Arial" w:eastAsia="Arial" w:hAnsi="Arial"/>
                <w:sz w:val="14"/>
                <w:szCs w:val="14"/>
                <w:color w:val="auto"/>
              </w:rPr>
              <w:t>(314,659)</w:t>
            </w:r>
          </w:p>
        </w:tc>
        <w:tc>
          <w:tcPr>
            <w:tcW w:w="80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314,659</w:t>
            </w:r>
          </w:p>
        </w:tc>
        <w:tc>
          <w:tcPr>
            <w:tcW w:w="1200" w:type="dxa"/>
            <w:vAlign w:val="bottom"/>
            <w:tcBorders>
              <w:right w:val="single" w:sz="8" w:color="auto"/>
            </w:tcBorders>
            <w:gridSpan w:val="3"/>
            <w:shd w:val="clear" w:color="auto" w:fill="CCEEFF"/>
          </w:tcPr>
          <w:p>
            <w:pPr>
              <w:jc w:val="right"/>
              <w:ind w:right="140"/>
              <w:spacing w:after="0" w:line="154" w:lineRule="exact"/>
              <w:rPr>
                <w:sz w:val="20"/>
                <w:szCs w:val="20"/>
                <w:color w:val="auto"/>
              </w:rPr>
            </w:pPr>
            <w:r>
              <w:rPr>
                <w:rFonts w:ascii="Arial" w:cs="Arial" w:eastAsia="Arial" w:hAnsi="Arial"/>
                <w:sz w:val="14"/>
                <w:szCs w:val="14"/>
                <w:color w:val="auto"/>
              </w:rPr>
              <w:t>5,494,064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20"/>
              <w:spacing w:after="0" w:line="154" w:lineRule="exact"/>
              <w:rPr>
                <w:sz w:val="20"/>
                <w:szCs w:val="20"/>
                <w:color w:val="auto"/>
              </w:rPr>
            </w:pPr>
            <w:r>
              <w:rPr>
                <w:rFonts w:ascii="Arial" w:cs="Arial" w:eastAsia="Arial" w:hAnsi="Arial"/>
                <w:sz w:val="14"/>
                <w:szCs w:val="14"/>
                <w:color w:val="auto"/>
              </w:rPr>
              <w:t>54,929</w:t>
            </w:r>
          </w:p>
        </w:tc>
        <w:tc>
          <w:tcPr>
            <w:tcW w:w="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80"/>
              <w:spacing w:after="0" w:line="154" w:lineRule="exact"/>
              <w:rPr>
                <w:sz w:val="20"/>
                <w:szCs w:val="20"/>
                <w:color w:val="auto"/>
              </w:rPr>
            </w:pPr>
            <w:r>
              <w:rPr>
                <w:rFonts w:ascii="Arial" w:cs="Arial" w:eastAsia="Arial" w:hAnsi="Arial"/>
                <w:sz w:val="14"/>
                <w:szCs w:val="14"/>
                <w:color w:val="auto"/>
              </w:rPr>
              <w:t>(3,150)</w:t>
            </w:r>
          </w:p>
        </w:tc>
        <w:tc>
          <w:tcPr>
            <w:tcW w:w="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4"/>
                <w:szCs w:val="14"/>
                <w:color w:val="auto"/>
              </w:rPr>
              <w:t>3,085</w:t>
            </w:r>
          </w:p>
        </w:tc>
        <w:tc>
          <w:tcPr>
            <w:tcW w:w="10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54" w:lineRule="exact"/>
              <w:rPr>
                <w:sz w:val="20"/>
                <w:szCs w:val="20"/>
                <w:color w:val="auto"/>
              </w:rPr>
            </w:pPr>
            <w:r>
              <w:rPr>
                <w:rFonts w:ascii="Arial" w:cs="Arial" w:eastAsia="Arial" w:hAnsi="Arial"/>
                <w:sz w:val="14"/>
                <w:szCs w:val="14"/>
                <w:color w:val="auto"/>
              </w:rPr>
              <w:t>54,864</w:t>
            </w:r>
          </w:p>
        </w:tc>
        <w:tc>
          <w:tcPr>
            <w:tcW w:w="0" w:type="dxa"/>
            <w:vAlign w:val="bottom"/>
          </w:tcPr>
          <w:p>
            <w:pPr>
              <w:spacing w:after="0"/>
              <w:rPr>
                <w:sz w:val="1"/>
                <w:szCs w:val="1"/>
                <w:color w:val="auto"/>
              </w:rPr>
            </w:pP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E Convertible Preferred Stock</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2,275,759</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2,275,759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30,757</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30,757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Totals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25,483,182</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(2,246,886)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4,522,645</w:t>
            </w:r>
          </w:p>
        </w:tc>
        <w:tc>
          <w:tcPr>
            <w:tcW w:w="12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27,758,941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121,156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(12,852)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52,409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160,713</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4"/>
                <w:szCs w:val="14"/>
                <w:color w:val="auto"/>
              </w:rPr>
              <w:t>Deemed dividend paid to preferred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9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160"/>
              <w:spacing w:after="0" w:line="156" w:lineRule="exact"/>
              <w:rPr>
                <w:sz w:val="20"/>
                <w:szCs w:val="20"/>
                <w:color w:val="auto"/>
              </w:rPr>
            </w:pPr>
            <w:r>
              <w:rPr>
                <w:rFonts w:ascii="Arial" w:cs="Arial" w:eastAsia="Arial" w:hAnsi="Arial"/>
                <w:sz w:val="14"/>
                <w:szCs w:val="14"/>
                <w:color w:val="auto"/>
              </w:rPr>
              <w:t>stockholders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(8,801)</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(21,653)</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340" w:hanging="638"/>
        <w:spacing w:after="0"/>
        <w:tabs>
          <w:tab w:leader="none" w:pos="134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Voting</w:t>
      </w:r>
    </w:p>
    <w:p>
      <w:pPr>
        <w:spacing w:after="0" w:line="123"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Each share of Convertible Preferred Stock has voting rights equal to an equivalent number of shares of common stock into which it is convertible and votes together as one class with the common stock.</w:t>
      </w:r>
    </w:p>
    <w:p>
      <w:pPr>
        <w:spacing w:after="0" w:line="87" w:lineRule="exact"/>
        <w:rPr>
          <w:sz w:val="20"/>
          <w:szCs w:val="20"/>
          <w:color w:val="auto"/>
        </w:rPr>
      </w:pPr>
    </w:p>
    <w:p>
      <w:pPr>
        <w:ind w:left="1340" w:hanging="638"/>
        <w:spacing w:after="0"/>
        <w:tabs>
          <w:tab w:leader="none" w:pos="134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123" w:lineRule="exact"/>
        <w:rPr>
          <w:sz w:val="20"/>
          <w:szCs w:val="20"/>
          <w:color w:val="auto"/>
        </w:rPr>
      </w:pPr>
    </w:p>
    <w:p>
      <w:pPr>
        <w:ind w:left="1360" w:right="40"/>
        <w:spacing w:after="0" w:line="249" w:lineRule="auto"/>
        <w:rPr>
          <w:sz w:val="20"/>
          <w:szCs w:val="20"/>
          <w:color w:val="auto"/>
        </w:rPr>
      </w:pPr>
      <w:r>
        <w:rPr>
          <w:rFonts w:ascii="Arial" w:cs="Arial" w:eastAsia="Arial" w:hAnsi="Arial"/>
          <w:sz w:val="17"/>
          <w:szCs w:val="17"/>
          <w:color w:val="auto"/>
        </w:rPr>
        <w:t>The holders of the Convertible Preferred Stock and the holders of the shares of common stock are entitled to receive dividends, when, as and if declared by the Board of Directors of the Company, out of any assets legally available therefore, on an as-converted basis. Prior to the payment of any dividend to the holders of common stock (other than dividends of common stock), the Company is required to pay a dividend on each outstanding share of Convertible Preferred Stock equal to 8% of the applicable original issue price of such share of Convertible Preferred Stock, having accrued from the date the first share of Series E Convertible Preferred Stock was issued. Dividends are not mandatory or cumulative and no rights or interest shall accrue to the holders of Convertible Preferred Stock and common stock, unless declared.</w:t>
      </w:r>
    </w:p>
    <w:p>
      <w:pPr>
        <w:spacing w:after="0" w:line="83" w:lineRule="exact"/>
        <w:rPr>
          <w:sz w:val="20"/>
          <w:szCs w:val="20"/>
          <w:color w:val="auto"/>
        </w:rPr>
      </w:pPr>
    </w:p>
    <w:p>
      <w:pPr>
        <w:ind w:left="1340" w:hanging="638"/>
        <w:spacing w:after="0"/>
        <w:tabs>
          <w:tab w:leader="none" w:pos="134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123" w:lineRule="exact"/>
        <w:rPr>
          <w:sz w:val="20"/>
          <w:szCs w:val="20"/>
          <w:color w:val="auto"/>
        </w:rPr>
      </w:pPr>
    </w:p>
    <w:p>
      <w:pPr>
        <w:ind w:left="1360" w:right="60"/>
        <w:spacing w:after="0" w:line="234" w:lineRule="auto"/>
        <w:rPr>
          <w:sz w:val="20"/>
          <w:szCs w:val="20"/>
          <w:color w:val="auto"/>
        </w:rPr>
      </w:pPr>
      <w:r>
        <w:rPr>
          <w:rFonts w:ascii="Arial" w:cs="Arial" w:eastAsia="Arial" w:hAnsi="Arial"/>
          <w:sz w:val="18"/>
          <w:szCs w:val="18"/>
          <w:color w:val="auto"/>
        </w:rPr>
        <w:t>Each share of Convertible Preferred Stock is convertible, at the option of the holder, into one share of common stock, as determined by dividing its issuance price per share by the applicable conversion price, subject to adjustments. Each share of Convertible Preferred Stock will automatically be converted into common stock upon either (i) closing of a public offering with gross proceeds of at least $50 million and the purchase price of such shares is at least $20.43 per share or (ii) written consent of the holders of a majority of the outstanding shares of Convertible Preferred Stock electing such a conversion, provided, however, that the conversion of the Series D Convertible Preferred Stock and Series E Convertible Preferred Stock shall require the vote or written consent of a majority of the outstanding shares of Series D Convertible Preferred Stock and Series E Convertible Preferred Stock, respectively.</w:t>
      </w:r>
    </w:p>
    <w:p>
      <w:pPr>
        <w:spacing w:after="0" w:line="89" w:lineRule="exact"/>
        <w:rPr>
          <w:sz w:val="20"/>
          <w:szCs w:val="20"/>
          <w:color w:val="auto"/>
        </w:rPr>
      </w:pPr>
    </w:p>
    <w:p>
      <w:pPr>
        <w:ind w:left="1340" w:hanging="638"/>
        <w:spacing w:after="0"/>
        <w:tabs>
          <w:tab w:leader="none" w:pos="1340"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and Share Preference</w:t>
      </w:r>
    </w:p>
    <w:p>
      <w:pPr>
        <w:spacing w:after="0" w:line="123" w:lineRule="exact"/>
        <w:rPr>
          <w:sz w:val="20"/>
          <w:szCs w:val="20"/>
          <w:color w:val="auto"/>
        </w:rPr>
      </w:pPr>
    </w:p>
    <w:p>
      <w:pPr>
        <w:ind w:left="1360" w:right="140"/>
        <w:spacing w:after="0" w:line="237"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Convertible Preferred Stock, on a pari passu basis, are entitled to liquidation preference equal to the original purchase price plus declared and</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unpaid dividends. After payment of the amounts above, if assets or funds remain in the Company, all remaining assets and funds shall be distributed pro rata among holders of common stock.</w:t>
      </w:r>
    </w:p>
    <w:p>
      <w:pPr>
        <w:spacing w:after="0" w:line="87" w:lineRule="exact"/>
        <w:rPr>
          <w:sz w:val="20"/>
          <w:szCs w:val="20"/>
          <w:color w:val="auto"/>
        </w:rPr>
      </w:pPr>
    </w:p>
    <w:p>
      <w:pPr>
        <w:ind w:left="1340" w:hanging="638"/>
        <w:spacing w:after="0"/>
        <w:tabs>
          <w:tab w:leader="none" w:pos="134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Redemption</w:t>
      </w:r>
    </w:p>
    <w:p>
      <w:pPr>
        <w:spacing w:after="0" w:line="123" w:lineRule="exact"/>
        <w:rPr>
          <w:sz w:val="20"/>
          <w:szCs w:val="20"/>
          <w:color w:val="auto"/>
        </w:rPr>
      </w:pPr>
    </w:p>
    <w:p>
      <w:pPr>
        <w:ind w:left="1360" w:right="40"/>
        <w:spacing w:after="0" w:line="234" w:lineRule="auto"/>
        <w:rPr>
          <w:sz w:val="20"/>
          <w:szCs w:val="20"/>
          <w:color w:val="auto"/>
        </w:rPr>
      </w:pPr>
      <w:r>
        <w:rPr>
          <w:rFonts w:ascii="Arial" w:cs="Arial" w:eastAsia="Arial" w:hAnsi="Arial"/>
          <w:sz w:val="18"/>
          <w:szCs w:val="18"/>
          <w:color w:val="auto"/>
        </w:rPr>
        <w:t>The holders of Convertible Preferred Stock have no voluntary rights to redeem their shares. The Convertible Preferred Stock has deemed liquidation provisions which require the shares to be redeemed upon a change in control or other deemed liquidation events. Although the Convertible Preferred Stock is not mandatorily or currently redeemable, a deemed liquidation event would constitute a redemption event outside the Company’s control. As a result of these liquidation features, all shares of Convertible Preferred Stock have been classified outside of stockholders’ deficit as temporary equity on the Consolidated Balance Sheets. The carrying values of the Company’s Convertible Preferred Stock have not been accreted to their redemption values as these events are not considered probable of occurring. Subsequent adjustments of the carrying values to redemption values will be made only if and when it becomes probable the preferred shares will become redeemable.</w:t>
      </w:r>
    </w:p>
    <w:p>
      <w:pPr>
        <w:spacing w:after="0" w:line="328" w:lineRule="exact"/>
        <w:rPr>
          <w:sz w:val="20"/>
          <w:szCs w:val="20"/>
          <w:color w:val="auto"/>
        </w:rPr>
      </w:pPr>
    </w:p>
    <w:p>
      <w:pPr>
        <w:ind w:left="700" w:hanging="533"/>
        <w:spacing w:after="0"/>
        <w:tabs>
          <w:tab w:leader="none" w:pos="7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2" w:lineRule="exact"/>
        <w:rPr>
          <w:rFonts w:ascii="Arial" w:cs="Arial" w:eastAsia="Arial" w:hAnsi="Arial"/>
          <w:sz w:val="18"/>
          <w:szCs w:val="18"/>
          <w:b w:val="1"/>
          <w:bCs w:val="1"/>
          <w:color w:val="auto"/>
        </w:rPr>
      </w:pPr>
    </w:p>
    <w:p>
      <w:pPr>
        <w:ind w:left="720" w:right="1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2016, the Company adopted a new stock compensation plan (the “2016 Equity Incentive Plan”) pursuant to which the Company may grant stock options, stock purchase rights, restricted stock awards, or stock awards to employees, directors and consultants (including prospective employees, directors, and consultants).</w:t>
      </w:r>
    </w:p>
    <w:p>
      <w:pPr>
        <w:spacing w:after="0" w:line="95"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fair value of the Company’s common stock has been estimated by management as there is no public market for the Company’s common stock. Xometry’s market-based methodology considers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96" w:lineRule="exact"/>
        <w:rPr>
          <w:rFonts w:ascii="Arial" w:cs="Arial" w:eastAsia="Arial" w:hAnsi="Arial"/>
          <w:sz w:val="18"/>
          <w:szCs w:val="18"/>
          <w:b w:val="1"/>
          <w:bCs w:val="1"/>
          <w:color w:val="auto"/>
        </w:rPr>
      </w:pPr>
    </w:p>
    <w:p>
      <w:pPr>
        <w:ind w:left="720" w:right="1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there were 203,535 and 1,200,489 shares available for the Company to grant under the 2016 Equity Incentive Plan. As of March 31, 2021, there were 121,414 shares available for the Company to grant under the 2016 Equity Incentive Plan. The weighted average assumptions for 2020 and 2019 are provided in the following table. For the years ended December 31, 2020 and 2019, the Company recognized forfeitures as incurred.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35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r>
      <w:tr>
        <w:trPr>
          <w:trHeight w:val="181"/>
        </w:trPr>
        <w:tc>
          <w:tcPr>
            <w:tcW w:w="35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Valuation assumptions:</w:t>
            </w:r>
          </w:p>
        </w:tc>
        <w:tc>
          <w:tcPr>
            <w:tcW w:w="47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1"/>
        </w:trPr>
        <w:tc>
          <w:tcPr>
            <w:tcW w:w="3540" w:type="dxa"/>
            <w:vAlign w:val="bottom"/>
          </w:tcPr>
          <w:p>
            <w:pPr>
              <w:ind w:left="360"/>
              <w:spacing w:after="0" w:line="201" w:lineRule="exact"/>
              <w:rPr>
                <w:sz w:val="20"/>
                <w:szCs w:val="20"/>
                <w:color w:val="auto"/>
              </w:rPr>
            </w:pPr>
            <w:r>
              <w:rPr>
                <w:rFonts w:ascii="Arial" w:cs="Arial" w:eastAsia="Arial" w:hAnsi="Arial"/>
                <w:sz w:val="18"/>
                <w:szCs w:val="18"/>
                <w:color w:val="auto"/>
              </w:rPr>
              <w:t>Expected dividend yield</w:t>
            </w:r>
          </w:p>
        </w:tc>
        <w:tc>
          <w:tcPr>
            <w:tcW w:w="4700" w:type="dxa"/>
            <w:vAlign w:val="bottom"/>
          </w:tcPr>
          <w:p>
            <w:pPr>
              <w:spacing w:after="0"/>
              <w:rPr>
                <w:sz w:val="17"/>
                <w:szCs w:val="17"/>
                <w:color w:val="auto"/>
              </w:rPr>
            </w:pPr>
          </w:p>
        </w:tc>
        <w:tc>
          <w:tcPr>
            <w:tcW w:w="8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 %</w:t>
            </w:r>
          </w:p>
        </w:tc>
      </w:tr>
      <w:tr>
        <w:trPr>
          <w:trHeight w:val="201"/>
        </w:trPr>
        <w:tc>
          <w:tcPr>
            <w:tcW w:w="3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Expected volatility</w:t>
            </w:r>
          </w:p>
        </w:tc>
        <w:tc>
          <w:tcPr>
            <w:tcW w:w="556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48%</w:t>
            </w:r>
          </w:p>
        </w:tc>
        <w:tc>
          <w:tcPr>
            <w:tcW w:w="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w:t>
            </w:r>
          </w:p>
        </w:tc>
      </w:tr>
      <w:tr>
        <w:trPr>
          <w:trHeight w:val="201"/>
        </w:trPr>
        <w:tc>
          <w:tcPr>
            <w:tcW w:w="3540" w:type="dxa"/>
            <w:vAlign w:val="bottom"/>
          </w:tcPr>
          <w:p>
            <w:pPr>
              <w:ind w:left="360"/>
              <w:spacing w:after="0" w:line="201" w:lineRule="exact"/>
              <w:rPr>
                <w:sz w:val="20"/>
                <w:szCs w:val="20"/>
                <w:color w:val="auto"/>
              </w:rPr>
            </w:pPr>
            <w:r>
              <w:rPr>
                <w:rFonts w:ascii="Arial" w:cs="Arial" w:eastAsia="Arial" w:hAnsi="Arial"/>
                <w:sz w:val="18"/>
                <w:szCs w:val="18"/>
                <w:color w:val="auto"/>
              </w:rPr>
              <w:t>Expected term (years)</w:t>
            </w:r>
          </w:p>
        </w:tc>
        <w:tc>
          <w:tcPr>
            <w:tcW w:w="5560" w:type="dxa"/>
            <w:vAlign w:val="bottom"/>
            <w:gridSpan w:val="3"/>
          </w:tcPr>
          <w:p>
            <w:pPr>
              <w:jc w:val="right"/>
              <w:ind w:right="420"/>
              <w:spacing w:after="0" w:line="201" w:lineRule="exact"/>
              <w:rPr>
                <w:sz w:val="20"/>
                <w:szCs w:val="20"/>
                <w:color w:val="auto"/>
              </w:rPr>
            </w:pPr>
            <w:r>
              <w:rPr>
                <w:rFonts w:ascii="Arial" w:cs="Arial" w:eastAsia="Arial" w:hAnsi="Arial"/>
                <w:sz w:val="18"/>
                <w:szCs w:val="18"/>
                <w:color w:val="auto"/>
              </w:rPr>
              <w:t>6.0</w:t>
            </w:r>
          </w:p>
        </w:tc>
        <w:tc>
          <w:tcPr>
            <w:tcW w:w="9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6.0</w:t>
            </w:r>
          </w:p>
        </w:tc>
      </w:tr>
      <w:tr>
        <w:trPr>
          <w:trHeight w:val="201"/>
        </w:trPr>
        <w:tc>
          <w:tcPr>
            <w:tcW w:w="3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Risk-free interest rate</w:t>
            </w:r>
          </w:p>
        </w:tc>
        <w:tc>
          <w:tcPr>
            <w:tcW w:w="556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0.5%</w:t>
            </w:r>
          </w:p>
        </w:tc>
        <w:tc>
          <w:tcPr>
            <w:tcW w:w="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1.8%</w:t>
            </w:r>
          </w:p>
        </w:tc>
      </w:tr>
      <w:tr>
        <w:trPr>
          <w:trHeight w:val="213"/>
        </w:trPr>
        <w:tc>
          <w:tcPr>
            <w:tcW w:w="3540" w:type="dxa"/>
            <w:vAlign w:val="bottom"/>
          </w:tcPr>
          <w:p>
            <w:pPr>
              <w:ind w:left="360"/>
              <w:spacing w:after="0"/>
              <w:rPr>
                <w:sz w:val="20"/>
                <w:szCs w:val="20"/>
                <w:color w:val="auto"/>
              </w:rPr>
            </w:pPr>
            <w:r>
              <w:rPr>
                <w:rFonts w:ascii="Arial" w:cs="Arial" w:eastAsia="Arial" w:hAnsi="Arial"/>
                <w:sz w:val="18"/>
                <w:szCs w:val="18"/>
                <w:color w:val="auto"/>
              </w:rPr>
              <w:t>Fair value of share</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r>
      <w:tr>
        <w:trPr>
          <w:trHeight w:val="347"/>
        </w:trPr>
        <w:tc>
          <w:tcPr>
            <w:tcW w:w="3540" w:type="dxa"/>
            <w:vAlign w:val="bottom"/>
          </w:tcPr>
          <w:p>
            <w:pPr>
              <w:spacing w:after="0"/>
              <w:rPr>
                <w:sz w:val="24"/>
                <w:szCs w:val="24"/>
                <w:color w:val="auto"/>
              </w:rPr>
            </w:pPr>
          </w:p>
        </w:tc>
        <w:tc>
          <w:tcPr>
            <w:tcW w:w="5560" w:type="dxa"/>
            <w:vAlign w:val="bottom"/>
            <w:gridSpan w:val="3"/>
          </w:tcPr>
          <w:p>
            <w:pPr>
              <w:jc w:val="right"/>
              <w:ind w:right="3900"/>
              <w:spacing w:after="0"/>
              <w:rPr>
                <w:sz w:val="20"/>
                <w:szCs w:val="20"/>
                <w:color w:val="auto"/>
              </w:rPr>
            </w:pPr>
            <w:r>
              <w:rPr>
                <w:rFonts w:ascii="Arial" w:cs="Arial" w:eastAsia="Arial" w:hAnsi="Arial"/>
                <w:sz w:val="18"/>
                <w:szCs w:val="18"/>
                <w:color w:val="auto"/>
              </w:rPr>
              <w:t>F-24</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40"/>
        <w:spacing w:after="0" w:line="239" w:lineRule="auto"/>
        <w:rPr>
          <w:sz w:val="20"/>
          <w:szCs w:val="20"/>
          <w:color w:val="auto"/>
        </w:rPr>
      </w:pPr>
      <w:r>
        <w:rPr>
          <w:rFonts w:ascii="Arial" w:cs="Arial" w:eastAsia="Arial" w:hAnsi="Arial"/>
          <w:sz w:val="18"/>
          <w:szCs w:val="18"/>
          <w:color w:val="auto"/>
        </w:rPr>
        <w:t>A summary of the status of the Company’s stock option activity and the changes during the quarter and/or years then ended are as follows (in millions, except share and per share amounts):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Average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3"/>
                <w:szCs w:val="13"/>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Intrinsic</w:t>
            </w: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Per Share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r>
      <w:tr>
        <w:trPr>
          <w:trHeight w:val="194"/>
        </w:trPr>
        <w:tc>
          <w:tcPr>
            <w:tcW w:w="20" w:type="dxa"/>
            <w:vAlign w:val="bottom"/>
          </w:tcPr>
          <w:p>
            <w:pPr>
              <w:spacing w:after="0"/>
              <w:rPr>
                <w:sz w:val="16"/>
                <w:szCs w:val="16"/>
                <w:color w:val="auto"/>
              </w:rPr>
            </w:pPr>
          </w:p>
        </w:tc>
        <w:tc>
          <w:tcPr>
            <w:tcW w:w="4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2,251,098</w:t>
            </w: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1.33</w:t>
            </w:r>
          </w:p>
        </w:tc>
        <w:tc>
          <w:tcPr>
            <w:tcW w:w="6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8.5</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1,170,598</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3.18</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(455,665)</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(336,784)</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1.65</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(8,720)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1.47</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2,620,527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at December 31, 2019</w:t>
            </w: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992,914</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40"/>
              <w:spacing w:after="0" w:line="195" w:lineRule="exact"/>
              <w:rPr>
                <w:sz w:val="20"/>
                <w:szCs w:val="20"/>
                <w:color w:val="auto"/>
              </w:rPr>
            </w:pPr>
            <w:r>
              <w:rPr>
                <w:rFonts w:ascii="Arial" w:cs="Arial" w:eastAsia="Arial" w:hAnsi="Arial"/>
                <w:sz w:val="18"/>
                <w:szCs w:val="18"/>
                <w:color w:val="auto"/>
              </w:rPr>
              <w:t>1.32</w:t>
            </w:r>
          </w:p>
        </w:tc>
        <w:tc>
          <w:tcPr>
            <w:tcW w:w="112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Balance at December 31, 2019</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2,620,527</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1,144,457</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3.98</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(492,839)</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(131,129)</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(15,413)</w:t>
            </w:r>
          </w:p>
        </w:tc>
        <w:tc>
          <w:tcPr>
            <w:tcW w:w="140" w:type="dxa"/>
            <w:vAlign w:val="bottom"/>
          </w:tcPr>
          <w:p>
            <w:pPr>
              <w:spacing w:after="0"/>
              <w:rPr>
                <w:sz w:val="18"/>
                <w:szCs w:val="18"/>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1.46</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3,125,603</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68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4680" w:type="dxa"/>
            <w:vAlign w:val="bottom"/>
            <w:gridSpan w:val="2"/>
          </w:tcPr>
          <w:p>
            <w:pPr>
              <w:spacing w:after="0" w:line="195" w:lineRule="exact"/>
              <w:rPr>
                <w:sz w:val="20"/>
                <w:szCs w:val="20"/>
                <w:color w:val="auto"/>
              </w:rPr>
            </w:pPr>
            <w:r>
              <w:rPr>
                <w:rFonts w:ascii="Arial" w:cs="Arial" w:eastAsia="Arial" w:hAnsi="Arial"/>
                <w:sz w:val="18"/>
                <w:szCs w:val="18"/>
                <w:color w:val="auto"/>
              </w:rPr>
              <w:t>Exercisable at December 31, 2020</w:t>
            </w:r>
          </w:p>
        </w:tc>
        <w:tc>
          <w:tcPr>
            <w:tcW w:w="1540" w:type="dxa"/>
            <w:vAlign w:val="bottom"/>
            <w:gridSpan w:val="2"/>
          </w:tcPr>
          <w:p>
            <w:pPr>
              <w:jc w:val="right"/>
              <w:ind w:right="680"/>
              <w:spacing w:after="0" w:line="195" w:lineRule="exact"/>
              <w:rPr>
                <w:sz w:val="20"/>
                <w:szCs w:val="20"/>
                <w:color w:val="auto"/>
              </w:rPr>
            </w:pPr>
            <w:r>
              <w:rPr>
                <w:rFonts w:ascii="Arial" w:cs="Arial" w:eastAsia="Arial" w:hAnsi="Arial"/>
                <w:sz w:val="18"/>
                <w:szCs w:val="18"/>
                <w:color w:val="auto"/>
              </w:rPr>
              <w:t>1,193,301</w:t>
            </w:r>
          </w:p>
        </w:tc>
        <w:tc>
          <w:tcPr>
            <w:tcW w:w="140" w:type="dxa"/>
            <w:vAlign w:val="bottom"/>
          </w:tcPr>
          <w:p>
            <w:pPr>
              <w:spacing w:after="0"/>
              <w:rPr>
                <w:sz w:val="16"/>
                <w:szCs w:val="16"/>
                <w:color w:val="auto"/>
              </w:rPr>
            </w:pPr>
          </w:p>
        </w:tc>
        <w:tc>
          <w:tcPr>
            <w:tcW w:w="14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2.14</w:t>
            </w:r>
          </w:p>
        </w:tc>
        <w:tc>
          <w:tcPr>
            <w:tcW w:w="112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7.2</w:t>
            </w:r>
          </w:p>
        </w:tc>
        <w:tc>
          <w:tcPr>
            <w:tcW w:w="46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2.8</w:t>
            </w: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2020</w:t>
            </w:r>
          </w:p>
        </w:tc>
        <w:tc>
          <w:tcPr>
            <w:tcW w:w="154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3,151,270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4.4</w:t>
            </w: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85,050</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10.93</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(474,054)</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1.75</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(12,913)</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3.52</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(6,912)</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2.02</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8"/>
                <w:szCs w:val="18"/>
                <w:color w:val="auto"/>
              </w:rPr>
              <w:t>Balance at March 31, 2021 (unaudited)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2,742,441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3.43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at March 31, 2021 (unaudited)</w:t>
            </w: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933,378</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40"/>
              <w:spacing w:after="0" w:line="195" w:lineRule="exact"/>
              <w:rPr>
                <w:sz w:val="20"/>
                <w:szCs w:val="20"/>
                <w:color w:val="auto"/>
              </w:rPr>
            </w:pPr>
            <w:r>
              <w:rPr>
                <w:rFonts w:ascii="Arial" w:cs="Arial" w:eastAsia="Arial" w:hAnsi="Arial"/>
                <w:sz w:val="18"/>
                <w:szCs w:val="18"/>
                <w:color w:val="auto"/>
              </w:rPr>
              <w:t>2.57</w:t>
            </w:r>
          </w:p>
        </w:tc>
        <w:tc>
          <w:tcPr>
            <w:tcW w:w="112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7.6</w:t>
            </w:r>
          </w:p>
        </w:tc>
        <w:tc>
          <w:tcPr>
            <w:tcW w:w="460" w:type="dxa"/>
            <w:vAlign w:val="bottom"/>
            <w:gridSpan w:val="2"/>
            <w:shd w:val="clear" w:color="auto" w:fill="CCEEFF"/>
          </w:tcPr>
          <w:p>
            <w:pPr>
              <w:ind w:left="320"/>
              <w:spacing w:after="0" w:line="195"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8.6</w:t>
            </w:r>
          </w:p>
        </w:tc>
      </w:tr>
    </w:tbl>
    <w:p>
      <w:pPr>
        <w:spacing w:after="0" w:line="213" w:lineRule="exact"/>
        <w:rPr>
          <w:sz w:val="20"/>
          <w:szCs w:val="20"/>
          <w:color w:val="auto"/>
        </w:rPr>
      </w:pPr>
    </w:p>
    <w:p>
      <w:pPr>
        <w:ind w:left="720" w:right="180"/>
        <w:spacing w:after="0" w:line="237" w:lineRule="auto"/>
        <w:rPr>
          <w:sz w:val="20"/>
          <w:szCs w:val="20"/>
          <w:color w:val="auto"/>
        </w:rPr>
      </w:pPr>
      <w:r>
        <w:rPr>
          <w:rFonts w:ascii="Arial" w:cs="Arial" w:eastAsia="Arial" w:hAnsi="Arial"/>
          <w:sz w:val="18"/>
          <w:szCs w:val="18"/>
          <w:color w:val="auto"/>
        </w:rPr>
        <w:t>The weighted average grant date fair value of options granted during 2020 and 2019 was $1.79 and $1.41, respectively. The total intrinsic value of options exercised during the years ended December 31, 2020 and 2019 was $1.6 million and $1.2 million, respectively.</w:t>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weighted average grant date fair value of options granted during the quarter ended March 31, 2021 was $5.39 (unaudited).</w:t>
      </w:r>
    </w:p>
    <w:p>
      <w:pPr>
        <w:ind w:left="720"/>
        <w:spacing w:after="0"/>
        <w:rPr>
          <w:sz w:val="20"/>
          <w:szCs w:val="20"/>
          <w:color w:val="auto"/>
        </w:rPr>
      </w:pPr>
      <w:r>
        <w:rPr>
          <w:rFonts w:ascii="Arial" w:cs="Arial" w:eastAsia="Arial" w:hAnsi="Arial"/>
          <w:sz w:val="18"/>
          <w:szCs w:val="18"/>
          <w:color w:val="auto"/>
        </w:rPr>
        <w:t>The total intrinsic value of options exercised during the quarter ended March 31, 2021 was $5.0 million (unaudited).</w:t>
      </w:r>
    </w:p>
    <w:p>
      <w:pPr>
        <w:spacing w:after="0" w:line="101" w:lineRule="exact"/>
        <w:rPr>
          <w:sz w:val="20"/>
          <w:szCs w:val="20"/>
          <w:color w:val="auto"/>
        </w:rPr>
      </w:pPr>
    </w:p>
    <w:p>
      <w:pPr>
        <w:ind w:left="720" w:right="340"/>
        <w:spacing w:after="0" w:line="237" w:lineRule="auto"/>
        <w:rPr>
          <w:sz w:val="20"/>
          <w:szCs w:val="20"/>
          <w:color w:val="auto"/>
        </w:rPr>
      </w:pPr>
      <w:r>
        <w:rPr>
          <w:rFonts w:ascii="Arial" w:cs="Arial" w:eastAsia="Arial" w:hAnsi="Arial"/>
          <w:sz w:val="18"/>
          <w:szCs w:val="18"/>
          <w:color w:val="auto"/>
        </w:rPr>
        <w:t>At December 31, 2020 and 2019, there was $2.4 million and $1.5 million, respectively, of total unrecognized compensation cost related to unvested stock options granted under the 2016 Equity Incentive Plan. That cost is expected to be recognized over a weighted average period of 1.21 years and 1.26 years at December 31, 2020 and 2019, respectively.</w:t>
      </w:r>
    </w:p>
    <w:p>
      <w:pPr>
        <w:spacing w:after="0" w:line="96"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At March 31, 2021 (unaudited), there was $2.7 million of total unrecognized compensation cost related to unvested stock options granted under the 2016 Equity Incentive Plan. That cost is expected to be recognized over a weighted average period of 1.15 years at March 31, 2021 (unaudited).</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14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6"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hanging="533"/>
        <w:spacing w:after="0"/>
        <w:tabs>
          <w:tab w:leader="none" w:pos="7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2" w:lineRule="exact"/>
        <w:rPr>
          <w:rFonts w:ascii="Arial" w:cs="Arial" w:eastAsia="Arial" w:hAnsi="Arial"/>
          <w:sz w:val="18"/>
          <w:szCs w:val="18"/>
          <w:b w:val="1"/>
          <w:bCs w:val="1"/>
          <w:color w:val="auto"/>
        </w:rPr>
      </w:pPr>
    </w:p>
    <w:p>
      <w:pPr>
        <w:ind w:left="7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had no current or deferred income tax benefit or expense in the U.S. or Germany for the years ended December 31, 2020 and 2019 or for the quarter ended March 31, 2021 (unaudited).</w:t>
      </w:r>
    </w:p>
    <w:p>
      <w:pPr>
        <w:spacing w:after="0" w:line="9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statutory federal income tax rate to the Company’s effective tax rate was as follows: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80" w:type="dxa"/>
            <w:vAlign w:val="bottom"/>
          </w:tcPr>
          <w:p>
            <w:pPr>
              <w:spacing w:after="0"/>
              <w:rPr>
                <w:sz w:val="15"/>
                <w:szCs w:val="15"/>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4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2020</w:t>
            </w:r>
          </w:p>
        </w:tc>
        <w:tc>
          <w:tcPr>
            <w:tcW w:w="7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3"/>
                <w:szCs w:val="13"/>
                <w:color w:val="auto"/>
              </w:rPr>
            </w:pPr>
          </w:p>
        </w:tc>
      </w:tr>
      <w:tr>
        <w:trPr>
          <w:trHeight w:val="194"/>
        </w:trPr>
        <w:tc>
          <w:tcPr>
            <w:tcW w:w="84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Federal tax statutory rate</w:t>
            </w:r>
          </w:p>
        </w:tc>
        <w:tc>
          <w:tcPr>
            <w:tcW w:w="102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21%</w:t>
            </w:r>
          </w:p>
        </w:tc>
      </w:tr>
      <w:tr>
        <w:trPr>
          <w:trHeight w:val="201"/>
        </w:trPr>
        <w:tc>
          <w:tcPr>
            <w:tcW w:w="8480" w:type="dxa"/>
            <w:vAlign w:val="bottom"/>
          </w:tcPr>
          <w:p>
            <w:pPr>
              <w:spacing w:after="0" w:line="201" w:lineRule="exact"/>
              <w:rPr>
                <w:sz w:val="20"/>
                <w:szCs w:val="20"/>
                <w:color w:val="auto"/>
              </w:rPr>
            </w:pPr>
            <w:r>
              <w:rPr>
                <w:rFonts w:ascii="Arial" w:cs="Arial" w:eastAsia="Arial" w:hAnsi="Arial"/>
                <w:sz w:val="18"/>
                <w:szCs w:val="18"/>
                <w:color w:val="auto"/>
              </w:rPr>
              <w:t>Foreign rate difference</w:t>
            </w:r>
          </w:p>
        </w:tc>
        <w:tc>
          <w:tcPr>
            <w:tcW w:w="1020" w:type="dxa"/>
            <w:vAlign w:val="bottom"/>
            <w:gridSpan w:val="2"/>
          </w:tcPr>
          <w:p>
            <w:pPr>
              <w:jc w:val="right"/>
              <w:ind w:right="700"/>
              <w:spacing w:after="0" w:line="201" w:lineRule="exact"/>
              <w:rPr>
                <w:sz w:val="20"/>
                <w:szCs w:val="20"/>
                <w:color w:val="auto"/>
              </w:rPr>
            </w:pPr>
            <w:r>
              <w:rPr>
                <w:rFonts w:ascii="Arial" w:cs="Arial" w:eastAsia="Arial" w:hAnsi="Arial"/>
                <w:sz w:val="18"/>
                <w:szCs w:val="18"/>
                <w:color w:val="auto"/>
              </w:rPr>
              <w:t>3</w:t>
            </w:r>
          </w:p>
        </w:tc>
        <w:tc>
          <w:tcPr>
            <w:tcW w:w="5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w:t>
            </w:r>
          </w:p>
        </w:tc>
      </w:tr>
      <w:tr>
        <w:trPr>
          <w:trHeight w:val="214"/>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01"/>
        </w:trPr>
        <w:tc>
          <w:tcPr>
            <w:tcW w:w="8480" w:type="dxa"/>
            <w:vAlign w:val="bottom"/>
          </w:tcPr>
          <w:p>
            <w:pPr>
              <w:spacing w:after="0" w:line="201" w:lineRule="exact"/>
              <w:rPr>
                <w:sz w:val="20"/>
                <w:szCs w:val="20"/>
                <w:color w:val="auto"/>
              </w:rPr>
            </w:pPr>
            <w:r>
              <w:rPr>
                <w:rFonts w:ascii="Arial" w:cs="Arial" w:eastAsia="Arial" w:hAnsi="Arial"/>
                <w:sz w:val="18"/>
                <w:szCs w:val="18"/>
                <w:color w:val="auto"/>
              </w:rPr>
              <w:t>Valuation allowance</w:t>
            </w:r>
          </w:p>
        </w:tc>
        <w:tc>
          <w:tcPr>
            <w:tcW w:w="10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(22)</w:t>
            </w:r>
          </w:p>
        </w:tc>
        <w:tc>
          <w:tcPr>
            <w:tcW w:w="5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w:t>
            </w:r>
          </w:p>
        </w:tc>
      </w:tr>
      <w:tr>
        <w:trPr>
          <w:trHeight w:val="27"/>
        </w:trPr>
        <w:tc>
          <w:tcPr>
            <w:tcW w:w="8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8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 %</w:t>
            </w:r>
          </w:p>
        </w:tc>
      </w:tr>
      <w:tr>
        <w:trPr>
          <w:trHeight w:val="20"/>
        </w:trPr>
        <w:tc>
          <w:tcPr>
            <w:tcW w:w="8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720" w:right="100"/>
        <w:spacing w:after="0" w:line="237" w:lineRule="auto"/>
        <w:rPr>
          <w:sz w:val="20"/>
          <w:szCs w:val="20"/>
          <w:color w:val="auto"/>
        </w:rPr>
      </w:pPr>
      <w:r>
        <w:rPr>
          <w:rFonts w:ascii="Arial" w:cs="Arial" w:eastAsia="Arial" w:hAnsi="Arial"/>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2020 and 2019 are presented below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3"/>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4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Deferred tax assets:</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Deferred compensation</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Deferred rent</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Sec. 163(j) interest limitation carryforward</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390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Allowance for doubtful accounts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operating loss</w:t>
            </w:r>
          </w:p>
        </w:tc>
        <w:tc>
          <w:tcPr>
            <w:tcW w:w="2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25,709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20,877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Less valuation allowance</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(26,148)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8"/>
              </w:rPr>
              <w:t>(21,176)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deferred tax assets, net</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gridSpan w:val="2"/>
            <w:vMerge w:val="continue"/>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7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Deferred tax liabilities:</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Fixed assets</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(227)</w:t>
            </w: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Acquisition costs and intangibles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b w:val="1"/>
                <w:bCs w:val="1"/>
                <w:color w:val="auto"/>
              </w:rPr>
              <w:t>Total deferred tax liabilities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(1,315)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7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deferred tax asset/liability</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Tax Valuation Allowance</w:t>
      </w:r>
    </w:p>
    <w:p>
      <w:pPr>
        <w:spacing w:after="0" w:line="119" w:lineRule="exact"/>
        <w:rPr>
          <w:sz w:val="20"/>
          <w:szCs w:val="20"/>
          <w:color w:val="auto"/>
        </w:rPr>
      </w:pPr>
    </w:p>
    <w:p>
      <w:pPr>
        <w:ind w:left="720" w:right="120"/>
        <w:spacing w:after="0" w:line="23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00"/>
          </w:cols>
          <w:pgMar w:left="320" w:top="456" w:right="5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180"/>
        <w:spacing w:after="0" w:line="234" w:lineRule="auto"/>
        <w:rPr>
          <w:sz w:val="20"/>
          <w:szCs w:val="20"/>
          <w:color w:val="auto"/>
        </w:rPr>
      </w:pPr>
      <w:r>
        <w:rPr>
          <w:rFonts w:ascii="Arial" w:cs="Arial" w:eastAsia="Arial" w:hAnsi="Arial"/>
          <w:sz w:val="18"/>
          <w:szCs w:val="18"/>
          <w:color w:val="auto"/>
        </w:rPr>
        <w:t>As of December 31, 2020, and 2019, the Company had a valuation allowance of $26.1 million and $21.2 million, respectively, against certain deferred tax assets. The valuation allowance relates to the deferred tax assets of the Company’s U.S. entities, including federal and state tax attributes and timing differences, as well as the deferred tax assets of its foreign subsidiary. The increase in the valuation allowance during 2020 is primarily related to the pre-tax losses generated in the U.S and Germany. The Company has a full valuation allowance against its net deferred tax assets as a result of cumulative losses as of December 31, 2020 and 2019 and March 31, 2021 (unaudited). As of March 31, 2021 (unaudited), no facts or circumstances arose that affected the Company’s determination as to the full valuation established against the net deferred tax assets.</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December 31, 2020, the Company has net operating loss (“NOL”) carryforwards for U.S. federal income tax purposes, and</w:t>
      </w:r>
    </w:p>
    <w:p>
      <w:pPr>
        <w:ind w:left="720"/>
        <w:spacing w:after="0" w:line="232" w:lineRule="auto"/>
        <w:rPr>
          <w:sz w:val="20"/>
          <w:szCs w:val="20"/>
          <w:color w:val="auto"/>
        </w:rPr>
      </w:pPr>
      <w:r>
        <w:rPr>
          <w:rFonts w:ascii="Arial" w:cs="Arial" w:eastAsia="Arial" w:hAnsi="Arial"/>
          <w:sz w:val="18"/>
          <w:szCs w:val="18"/>
          <w:color w:val="auto"/>
        </w:rPr>
        <w:t>similar state amounts, of approximately $90.1 million available to reduce future income subject to income taxes before limitations.</w:t>
      </w:r>
    </w:p>
    <w:p>
      <w:pPr>
        <w:ind w:left="720"/>
        <w:spacing w:after="0" w:line="233" w:lineRule="auto"/>
        <w:rPr>
          <w:sz w:val="20"/>
          <w:szCs w:val="20"/>
          <w:color w:val="auto"/>
        </w:rPr>
      </w:pPr>
      <w:r>
        <w:rPr>
          <w:rFonts w:ascii="Arial" w:cs="Arial" w:eastAsia="Arial" w:hAnsi="Arial"/>
          <w:sz w:val="18"/>
          <w:szCs w:val="18"/>
          <w:color w:val="auto"/>
        </w:rPr>
        <w:t>As of December 31, 2020 the Company had a net operating loss carryforward for tax purposes related to its foreign subsidiary of</w:t>
      </w:r>
    </w:p>
    <w:p>
      <w:pPr>
        <w:ind w:left="720"/>
        <w:spacing w:after="0"/>
        <w:rPr>
          <w:sz w:val="20"/>
          <w:szCs w:val="20"/>
          <w:color w:val="auto"/>
        </w:rPr>
      </w:pPr>
      <w:r>
        <w:rPr>
          <w:rFonts w:ascii="Arial" w:cs="Arial" w:eastAsia="Arial" w:hAnsi="Arial"/>
          <w:sz w:val="17"/>
          <w:szCs w:val="17"/>
          <w:color w:val="auto"/>
        </w:rPr>
        <w:t>$10.2 million. U.S. federal net operating carryforwards generated prior to 2018 in the approximate amount of $26.6 million will begin</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to expire, if not utilized, in 2033. German net operating loss and U.S. federal net operating losses post 2017 have an indefinite life.</w:t>
      </w:r>
    </w:p>
    <w:p>
      <w:pPr>
        <w:ind w:left="720"/>
        <w:spacing w:after="0" w:line="238" w:lineRule="auto"/>
        <w:rPr>
          <w:sz w:val="20"/>
          <w:szCs w:val="20"/>
          <w:color w:val="auto"/>
        </w:rPr>
      </w:pPr>
      <w:r>
        <w:rPr>
          <w:rFonts w:ascii="Arial" w:cs="Arial" w:eastAsia="Arial" w:hAnsi="Arial"/>
          <w:sz w:val="18"/>
          <w:szCs w:val="18"/>
          <w:color w:val="auto"/>
        </w:rPr>
        <w:t>Under the provisions of U.S. Internal Revenue Code Section 382, certain substantial changes in the Company’s ownership may</w:t>
      </w:r>
    </w:p>
    <w:p>
      <w:pPr>
        <w:ind w:left="720"/>
        <w:spacing w:after="0" w:line="233" w:lineRule="auto"/>
        <w:rPr>
          <w:sz w:val="20"/>
          <w:szCs w:val="20"/>
          <w:color w:val="auto"/>
        </w:rPr>
      </w:pPr>
      <w:r>
        <w:rPr>
          <w:rFonts w:ascii="Arial" w:cs="Arial" w:eastAsia="Arial" w:hAnsi="Arial"/>
          <w:sz w:val="18"/>
          <w:szCs w:val="18"/>
          <w:color w:val="auto"/>
        </w:rPr>
        <w:t>result in a limitation in the amount of U.S. net operating loss carryforwards that can be utilized annually to offset future taxable</w:t>
      </w:r>
    </w:p>
    <w:p>
      <w:pPr>
        <w:ind w:left="720"/>
        <w:spacing w:after="0" w:line="232" w:lineRule="auto"/>
        <w:rPr>
          <w:sz w:val="20"/>
          <w:szCs w:val="20"/>
          <w:color w:val="auto"/>
        </w:rPr>
      </w:pPr>
      <w:r>
        <w:rPr>
          <w:rFonts w:ascii="Arial" w:cs="Arial" w:eastAsia="Arial" w:hAnsi="Arial"/>
          <w:sz w:val="18"/>
          <w:szCs w:val="18"/>
          <w:color w:val="auto"/>
        </w:rPr>
        <w:t>income. As of December 31, 2020 the $90.1 million of U.S. federal net operating losses excludes $14.7 million of acquired net</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operating losses that the Company expects to be substantially limited by Section 382 of the U.S. Internal Revenue Code and does</w:t>
      </w:r>
    </w:p>
    <w:p>
      <w:pPr>
        <w:ind w:left="720"/>
        <w:spacing w:after="0" w:line="238" w:lineRule="auto"/>
        <w:rPr>
          <w:sz w:val="20"/>
          <w:szCs w:val="20"/>
          <w:color w:val="auto"/>
        </w:rPr>
      </w:pPr>
      <w:r>
        <w:rPr>
          <w:rFonts w:ascii="Arial" w:cs="Arial" w:eastAsia="Arial" w:hAnsi="Arial"/>
          <w:sz w:val="18"/>
          <w:szCs w:val="18"/>
          <w:color w:val="auto"/>
        </w:rPr>
        <w:t>not expect to claim on a U.S. Tax Return. As of December 31, 2020 the Company completed an analysis on the remaining</w:t>
      </w:r>
    </w:p>
    <w:p>
      <w:pPr>
        <w:ind w:left="720" w:right="300"/>
        <w:spacing w:after="0" w:line="236" w:lineRule="auto"/>
        <w:rPr>
          <w:sz w:val="20"/>
          <w:szCs w:val="20"/>
          <w:color w:val="auto"/>
        </w:rPr>
      </w:pPr>
      <w:r>
        <w:rPr>
          <w:rFonts w:ascii="Arial" w:cs="Arial" w:eastAsia="Arial" w:hAnsi="Arial"/>
          <w:sz w:val="18"/>
          <w:szCs w:val="18"/>
          <w:color w:val="auto"/>
        </w:rPr>
        <w:t>$90.1 million of U.S. federal net operating losses, pursuant to Section 382 of the U.S. Internal Revenue Code, to determine the impact ownership changes have had on the ability of the company to utilize net operating losses it has generated. Based on the results of this study, the Company expects the $90.1 million of U.S. federal net operating losses to be available to offset future taxable income.</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Uncertain Tax Positions</w:t>
      </w:r>
    </w:p>
    <w:p>
      <w:pPr>
        <w:spacing w:after="0" w:line="119" w:lineRule="exact"/>
        <w:rPr>
          <w:sz w:val="20"/>
          <w:szCs w:val="20"/>
          <w:color w:val="auto"/>
        </w:rPr>
      </w:pPr>
    </w:p>
    <w:p>
      <w:pPr>
        <w:ind w:left="720" w:right="40"/>
        <w:spacing w:after="0" w:line="236" w:lineRule="auto"/>
        <w:rPr>
          <w:sz w:val="20"/>
          <w:szCs w:val="20"/>
          <w:color w:val="auto"/>
        </w:rPr>
      </w:pPr>
      <w:r>
        <w:rPr>
          <w:rFonts w:ascii="Arial" w:cs="Arial" w:eastAsia="Arial" w:hAnsi="Arial"/>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The Company has not identified any unrecognized tax benefits.</w:t>
      </w:r>
    </w:p>
    <w:p>
      <w:pPr>
        <w:spacing w:after="0" w:line="95" w:lineRule="exact"/>
        <w:rPr>
          <w:sz w:val="20"/>
          <w:szCs w:val="20"/>
          <w:color w:val="auto"/>
        </w:rPr>
      </w:pPr>
    </w:p>
    <w:p>
      <w:pPr>
        <w:ind w:left="720" w:right="40"/>
        <w:spacing w:after="0" w:line="235" w:lineRule="auto"/>
        <w:rPr>
          <w:sz w:val="20"/>
          <w:szCs w:val="20"/>
          <w:color w:val="auto"/>
        </w:rPr>
      </w:pPr>
      <w:r>
        <w:rPr>
          <w:rFonts w:ascii="Arial" w:cs="Arial" w:eastAsia="Arial" w:hAnsi="Arial"/>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There were no interest or penalties assessed by income taxing authorities during the years ended December 31, 2020 and 2019 or for the quarters ended March 31, 2021 and 2020 (unaudited). The Company is not currently under examination by any tax jurisdiction</w:t>
      </w:r>
    </w:p>
    <w:p>
      <w:pPr>
        <w:spacing w:after="0" w:line="7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COVID -19</w:t>
      </w:r>
    </w:p>
    <w:p>
      <w:pPr>
        <w:spacing w:after="0" w:line="119" w:lineRule="exact"/>
        <w:rPr>
          <w:sz w:val="20"/>
          <w:szCs w:val="20"/>
          <w:color w:val="auto"/>
        </w:rPr>
      </w:pPr>
    </w:p>
    <w:p>
      <w:pPr>
        <w:jc w:val="both"/>
        <w:ind w:left="720" w:right="200"/>
        <w:spacing w:after="0" w:line="236" w:lineRule="auto"/>
        <w:rPr>
          <w:sz w:val="20"/>
          <w:szCs w:val="20"/>
          <w:color w:val="auto"/>
        </w:rPr>
      </w:pPr>
      <w:r>
        <w:rPr>
          <w:rFonts w:ascii="Arial" w:cs="Arial" w:eastAsia="Arial" w:hAnsi="Arial"/>
          <w:sz w:val="18"/>
          <w:szCs w:val="18"/>
          <w:color w:val="auto"/>
        </w:rPr>
        <w:t>The COVID-19 pandemic has a global reach, and many countries have introduced measures that provide relief to taxpayers in a variety of ways. The Company has evaluated these measures, including the CARES Act in the United States, and has concluded that these did not have a significant impact on its income tax (provision)/benefit for the year ended December 31, 2020 or for the quarter ended March 31, 2021 (unaudited).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60"/>
          </w:cols>
          <w:pgMar w:left="320" w:top="456"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right="360" w:hanging="533"/>
        <w:spacing w:after="0" w:line="265" w:lineRule="auto"/>
        <w:tabs>
          <w:tab w:leader="none" w:pos="7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 and Pro Forma Net Loss per Share Attributable to Common Stockholders</w:t>
      </w:r>
    </w:p>
    <w:p>
      <w:pPr>
        <w:spacing w:after="0" w:line="73" w:lineRule="exact"/>
        <w:rPr>
          <w:rFonts w:ascii="Arial" w:cs="Arial" w:eastAsia="Arial" w:hAnsi="Arial"/>
          <w:sz w:val="18"/>
          <w:szCs w:val="18"/>
          <w:b w:val="1"/>
          <w:bCs w:val="1"/>
          <w:color w:val="auto"/>
        </w:rPr>
      </w:pPr>
    </w:p>
    <w:p>
      <w:pPr>
        <w:ind w:left="720" w:right="5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(31,085)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120" w:type="dxa"/>
            <w:vAlign w:val="bottom"/>
          </w:tcPr>
          <w:p>
            <w:pPr>
              <w:spacing w:after="0"/>
              <w:rPr>
                <w:sz w:val="17"/>
                <w:szCs w:val="17"/>
                <w:color w:val="auto"/>
              </w:rPr>
            </w:pPr>
          </w:p>
        </w:tc>
        <w:tc>
          <w:tcPr>
            <w:tcW w:w="11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(8,801)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(39,886)</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ind w:left="16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120" w:type="dxa"/>
            <w:vAlign w:val="bottom"/>
          </w:tcPr>
          <w:p>
            <w:pPr>
              <w:spacing w:after="0"/>
              <w:rPr>
                <w:sz w:val="17"/>
                <w:szCs w:val="17"/>
                <w:color w:val="auto"/>
              </w:rPr>
            </w:pPr>
          </w:p>
        </w:tc>
        <w:tc>
          <w:tcPr>
            <w:tcW w:w="118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7"/>
              </w:rPr>
              <w:t>7,492,876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6,345,498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(5.32)</w:t>
            </w:r>
          </w:p>
        </w:tc>
        <w:tc>
          <w:tcPr>
            <w:tcW w:w="4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As of December 31, 2020 and 2019, the Company had approximately 28.6 million shares and approximately 26.0 million shares, respectively, that are potentially dilutive securities that were excluded from the computation of diluted net loss per share because including them would have had an anti-dilutive effect. Of these potentially dilutive shares at December 31, 2020 and 2019, approximately 27.8 million shares and approximately 25.5 million shares, respectively are in the form of convertible preferred stock, approximately 836,000 shares and approximately 497,000 shares, respectively are in the form of outstanding stock options and approximately 14,000 shares and approximately 9,000 shares, respectively are in the form of outstanding warrants.</w:t>
      </w:r>
    </w:p>
    <w:p>
      <w:pPr>
        <w:spacing w:after="0" w:line="202" w:lineRule="exact"/>
        <w:rPr>
          <w:sz w:val="20"/>
          <w:szCs w:val="20"/>
          <w:color w:val="auto"/>
        </w:rPr>
      </w:pPr>
    </w:p>
    <w:p>
      <w:pPr>
        <w:ind w:left="720" w:right="880"/>
        <w:spacing w:after="0" w:line="239" w:lineRule="auto"/>
        <w:rPr>
          <w:sz w:val="20"/>
          <w:szCs w:val="20"/>
          <w:color w:val="auto"/>
        </w:rPr>
      </w:pPr>
      <w:r>
        <w:rPr>
          <w:rFonts w:ascii="Arial" w:cs="Arial" w:eastAsia="Arial" w:hAnsi="Arial"/>
          <w:sz w:val="18"/>
          <w:szCs w:val="18"/>
          <w:color w:val="auto"/>
        </w:rPr>
        <w:t>The following (unaudited) table sets forth the computation of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201"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4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6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201"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ind w:left="160"/>
              <w:spacing w:after="0" w:line="201" w:lineRule="exact"/>
              <w:rPr>
                <w:sz w:val="20"/>
                <w:szCs w:val="20"/>
                <w:color w:val="auto"/>
              </w:rPr>
            </w:pPr>
            <w:r>
              <w:rPr>
                <w:rFonts w:ascii="Arial" w:cs="Arial" w:eastAsia="Arial" w:hAnsi="Arial"/>
                <w:sz w:val="18"/>
                <w:szCs w:val="18"/>
                <w:color w:val="auto"/>
              </w:rPr>
              <w:t>share attributable to common stockholders, basic and diluted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689"/>
              <w:spacing w:after="0" w:line="201" w:lineRule="exact"/>
              <w:rPr>
                <w:sz w:val="20"/>
                <w:szCs w:val="20"/>
                <w:color w:val="auto"/>
              </w:rPr>
            </w:pPr>
            <w:r>
              <w:rPr>
                <w:rFonts w:ascii="Arial" w:cs="Arial" w:eastAsia="Arial" w:hAnsi="Arial"/>
                <w:sz w:val="18"/>
                <w:szCs w:val="18"/>
                <w:color w:val="auto"/>
                <w:w w:val="97"/>
              </w:rPr>
              <w:t>7,924,848</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7,354,673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680" w:type="dxa"/>
            <w:vAlign w:val="bottom"/>
            <w:gridSpan w:val="2"/>
            <w:shd w:val="clear" w:color="auto" w:fill="CCEEFF"/>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195"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As of March 31, 2021 and 2020, the Company had approximately 29.4 million shares and approximately 26.4 million shares, respectively, that are potentially dilutive securities that were excluded from the computation of diluted net loss per share because including them would have had an anti-dilutive effect. Of these potentially dilutive shares at March 31, 2021 and 2020, approximately 27.8 million shares and approximately 25.5 million shares, respectively are in the form of convertible preferred stock, approximately 1.6 million shares and approximately 912,000 shares, respectively are in the form of outstanding stock options and approximately 51,000 shares and approximately 13,000 shares, respectively are in the form of outstanding warrants.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40"/>
          </w:cols>
          <w:pgMar w:left="320" w:top="456" w:right="5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Pro Forma Net Loss per Share Attributable to Common Stockholders</w:t>
      </w:r>
    </w:p>
    <w:p>
      <w:pPr>
        <w:spacing w:after="0" w:line="123"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following (unaudited) table sets forth the computation of pro forma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4"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6"/>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54"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(31,085)</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(10,501)</w:t>
            </w:r>
          </w:p>
        </w:tc>
        <w:tc>
          <w:tcPr>
            <w:tcW w:w="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(8,801)</w:t>
            </w:r>
          </w:p>
        </w:tc>
        <w:tc>
          <w:tcPr>
            <w:tcW w:w="100" w:type="dxa"/>
            <w:vAlign w:val="bottom"/>
          </w:tcPr>
          <w:p>
            <w:pPr>
              <w:spacing w:after="0"/>
              <w:rPr>
                <w:sz w:val="17"/>
                <w:szCs w:val="17"/>
                <w:color w:val="auto"/>
              </w:rPr>
            </w:pP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(39,886)</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(10,501)</w:t>
            </w:r>
          </w:p>
        </w:tc>
        <w:tc>
          <w:tcPr>
            <w:tcW w:w="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weighted-average number of shares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60" w:type="dxa"/>
            <w:vAlign w:val="bottom"/>
          </w:tcPr>
          <w:p>
            <w:pPr>
              <w:ind w:left="160"/>
              <w:spacing w:after="0" w:line="201" w:lineRule="exact"/>
              <w:rPr>
                <w:sz w:val="20"/>
                <w:szCs w:val="20"/>
                <w:color w:val="auto"/>
              </w:rPr>
            </w:pPr>
            <w:r>
              <w:rPr>
                <w:rFonts w:ascii="Arial" w:cs="Arial" w:eastAsia="Arial" w:hAnsi="Arial"/>
                <w:sz w:val="18"/>
                <w:szCs w:val="18"/>
                <w:color w:val="auto"/>
              </w:rPr>
              <w:t>outstanding used to compute net loss per share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16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800"/>
              <w:spacing w:after="0" w:line="201" w:lineRule="exact"/>
              <w:rPr>
                <w:sz w:val="20"/>
                <w:szCs w:val="20"/>
                <w:color w:val="auto"/>
              </w:rPr>
            </w:pPr>
            <w:r>
              <w:rPr>
                <w:rFonts w:ascii="Arial" w:cs="Arial" w:eastAsia="Arial" w:hAnsi="Arial"/>
                <w:sz w:val="18"/>
                <w:szCs w:val="18"/>
                <w:color w:val="auto"/>
                <w:w w:val="97"/>
              </w:rPr>
              <w:t>33,998,591</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35,683,789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7"/>
              </w:rPr>
              <w:t>32,837,855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net loss per share attributable to common</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(0.29)</w:t>
            </w:r>
          </w:p>
        </w:tc>
        <w:tc>
          <w:tcPr>
            <w:tcW w:w="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20" w:right="6800" w:hanging="553"/>
        <w:spacing w:after="0" w:line="391" w:lineRule="auto"/>
        <w:tabs>
          <w:tab w:leader="none" w:pos="709"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Supplemental Disclosures </w:t>
      </w:r>
      <w:r>
        <w:rPr>
          <w:rFonts w:ascii="Arial" w:cs="Arial" w:eastAsia="Arial" w:hAnsi="Arial"/>
          <w:sz w:val="17"/>
          <w:szCs w:val="17"/>
          <w:i w:val="1"/>
          <w:iCs w:val="1"/>
          <w:color w:val="auto"/>
        </w:rPr>
        <w:t>Accumulated Other Comprehensive Income</w:t>
      </w:r>
    </w:p>
    <w:p>
      <w:pPr>
        <w:ind w:left="720" w:right="60"/>
        <w:spacing w:after="0" w:line="239" w:lineRule="auto"/>
        <w:rPr>
          <w:rFonts w:ascii="Arial" w:cs="Arial" w:eastAsia="Arial" w:hAnsi="Arial"/>
          <w:sz w:val="17"/>
          <w:szCs w:val="17"/>
          <w:b w:val="1"/>
          <w:bCs w:val="1"/>
          <w:color w:val="auto"/>
        </w:rPr>
      </w:pPr>
      <w:r>
        <w:rPr>
          <w:rFonts w:ascii="Arial" w:cs="Arial" w:eastAsia="Arial" w:hAnsi="Arial"/>
          <w:sz w:val="18"/>
          <w:szCs w:val="18"/>
          <w:color w:val="auto"/>
        </w:rPr>
        <w:t>The changes in composition of accumulated other comprehensive income, net of tax, as of December 31, 2020 and 2019 were as follows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Foreign Currency</w:t>
            </w:r>
          </w:p>
        </w:tc>
      </w:tr>
      <w:tr>
        <w:trPr>
          <w:trHeight w:val="174"/>
        </w:trPr>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Translation Adjustment</w:t>
            </w:r>
          </w:p>
        </w:tc>
      </w:tr>
      <w:tr>
        <w:trPr>
          <w:trHeight w:val="194"/>
        </w:trPr>
        <w:tc>
          <w:tcPr>
            <w:tcW w:w="84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Balance as of December 31, 2019</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ind w:left="1160"/>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gridSpan w:val="2"/>
            <w:shd w:val="clear" w:color="auto" w:fill="CCEEFF"/>
          </w:tcPr>
          <w:p>
            <w:pPr>
              <w:spacing w:after="0"/>
              <w:rPr>
                <w:sz w:val="16"/>
                <w:szCs w:val="16"/>
                <w:color w:val="auto"/>
              </w:rPr>
            </w:pPr>
          </w:p>
        </w:tc>
      </w:tr>
      <w:tr>
        <w:trPr>
          <w:trHeight w:val="201"/>
        </w:trPr>
        <w:tc>
          <w:tcPr>
            <w:tcW w:w="840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1140"/>
              <w:spacing w:after="0" w:line="201" w:lineRule="exact"/>
              <w:rPr>
                <w:sz w:val="20"/>
                <w:szCs w:val="20"/>
                <w:color w:val="auto"/>
              </w:rPr>
            </w:pPr>
            <w:r>
              <w:rPr>
                <w:rFonts w:ascii="Arial" w:cs="Arial" w:eastAsia="Arial" w:hAnsi="Arial"/>
                <w:sz w:val="18"/>
                <w:szCs w:val="18"/>
                <w:color w:val="auto"/>
                <w:w w:val="99"/>
              </w:rPr>
              <w:t>210</w:t>
            </w:r>
          </w:p>
        </w:tc>
        <w:tc>
          <w:tcPr>
            <w:tcW w:w="40" w:type="dxa"/>
            <w:vAlign w:val="bottom"/>
          </w:tcPr>
          <w:p>
            <w:pPr>
              <w:spacing w:after="0"/>
              <w:rPr>
                <w:sz w:val="17"/>
                <w:szCs w:val="17"/>
                <w:color w:val="auto"/>
              </w:rPr>
            </w:pP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ind w:left="1160"/>
              <w:spacing w:after="0" w:line="201" w:lineRule="exact"/>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7"/>
                <w:szCs w:val="17"/>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w w:val="99"/>
              </w:rPr>
              <w:t>210</w:t>
            </w:r>
          </w:p>
        </w:tc>
        <w:tc>
          <w:tcPr>
            <w:tcW w:w="40" w:type="dxa"/>
            <w:vAlign w:val="bottom"/>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changes in composition of accumulated other comprehensive income, net of tax, as of March 31, 2021 and 2020 (unaudited)</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were as follows (in thousands):</w:t>
      </w:r>
    </w:p>
    <w:p>
      <w:pPr>
        <w:spacing w:after="0" w:line="221"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Foreign Currency</w:t>
            </w:r>
          </w:p>
        </w:tc>
      </w:tr>
      <w:tr>
        <w:trPr>
          <w:trHeight w:val="174"/>
        </w:trPr>
        <w:tc>
          <w:tcPr>
            <w:tcW w:w="46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 Adjustment</w:t>
            </w:r>
          </w:p>
        </w:tc>
      </w:tr>
      <w:tr>
        <w:trPr>
          <w:trHeight w:val="154"/>
        </w:trPr>
        <w:tc>
          <w:tcPr>
            <w:tcW w:w="46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14"/>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1"/>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 2019</w:t>
            </w:r>
          </w:p>
        </w:tc>
        <w:tc>
          <w:tcPr>
            <w:tcW w:w="3860" w:type="dxa"/>
            <w:vAlign w:val="bottom"/>
            <w:gridSpan w:val="2"/>
            <w:shd w:val="clear" w:color="auto" w:fill="CCEEFF"/>
          </w:tcPr>
          <w:p>
            <w:pPr>
              <w:ind w:left="370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1"/>
        </w:trPr>
        <w:tc>
          <w:tcPr>
            <w:tcW w:w="46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loss</w:t>
            </w:r>
          </w:p>
        </w:tc>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(49)</w:t>
            </w:r>
          </w:p>
        </w:tc>
      </w:tr>
      <w:tr>
        <w:trPr>
          <w:trHeight w:val="201"/>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37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7"/>
        </w:trPr>
        <w:tc>
          <w:tcPr>
            <w:tcW w:w="4620" w:type="dxa"/>
            <w:vAlign w:val="bottom"/>
          </w:tcPr>
          <w:p>
            <w:pPr>
              <w:spacing w:after="0"/>
              <w:rPr>
                <w:sz w:val="20"/>
                <w:szCs w:val="20"/>
                <w:color w:val="auto"/>
              </w:rPr>
            </w:pPr>
            <w:r>
              <w:rPr>
                <w:rFonts w:ascii="Arial" w:cs="Arial" w:eastAsia="Arial" w:hAnsi="Arial"/>
                <w:sz w:val="18"/>
                <w:szCs w:val="18"/>
                <w:color w:val="auto"/>
              </w:rPr>
              <w:t>Balance as of March 31, 2020 (unaudited)</w:t>
            </w:r>
          </w:p>
        </w:tc>
        <w:tc>
          <w:tcPr>
            <w:tcW w:w="3860" w:type="dxa"/>
            <w:vAlign w:val="bottom"/>
            <w:gridSpan w:val="2"/>
          </w:tcPr>
          <w:p>
            <w:pPr>
              <w:ind w:left="37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0"/>
        </w:trPr>
        <w:tc>
          <w:tcPr>
            <w:tcW w:w="4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as of December 31, 2020</w:t>
            </w:r>
          </w:p>
        </w:tc>
        <w:tc>
          <w:tcPr>
            <w:tcW w:w="3860" w:type="dxa"/>
            <w:vAlign w:val="bottom"/>
            <w:gridSpan w:val="2"/>
            <w:shd w:val="clear" w:color="auto" w:fill="CCEEFF"/>
          </w:tcPr>
          <w:p>
            <w:pPr>
              <w:ind w:left="3700"/>
              <w:spacing w:after="0" w:line="195"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6"/>
                <w:szCs w:val="16"/>
                <w:color w:val="auto"/>
              </w:rPr>
            </w:pPr>
          </w:p>
        </w:tc>
      </w:tr>
      <w:tr>
        <w:trPr>
          <w:trHeight w:val="201"/>
        </w:trPr>
        <w:tc>
          <w:tcPr>
            <w:tcW w:w="46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gain</w:t>
            </w:r>
          </w:p>
        </w:tc>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30</w:t>
            </w:r>
          </w:p>
        </w:tc>
      </w:tr>
      <w:tr>
        <w:trPr>
          <w:trHeight w:val="201"/>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37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7"/>
        </w:trPr>
        <w:tc>
          <w:tcPr>
            <w:tcW w:w="4620" w:type="dxa"/>
            <w:vAlign w:val="bottom"/>
          </w:tcPr>
          <w:p>
            <w:pPr>
              <w:spacing w:after="0"/>
              <w:rPr>
                <w:sz w:val="20"/>
                <w:szCs w:val="20"/>
                <w:color w:val="auto"/>
              </w:rPr>
            </w:pPr>
            <w:r>
              <w:rPr>
                <w:rFonts w:ascii="Arial" w:cs="Arial" w:eastAsia="Arial" w:hAnsi="Arial"/>
                <w:sz w:val="18"/>
                <w:szCs w:val="18"/>
                <w:color w:val="auto"/>
              </w:rPr>
              <w:t>Balance as of March 31, 2021 (unaudited)</w:t>
            </w:r>
          </w:p>
        </w:tc>
        <w:tc>
          <w:tcPr>
            <w:tcW w:w="3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4620" w:type="dxa"/>
            <w:vAlign w:val="bottom"/>
          </w:tcPr>
          <w:p>
            <w:pPr>
              <w:spacing w:after="0"/>
              <w:rPr>
                <w:sz w:val="24"/>
                <w:szCs w:val="24"/>
                <w:color w:val="auto"/>
              </w:rPr>
            </w:pP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F-29</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80"/>
          </w:cols>
          <w:pgMar w:left="320" w:top="456" w:right="5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hanging="533"/>
        <w:spacing w:after="0"/>
        <w:tabs>
          <w:tab w:leader="none" w:pos="7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22" w:lineRule="exact"/>
        <w:rPr>
          <w:rFonts w:ascii="Arial" w:cs="Arial" w:eastAsia="Arial" w:hAnsi="Arial"/>
          <w:sz w:val="18"/>
          <w:szCs w:val="18"/>
          <w:b w:val="1"/>
          <w:bCs w:val="1"/>
          <w:color w:val="auto"/>
        </w:rPr>
      </w:pPr>
    </w:p>
    <w:p>
      <w:pPr>
        <w:ind w:left="720"/>
        <w:spacing w:after="0" w:line="246" w:lineRule="auto"/>
        <w:rPr>
          <w:rFonts w:ascii="Arial" w:cs="Arial" w:eastAsia="Arial" w:hAnsi="Arial"/>
          <w:sz w:val="18"/>
          <w:szCs w:val="18"/>
          <w:b w:val="1"/>
          <w:bCs w:val="1"/>
          <w:color w:val="auto"/>
        </w:rPr>
      </w:pPr>
      <w:r>
        <w:rPr>
          <w:rFonts w:ascii="Arial" w:cs="Arial" w:eastAsia="Arial" w:hAnsi="Arial"/>
          <w:sz w:val="17"/>
          <w:szCs w:val="17"/>
          <w:color w:val="auto"/>
        </w:rPr>
        <w:t>The Company is party to an Amended and Restated Loan and Security Agreement with Hercules Capital, Inc. (“Hercules”), or the Amended Loan and Security Agreement, for a term loan, or the term loan facility. Under the Amended Loan and Security Agreement, effective January 30, 2020, the Company can borrow up to $15 million under a term loan, all of which became available to the Company immediately on the agreement date. The Company had borrowings under the term loan of $15 million as of March 31, 2021 (unaudited), December 31, 2020 and $11 million as of December 31, 2019. As of March 31, 2021 (unaudited) and December 31, 2020, the loan pays interest at the greater of (i) 8.7% per annum or (ii) 8.7% per annum plus the prime rate minus</w:t>
      </w:r>
    </w:p>
    <w:p>
      <w:pPr>
        <w:spacing w:after="0" w:line="1"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4.75% per annum. The term loan agreement requires a maximum $1.2 million end of term fee due and payable on the maturity date of May 1, 2022, however, if the term loan is repaid prior to November 1, 2021, the amount owed would be $0.9 million. As of March 31, 2021 (unaudited) and December 31, 2020, the Company owed $15.8 million on this term loan, including principal borrowings and accrued end of term fee. As Xometry intends to repay this term loan in 2021, the Company has classified this term loan as a current liability on the Consolidated Balance Sheet. Xometry’s obligations under the Amended Loan and Security Agreement are secured by substantially all of Xometry’s assets.</w:t>
      </w:r>
    </w:p>
    <w:p>
      <w:pPr>
        <w:spacing w:after="0" w:line="94" w:lineRule="exact"/>
        <w:rPr>
          <w:rFonts w:ascii="Arial" w:cs="Arial" w:eastAsia="Arial" w:hAnsi="Arial"/>
          <w:sz w:val="18"/>
          <w:szCs w:val="18"/>
          <w:b w:val="1"/>
          <w:bCs w:val="1"/>
          <w:color w:val="auto"/>
        </w:rPr>
      </w:pPr>
    </w:p>
    <w:p>
      <w:pPr>
        <w:jc w:val="both"/>
        <w:ind w:left="720" w:right="1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has the right to terminate its obligation to make further advances to Xometry immediately and without notice upon the occurrence and during the continuance of an event of default.</w:t>
      </w:r>
    </w:p>
    <w:p>
      <w:pPr>
        <w:spacing w:after="0" w:line="95" w:lineRule="exact"/>
        <w:rPr>
          <w:rFonts w:ascii="Arial" w:cs="Arial" w:eastAsia="Arial" w:hAnsi="Arial"/>
          <w:sz w:val="18"/>
          <w:szCs w:val="18"/>
          <w:b w:val="1"/>
          <w:bCs w:val="1"/>
          <w:color w:val="auto"/>
        </w:rPr>
      </w:pPr>
    </w:p>
    <w:p>
      <w:pPr>
        <w:ind w:left="720" w:right="8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w:t>
      </w:r>
    </w:p>
    <w:p>
      <w:pPr>
        <w:spacing w:after="0" w:line="95" w:lineRule="exact"/>
        <w:rPr>
          <w:rFonts w:ascii="Arial" w:cs="Arial" w:eastAsia="Arial" w:hAnsi="Arial"/>
          <w:sz w:val="18"/>
          <w:szCs w:val="18"/>
          <w:b w:val="1"/>
          <w:bCs w:val="1"/>
          <w:color w:val="auto"/>
        </w:rPr>
      </w:pPr>
    </w:p>
    <w:p>
      <w:pPr>
        <w:ind w:left="720" w:right="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is in compliance with covenants and were in compliance with these covenants as of March 31, 2021 (unaudited) and December 31, 2020.</w:t>
      </w:r>
    </w:p>
    <w:p>
      <w:pPr>
        <w:spacing w:after="0" w:line="94" w:lineRule="exact"/>
        <w:rPr>
          <w:rFonts w:ascii="Arial" w:cs="Arial" w:eastAsia="Arial" w:hAnsi="Arial"/>
          <w:sz w:val="18"/>
          <w:szCs w:val="18"/>
          <w:b w:val="1"/>
          <w:bCs w:val="1"/>
          <w:color w:val="auto"/>
        </w:rPr>
      </w:pPr>
    </w:p>
    <w:p>
      <w:pPr>
        <w:ind w:left="720" w:right="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Company had a $2.5 million credit facility with Comerica Bank. The Company could borrow $2.5 million on a receivable revolver not to exceed 80% of eligible accounts receivables and bore interest at the Prime Reference rate plus 1.5%. Comerica had a first priority security interest in all assets of the Company with a negative pledge on intellectual property. The revolver was paid off on May 16, 2019 and terminated on June 30, 2019.</w:t>
      </w:r>
    </w:p>
    <w:p>
      <w:pPr>
        <w:spacing w:after="0" w:line="7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Paycheck Protection Program</w:t>
      </w:r>
    </w:p>
    <w:p>
      <w:pPr>
        <w:spacing w:after="0" w:line="118" w:lineRule="exact"/>
        <w:rPr>
          <w:rFonts w:ascii="Arial" w:cs="Arial" w:eastAsia="Arial" w:hAnsi="Arial"/>
          <w:sz w:val="18"/>
          <w:szCs w:val="18"/>
          <w:b w:val="1"/>
          <w:bCs w:val="1"/>
          <w:color w:val="auto"/>
        </w:rPr>
      </w:pPr>
    </w:p>
    <w:p>
      <w:pPr>
        <w:ind w:left="720" w:right="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In April 2020, the Company received loan proceeds in the amount of approximately $4.8 million under the Paycheck Protection Program (“PPP”). The PPP, established as part of the Coronavirus Aid, Relief and Economic Security Act (“CARES Act”) enacted March 27, 2020, provides for loans to qualifying businesses for amounts up to 2.5 times of the average monthly payroll expenses of the qualifying business. The Company paid back the loan principal with interest on July 8, 2020.</w:t>
      </w:r>
    </w:p>
    <w:p>
      <w:pPr>
        <w:spacing w:after="0" w:line="7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Contingencies</w:t>
      </w:r>
    </w:p>
    <w:p>
      <w:pPr>
        <w:spacing w:after="0" w:line="118" w:lineRule="exact"/>
        <w:rPr>
          <w:rFonts w:ascii="Arial" w:cs="Arial" w:eastAsia="Arial" w:hAnsi="Arial"/>
          <w:sz w:val="18"/>
          <w:szCs w:val="18"/>
          <w:b w:val="1"/>
          <w:bCs w:val="1"/>
          <w:color w:val="auto"/>
        </w:rPr>
      </w:pPr>
    </w:p>
    <w:p>
      <w:pPr>
        <w:ind w:left="72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320" w:top="456"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260"/>
        <w:spacing w:after="0" w:line="239" w:lineRule="auto"/>
        <w:rPr>
          <w:sz w:val="20"/>
          <w:szCs w:val="20"/>
          <w:color w:val="auto"/>
        </w:rPr>
      </w:pPr>
      <w:r>
        <w:rPr>
          <w:rFonts w:ascii="Arial" w:cs="Arial" w:eastAsia="Arial" w:hAnsi="Arial"/>
          <w:sz w:val="18"/>
          <w:szCs w:val="18"/>
          <w:color w:val="auto"/>
        </w:rPr>
        <w:t>ultimate liability of the Company in connection with its legal proceedings is not expected to have a material adverse effect on the Company’s financial position or operations.</w:t>
      </w:r>
    </w:p>
    <w:p>
      <w:pPr>
        <w:spacing w:after="0" w:line="328" w:lineRule="exact"/>
        <w:rPr>
          <w:sz w:val="20"/>
          <w:szCs w:val="20"/>
          <w:color w:val="auto"/>
        </w:rPr>
      </w:pPr>
    </w:p>
    <w:p>
      <w:pPr>
        <w:ind w:left="700" w:hanging="533"/>
        <w:spacing w:after="0"/>
        <w:tabs>
          <w:tab w:leader="none" w:pos="7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2" w:lineRule="exact"/>
        <w:rPr>
          <w:rFonts w:ascii="Arial" w:cs="Arial" w:eastAsia="Arial" w:hAnsi="Arial"/>
          <w:sz w:val="18"/>
          <w:szCs w:val="18"/>
          <w:b w:val="1"/>
          <w:bCs w:val="1"/>
          <w:color w:val="auto"/>
        </w:rPr>
      </w:pPr>
    </w:p>
    <w:p>
      <w:pPr>
        <w:ind w:left="720" w:right="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MTS, a machine and tool supplier, for cash consideration of $0.7 million with the intent of supplementing the Company’s existing product offerings. In connection with the MTS acquisition, Xometry recognized net assets of $0.6 million, which primarily included customer receivables at the time of acquisition and approximately $0.1 million of goodwill related to expected synergies.</w:t>
      </w:r>
    </w:p>
    <w:p>
      <w:pPr>
        <w:spacing w:after="0" w:line="95" w:lineRule="exact"/>
        <w:rPr>
          <w:rFonts w:ascii="Arial" w:cs="Arial" w:eastAsia="Arial" w:hAnsi="Arial"/>
          <w:sz w:val="18"/>
          <w:szCs w:val="18"/>
          <w:b w:val="1"/>
          <w:bCs w:val="1"/>
          <w:color w:val="auto"/>
        </w:rPr>
      </w:pPr>
    </w:p>
    <w:p>
      <w:pPr>
        <w:ind w:left="72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Payments of $0.2 million were paid to the owners on the first and second anniversary of the transaction, subject to their continuous employment. As such, these payments were not included in the acquisition consideration.</w:t>
      </w:r>
    </w:p>
    <w:p>
      <w:pPr>
        <w:spacing w:after="0" w:line="95" w:lineRule="exact"/>
        <w:rPr>
          <w:rFonts w:ascii="Arial" w:cs="Arial" w:eastAsia="Arial" w:hAnsi="Arial"/>
          <w:sz w:val="18"/>
          <w:szCs w:val="18"/>
          <w:b w:val="1"/>
          <w:bCs w:val="1"/>
          <w:color w:val="auto"/>
        </w:rPr>
      </w:pPr>
    </w:p>
    <w:p>
      <w:pPr>
        <w:ind w:left="720" w:right="1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November 26, 2019, the Company acquired Munich, Germany based Shift GmbH, through a stock purchase for consideration of $3.6 million with the intent of expanding Xometry’s platform and network of sellers. The aggregate purchase price included $0.9 million of cash and 750,770 shares of Xometry common stock, which had a fair value of $2.7 million at the date of the acquisition. The goodwill of $1.4 million arising from the acquisition related to certain expected synergies.</w:t>
      </w:r>
    </w:p>
    <w:p>
      <w:pPr>
        <w:spacing w:after="0" w:line="95" w:lineRule="exact"/>
        <w:rPr>
          <w:rFonts w:ascii="Arial" w:cs="Arial" w:eastAsia="Arial" w:hAnsi="Arial"/>
          <w:sz w:val="18"/>
          <w:szCs w:val="18"/>
          <w:b w:val="1"/>
          <w:bCs w:val="1"/>
          <w:color w:val="auto"/>
        </w:rPr>
      </w:pPr>
    </w:p>
    <w:p>
      <w:pPr>
        <w:ind w:left="720" w:right="6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following table (in thousands) summarizes the consideration paid for Shift and the fair value of the assets acquired and liabilities assumed on the acquisition date.</w:t>
      </w:r>
    </w:p>
    <w:p>
      <w:pPr>
        <w:spacing w:after="0" w:line="22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Cash</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876</w:t>
            </w:r>
          </w:p>
        </w:tc>
        <w:tc>
          <w:tcPr>
            <w:tcW w:w="120" w:type="dxa"/>
            <w:vAlign w:val="bottom"/>
          </w:tcPr>
          <w:p>
            <w:pPr>
              <w:spacing w:after="0"/>
              <w:rPr>
                <w:sz w:val="17"/>
                <w:szCs w:val="17"/>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2,743</w:t>
            </w:r>
          </w:p>
        </w:tc>
        <w:tc>
          <w:tcPr>
            <w:tcW w:w="120" w:type="dxa"/>
            <w:vAlign w:val="bottom"/>
            <w:shd w:val="clear" w:color="auto" w:fill="CCEEFF"/>
          </w:tcPr>
          <w:p>
            <w:pPr>
              <w:spacing w:after="0"/>
              <w:rPr>
                <w:sz w:val="17"/>
                <w:szCs w:val="17"/>
                <w:color w:val="auto"/>
              </w:rPr>
            </w:pPr>
          </w:p>
        </w:tc>
      </w:tr>
      <w:tr>
        <w:trPr>
          <w:trHeight w:val="207"/>
        </w:trPr>
        <w:tc>
          <w:tcPr>
            <w:tcW w:w="9360" w:type="dxa"/>
            <w:vAlign w:val="bottom"/>
          </w:tcPr>
          <w:p>
            <w:pPr>
              <w:ind w:left="360"/>
              <w:spacing w:after="0"/>
              <w:rPr>
                <w:sz w:val="20"/>
                <w:szCs w:val="20"/>
                <w:color w:val="auto"/>
              </w:rPr>
            </w:pPr>
            <w:r>
              <w:rPr>
                <w:rFonts w:ascii="Arial" w:cs="Arial" w:eastAsia="Arial" w:hAnsi="Arial"/>
                <w:sz w:val="18"/>
                <w:szCs w:val="18"/>
                <w:color w:val="auto"/>
              </w:rPr>
              <w:t>Fair value of consideration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3,619</w:t>
            </w:r>
          </w:p>
        </w:tc>
        <w:tc>
          <w:tcPr>
            <w:tcW w:w="12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9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Acquisition costs included in general and administrative</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6"/>
                <w:szCs w:val="16"/>
                <w:color w:val="auto"/>
              </w:rPr>
            </w:pPr>
          </w:p>
        </w:tc>
      </w:tr>
      <w:tr>
        <w:trPr>
          <w:trHeight w:val="201"/>
        </w:trPr>
        <w:tc>
          <w:tcPr>
            <w:tcW w:w="9360" w:type="dxa"/>
            <w:vAlign w:val="bottom"/>
          </w:tcPr>
          <w:p>
            <w:pPr>
              <w:spacing w:after="0" w:line="201" w:lineRule="exact"/>
              <w:rPr>
                <w:sz w:val="20"/>
                <w:szCs w:val="20"/>
                <w:color w:val="auto"/>
              </w:rPr>
            </w:pPr>
            <w:r>
              <w:rPr>
                <w:rFonts w:ascii="Arial" w:cs="Arial" w:eastAsia="Arial" w:hAnsi="Arial"/>
                <w:sz w:val="18"/>
                <w:szCs w:val="18"/>
                <w:color w:val="auto"/>
              </w:rPr>
              <w:t>Recognized amounts of identifiable assets acquired and liabilities assumed: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7"/>
                <w:szCs w:val="17"/>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2,170</w:t>
            </w:r>
          </w:p>
        </w:tc>
        <w:tc>
          <w:tcPr>
            <w:tcW w:w="120" w:type="dxa"/>
            <w:vAlign w:val="bottom"/>
            <w:shd w:val="clear" w:color="auto" w:fill="CCEEFF"/>
          </w:tcPr>
          <w:p>
            <w:pPr>
              <w:spacing w:after="0"/>
              <w:rPr>
                <w:sz w:val="17"/>
                <w:szCs w:val="17"/>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(500)</w:t>
            </w:r>
          </w:p>
        </w:tc>
      </w:tr>
      <w:tr>
        <w:trPr>
          <w:trHeight w:val="207"/>
        </w:trPr>
        <w:tc>
          <w:tcPr>
            <w:tcW w:w="9360" w:type="dxa"/>
            <w:vAlign w:val="bottom"/>
          </w:tcPr>
          <w:p>
            <w:pPr>
              <w:ind w:left="720"/>
              <w:spacing w:after="0"/>
              <w:rPr>
                <w:sz w:val="20"/>
                <w:szCs w:val="20"/>
                <w:color w:val="auto"/>
              </w:rPr>
            </w:pPr>
            <w:r>
              <w:rPr>
                <w:rFonts w:ascii="Arial" w:cs="Arial" w:eastAsia="Arial" w:hAnsi="Arial"/>
                <w:sz w:val="18"/>
                <w:szCs w:val="18"/>
                <w:color w:val="auto"/>
              </w:rPr>
              <w:t>Total identifiable net assets assumed</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2,265</w:t>
            </w:r>
          </w:p>
        </w:tc>
        <w:tc>
          <w:tcPr>
            <w:tcW w:w="120" w:type="dxa"/>
            <w:vAlign w:val="bottom"/>
          </w:tcPr>
          <w:p>
            <w:pPr>
              <w:spacing w:after="0"/>
              <w:rPr>
                <w:sz w:val="18"/>
                <w:szCs w:val="18"/>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1,354</w:t>
            </w:r>
          </w:p>
        </w:tc>
        <w:tc>
          <w:tcPr>
            <w:tcW w:w="120" w:type="dxa"/>
            <w:vAlign w:val="bottom"/>
            <w:shd w:val="clear" w:color="auto" w:fill="CCEEFF"/>
          </w:tcPr>
          <w:p>
            <w:pPr>
              <w:spacing w:after="0"/>
              <w:rPr>
                <w:sz w:val="17"/>
                <w:szCs w:val="17"/>
                <w:color w:val="auto"/>
              </w:rPr>
            </w:pPr>
          </w:p>
        </w:tc>
      </w:tr>
      <w:tr>
        <w:trPr>
          <w:trHeight w:val="207"/>
        </w:trPr>
        <w:tc>
          <w:tcPr>
            <w:tcW w:w="936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3,619</w:t>
            </w:r>
          </w:p>
        </w:tc>
        <w:tc>
          <w:tcPr>
            <w:tcW w:w="12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acquired intangible assets, all of which are being amortized, were assigned weighted-average useful life of approximately three years. During 2020 and 2019, the Company recognized $3.1 million and $0.1 million of revenue, respectively from Shift.</w:t>
      </w:r>
    </w:p>
    <w:p>
      <w:pPr>
        <w:spacing w:after="0" w:line="96" w:lineRule="exact"/>
        <w:rPr>
          <w:sz w:val="20"/>
          <w:szCs w:val="20"/>
          <w:color w:val="auto"/>
        </w:rPr>
      </w:pPr>
    </w:p>
    <w:p>
      <w:pPr>
        <w:ind w:left="720" w:right="380"/>
        <w:spacing w:after="0" w:line="239" w:lineRule="auto"/>
        <w:rPr>
          <w:sz w:val="20"/>
          <w:szCs w:val="20"/>
          <w:color w:val="auto"/>
        </w:rPr>
      </w:pPr>
      <w:r>
        <w:rPr>
          <w:rFonts w:ascii="Arial" w:cs="Arial" w:eastAsia="Arial" w:hAnsi="Arial"/>
          <w:sz w:val="18"/>
          <w:szCs w:val="18"/>
          <w:color w:val="auto"/>
        </w:rPr>
        <w:t>The acquisitions of MTS and Shift were not considered material individually or in the aggregate to the Company for the periods presented, and therefore, pro forma information has not been presented.</w:t>
      </w:r>
    </w:p>
    <w:p>
      <w:pPr>
        <w:spacing w:after="0" w:line="328" w:lineRule="exact"/>
        <w:rPr>
          <w:sz w:val="20"/>
          <w:szCs w:val="20"/>
          <w:color w:val="auto"/>
        </w:rPr>
      </w:pPr>
    </w:p>
    <w:p>
      <w:pPr>
        <w:ind w:left="700" w:hanging="533"/>
        <w:spacing w:after="0"/>
        <w:tabs>
          <w:tab w:leader="none" w:pos="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22" w:lineRule="exact"/>
        <w:rPr>
          <w:rFonts w:ascii="Arial" w:cs="Arial" w:eastAsia="Arial" w:hAnsi="Arial"/>
          <w:sz w:val="18"/>
          <w:szCs w:val="18"/>
          <w:b w:val="1"/>
          <w:bCs w:val="1"/>
          <w:color w:val="auto"/>
        </w:rPr>
      </w:pPr>
    </w:p>
    <w:p>
      <w:pPr>
        <w:ind w:left="720" w:right="1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Xometry is organized in two segments referred to as the U.S. and Europe. Xometry’s operating segments are also the Company’s reportable segments. Xometry’s reportable segments, whose products and offerings are generally the same, are managed separately based on geography. The accounting policies of the reportable segments are the same as those described in Note 2— Summary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60"/>
          </w:cols>
          <w:pgMar w:left="320" w:top="456"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of Significant Accounting Policies.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corporate overhead to the Europe segment. The Company’s CODM monitors assets of the consolidated Company, but does not use assets, by operating segment when assessing performance or making operating segment resource decisions. As of December 31, 2019, the Company only had one segment. For the year ended December 31, 2019, our Europe segment had revenue of approximately $0.1 million, a net loss of approximately $ 0.4 million, property and equipment of $42,000, depreciation and amortization of $0.1 million, and expenditures for property and equipment of $13,000.</w:t>
      </w:r>
    </w:p>
    <w:p>
      <w:pPr>
        <w:spacing w:after="0" w:line="97" w:lineRule="exact"/>
        <w:rPr>
          <w:sz w:val="20"/>
          <w:szCs w:val="20"/>
          <w:color w:val="auto"/>
        </w:rPr>
      </w:pPr>
    </w:p>
    <w:p>
      <w:pPr>
        <w:ind w:left="720" w:right="120"/>
        <w:spacing w:after="0" w:line="239" w:lineRule="auto"/>
        <w:rPr>
          <w:sz w:val="20"/>
          <w:szCs w:val="20"/>
          <w:color w:val="auto"/>
        </w:rPr>
      </w:pPr>
      <w:r>
        <w:rPr>
          <w:rFonts w:ascii="Arial" w:cs="Arial" w:eastAsia="Arial" w:hAnsi="Arial"/>
          <w:sz w:val="18"/>
          <w:szCs w:val="18"/>
          <w:color w:val="auto"/>
        </w:rPr>
        <w:t>The following tables reflect certain segment information for the year ended December 31, 2020 and the quarters ended March 31, 2021 and 2020 (unaudited)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780" w:type="dxa"/>
            <w:vAlign w:val="bottom"/>
          </w:tcPr>
          <w:p>
            <w:pPr>
              <w:spacing w:after="0"/>
              <w:rPr>
                <w:sz w:val="15"/>
                <w:szCs w:val="15"/>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center"/>
              <w:ind w:left="9"/>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gridSpan w:val="2"/>
            <w:vMerge w:val="continue"/>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left="9"/>
              <w:spacing w:after="0" w:line="154" w:lineRule="exact"/>
              <w:rPr>
                <w:sz w:val="20"/>
                <w:szCs w:val="20"/>
                <w:color w:val="auto"/>
              </w:rPr>
            </w:pPr>
            <w:r>
              <w:rPr>
                <w:rFonts w:ascii="Arial" w:cs="Arial" w:eastAsia="Arial" w:hAnsi="Arial"/>
                <w:sz w:val="14"/>
                <w:szCs w:val="14"/>
                <w:b w:val="1"/>
                <w:bCs w:val="1"/>
                <w:color w:val="auto"/>
              </w:rPr>
              <w:t>(unaudited)</w:t>
            </w: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2980" w:type="dxa"/>
            <w:vAlign w:val="bottom"/>
            <w:gridSpan w:val="2"/>
            <w:shd w:val="clear" w:color="auto" w:fill="CCEEFF"/>
          </w:tcPr>
          <w:p>
            <w:pPr>
              <w:ind w:left="27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138,272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$ 41,299</w:t>
            </w:r>
          </w:p>
        </w:tc>
        <w:tc>
          <w:tcPr>
            <w:tcW w:w="86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$26,258</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3,134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tcPr>
          <w:p>
            <w:pPr>
              <w:jc w:val="right"/>
              <w:ind w:right="149"/>
              <w:spacing w:after="0" w:line="201" w:lineRule="exact"/>
              <w:rPr>
                <w:sz w:val="20"/>
                <w:szCs w:val="20"/>
                <w:color w:val="auto"/>
              </w:rPr>
            </w:pPr>
            <w:r>
              <w:rPr>
                <w:rFonts w:ascii="Arial" w:cs="Arial" w:eastAsia="Arial" w:hAnsi="Arial"/>
                <w:sz w:val="18"/>
                <w:szCs w:val="18"/>
                <w:color w:val="auto"/>
              </w:rPr>
              <w:t>2,623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ind w:left="27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141,406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$ 43,922</w:t>
            </w:r>
          </w:p>
        </w:tc>
        <w:tc>
          <w:tcPr>
            <w:tcW w:w="86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26,689</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Segment Losses</w:t>
            </w:r>
          </w:p>
        </w:tc>
        <w:tc>
          <w:tcPr>
            <w:tcW w:w="2780" w:type="dxa"/>
            <w:vAlign w:val="bottom"/>
          </w:tcPr>
          <w:p>
            <w:pPr>
              <w:spacing w:after="0"/>
              <w:rPr>
                <w:sz w:val="22"/>
                <w:szCs w:val="22"/>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jc w:val="center"/>
              <w:ind w:left="9"/>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000" w:type="dxa"/>
            <w:vAlign w:val="bottom"/>
            <w:gridSpan w:val="2"/>
            <w:vMerge w:val="continue"/>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left="9"/>
              <w:spacing w:after="0" w:line="154" w:lineRule="exact"/>
              <w:rPr>
                <w:sz w:val="20"/>
                <w:szCs w:val="20"/>
                <w:color w:val="auto"/>
              </w:rPr>
            </w:pPr>
            <w:r>
              <w:rPr>
                <w:rFonts w:ascii="Arial" w:cs="Arial" w:eastAsia="Arial" w:hAnsi="Arial"/>
                <w:sz w:val="14"/>
                <w:szCs w:val="14"/>
                <w:b w:val="1"/>
                <w:bCs w:val="1"/>
                <w:color w:val="auto"/>
              </w:rPr>
              <w:t>(unaudited)</w:t>
            </w: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2980" w:type="dxa"/>
            <w:vAlign w:val="bottom"/>
            <w:gridSpan w:val="2"/>
            <w:shd w:val="clear" w:color="auto" w:fill="CCEEFF"/>
          </w:tcPr>
          <w:p>
            <w:pPr>
              <w:ind w:left="278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8"/>
              </w:rPr>
              <w:t>(22,130)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ind w:right="89"/>
              <w:spacing w:after="0" w:line="201" w:lineRule="exact"/>
              <w:rPr>
                <w:sz w:val="20"/>
                <w:szCs w:val="20"/>
                <w:color w:val="auto"/>
              </w:rPr>
            </w:pPr>
            <w:r>
              <w:rPr>
                <w:rFonts w:ascii="Arial" w:cs="Arial" w:eastAsia="Arial" w:hAnsi="Arial"/>
                <w:sz w:val="18"/>
                <w:szCs w:val="18"/>
                <w:color w:val="auto"/>
              </w:rPr>
              <w:t>$ (8,162)</w:t>
            </w:r>
          </w:p>
        </w:tc>
        <w:tc>
          <w:tcPr>
            <w:tcW w:w="86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 (7,442)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(8,955)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5"/>
          </w:tcPr>
          <w:p>
            <w:pPr>
              <w:jc w:val="right"/>
              <w:ind w:right="89"/>
              <w:spacing w:after="0" w:line="201" w:lineRule="exact"/>
              <w:rPr>
                <w:sz w:val="20"/>
                <w:szCs w:val="20"/>
                <w:color w:val="auto"/>
              </w:rPr>
            </w:pPr>
            <w:r>
              <w:rPr>
                <w:rFonts w:ascii="Arial" w:cs="Arial" w:eastAsia="Arial" w:hAnsi="Arial"/>
                <w:sz w:val="18"/>
                <w:szCs w:val="18"/>
                <w:color w:val="auto"/>
              </w:rPr>
              <w:t>(2,339)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4"/>
              </w:rPr>
              <w:t>(1,165)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ind w:left="278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8"/>
              </w:rPr>
              <w:t>(31,085)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ind w:right="89"/>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(10,501)</w:t>
            </w:r>
          </w:p>
        </w:tc>
        <w:tc>
          <w:tcPr>
            <w:tcW w:w="86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 (8,607)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4"/>
                <w:szCs w:val="14"/>
                <w:b w:val="1"/>
                <w:bCs w:val="1"/>
                <w:color w:val="auto"/>
              </w:rPr>
              <w:t>December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Segment Property and Equipment</w:t>
            </w: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1"/>
        </w:trPr>
        <w:tc>
          <w:tcPr>
            <w:tcW w:w="4000" w:type="dxa"/>
            <w:vAlign w:val="bottom"/>
            <w:gridSpan w:val="2"/>
            <w:vMerge w:val="continue"/>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2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5,612</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9"/>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501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6,113</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9"/>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w:t>
            </w: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Segment Depreciation and Amortization</w:t>
            </w: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gridSpan w:val="2"/>
            <w:vMerge w:val="continue"/>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6"/>
          </w:tcPr>
          <w:p>
            <w:pPr>
              <w:jc w:val="right"/>
              <w:ind w:right="320"/>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2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2,389</w:t>
            </w:r>
          </w:p>
        </w:tc>
        <w:tc>
          <w:tcPr>
            <w:tcW w:w="14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731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3,120</w:t>
            </w:r>
          </w:p>
        </w:tc>
        <w:tc>
          <w:tcPr>
            <w:tcW w:w="14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734</w:t>
            </w: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980" w:type="dxa"/>
            <w:vAlign w:val="bottom"/>
            <w:gridSpan w:val="2"/>
            <w:vMerge w:val="restart"/>
          </w:tcPr>
          <w:p>
            <w:pPr>
              <w:ind w:left="840"/>
              <w:spacing w:after="0"/>
              <w:rPr>
                <w:sz w:val="20"/>
                <w:szCs w:val="20"/>
                <w:color w:val="auto"/>
              </w:rPr>
            </w:pPr>
            <w:r>
              <w:rPr>
                <w:rFonts w:ascii="Arial" w:cs="Arial" w:eastAsia="Arial" w:hAnsi="Arial"/>
                <w:sz w:val="18"/>
                <w:szCs w:val="18"/>
                <w:color w:val="auto"/>
              </w:rPr>
              <w:t>F-32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Expenditures for Property and Equipment and</w:t>
            </w:r>
          </w:p>
        </w:tc>
        <w:tc>
          <w:tcPr>
            <w:tcW w:w="120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Long-Lived Assets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88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(unaudited)</w:t>
            </w:r>
          </w:p>
        </w:tc>
        <w:tc>
          <w:tcPr>
            <w:tcW w:w="4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3,671</w:t>
            </w:r>
          </w:p>
        </w:tc>
        <w:tc>
          <w:tcPr>
            <w:tcW w:w="1520" w:type="dxa"/>
            <w:vAlign w:val="bottom"/>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$1,094</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$971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519</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150</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4,190</w:t>
            </w:r>
          </w:p>
        </w:tc>
        <w:tc>
          <w:tcPr>
            <w:tcW w:w="1520" w:type="dxa"/>
            <w:vAlign w:val="bottom"/>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1,244</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Impairments of Goodwill and Intangible Assets</w:t>
            </w:r>
          </w:p>
        </w:tc>
        <w:tc>
          <w:tcPr>
            <w:tcW w:w="1200" w:type="dxa"/>
            <w:vAlign w:val="bottom"/>
          </w:tcPr>
          <w:p>
            <w:pPr>
              <w:spacing w:after="0"/>
              <w:rPr>
                <w:sz w:val="22"/>
                <w:szCs w:val="22"/>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U.S.</w:t>
            </w:r>
          </w:p>
        </w:tc>
        <w:tc>
          <w:tcPr>
            <w:tcW w:w="1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83</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1,592</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2" w:lineRule="exact"/>
        <w:rPr>
          <w:rFonts w:ascii="Arial" w:cs="Arial" w:eastAsia="Arial" w:hAnsi="Arial"/>
          <w:sz w:val="18"/>
          <w:szCs w:val="18"/>
          <w:b w:val="1"/>
          <w:bCs w:val="1"/>
          <w:color w:val="auto"/>
        </w:rPr>
      </w:pPr>
    </w:p>
    <w:p>
      <w:pPr>
        <w:ind w:left="720" w:right="8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Certain companies and/or affiliates of companies that are holders of the Company’s Convertible Preferred Stock acquire products and assemblies through the Xometry platform. As such, Xometry’s revenue and accounts receivable include amounts from these companies and/or affiliates of these companies. For the years ended December 31, 2020 and 2019, Xometry recognized revenue of approximately $1.5 million in each year from companies/and or affiliates of companies that are holders of the Company’s Convertible Preferred Stock. As of December 31, 2020 and 2019, the Company had approximately $0.4 million and approximately $0.5 million of accounts receivable from companies and/or affiliates of companies that are holders of the Company’s Convertible Preferred Stock.</w:t>
      </w:r>
    </w:p>
    <w:p>
      <w:pPr>
        <w:spacing w:after="0" w:line="205" w:lineRule="exact"/>
        <w:rPr>
          <w:rFonts w:ascii="Arial" w:cs="Arial" w:eastAsia="Arial" w:hAnsi="Arial"/>
          <w:sz w:val="18"/>
          <w:szCs w:val="18"/>
          <w:b w:val="1"/>
          <w:bCs w:val="1"/>
          <w:color w:val="auto"/>
        </w:rPr>
      </w:pPr>
    </w:p>
    <w:p>
      <w:pPr>
        <w:ind w:left="720" w:right="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For the quarters ended March 31, 2021 and 2020 (unaudited), Xometry recognized revenue of approximately $0.2 million and $0.4 million, respectively from companies/and or affiliates of companies that are holders of the Company’s Convertible Preferred Stock. As of March 31, 2021 (unaudited), the Company had approximately $0.5 million of accounts receivable from companies and/or affiliates of companies that are holders of the Company’s Convertible Preferred Stock.</w:t>
      </w:r>
    </w:p>
    <w:p>
      <w:pPr>
        <w:spacing w:after="0" w:line="20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provided the Company with consulting services related to operating services. This agreement was terminated as of January 31, 2021. For both years ended December 31, 2020 and 2019, the Company paid Business Improvement Systems, Inc., $0.2 million. As of December 31, 2020 and 2019, the Company had approximately $0.1 million and approximately $0.04 million payable to Business Improvement Systems, Inc., respectively.</w:t>
      </w:r>
    </w:p>
    <w:p>
      <w:pPr>
        <w:spacing w:after="0" w:line="206" w:lineRule="exact"/>
        <w:rPr>
          <w:sz w:val="20"/>
          <w:szCs w:val="20"/>
          <w:color w:val="auto"/>
        </w:rPr>
      </w:pPr>
    </w:p>
    <w:p>
      <w:pPr>
        <w:ind w:left="720" w:right="80"/>
        <w:spacing w:after="0" w:line="237" w:lineRule="auto"/>
        <w:rPr>
          <w:sz w:val="20"/>
          <w:szCs w:val="20"/>
          <w:color w:val="auto"/>
        </w:rPr>
      </w:pPr>
      <w:r>
        <w:rPr>
          <w:rFonts w:ascii="Arial" w:cs="Arial" w:eastAsia="Arial" w:hAnsi="Arial"/>
          <w:sz w:val="18"/>
          <w:szCs w:val="18"/>
          <w:color w:val="auto"/>
        </w:rPr>
        <w:t>For the quarters ended March 31, 2021 and 2020 (unaudited), the Company paid Business Improvement Systems, Inc., approximately $0.1 million and $50,000, respectively. As of March 31, 2021 (unaudited), the Company had no amounts payable to Business Improvement Systems, Inc.</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20"/>
          </w:cols>
          <w:pgMar w:left="320" w:top="456" w:right="5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hanging="533"/>
        <w:spacing w:after="0"/>
        <w:tabs>
          <w:tab w:leader="none" w:pos="7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intangible assets (dollars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140" w:type="dxa"/>
            <w:vAlign w:val="bottom"/>
          </w:tcPr>
          <w:p>
            <w:pPr>
              <w:spacing w:after="0"/>
              <w:rPr>
                <w:sz w:val="12"/>
                <w:szCs w:val="12"/>
                <w:color w:val="auto"/>
              </w:rPr>
            </w:pPr>
          </w:p>
        </w:tc>
        <w:tc>
          <w:tcPr>
            <w:tcW w:w="150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period in</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r>
      <w:tr>
        <w:trPr>
          <w:trHeight w:val="174"/>
        </w:trPr>
        <w:tc>
          <w:tcPr>
            <w:tcW w:w="5140" w:type="dxa"/>
            <w:vAlign w:val="bottom"/>
          </w:tcPr>
          <w:p>
            <w:pPr>
              <w:spacing w:after="0"/>
              <w:rPr>
                <w:sz w:val="15"/>
                <w:szCs w:val="15"/>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years</w:t>
            </w: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154"/>
        </w:trPr>
        <w:tc>
          <w:tcPr>
            <w:tcW w:w="51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center"/>
              <w:ind w:left="35"/>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w:t>
            </w: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51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r>
      <w:tr>
        <w:trPr>
          <w:trHeight w:val="201"/>
        </w:trPr>
        <w:tc>
          <w:tcPr>
            <w:tcW w:w="51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515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24</w:t>
            </w: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Names</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31</w:t>
            </w:r>
          </w:p>
        </w:tc>
      </w:tr>
      <w:tr>
        <w:trPr>
          <w:trHeight w:val="201"/>
        </w:trPr>
        <w:tc>
          <w:tcPr>
            <w:tcW w:w="51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15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478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284</w:t>
            </w: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1,404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1,247</w:t>
            </w:r>
          </w:p>
        </w:tc>
      </w:tr>
      <w:tr>
        <w:trPr>
          <w:trHeight w:val="20"/>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1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1,398</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$ 1,586</w:t>
            </w:r>
          </w:p>
        </w:tc>
      </w:tr>
      <w:tr>
        <w:trPr>
          <w:trHeight w:val="20"/>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8"/>
        </w:trPr>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1"/>
        </w:trPr>
        <w:tc>
          <w:tcPr>
            <w:tcW w:w="5140" w:type="dxa"/>
            <w:vAlign w:val="bottom"/>
          </w:tcPr>
          <w:p>
            <w:pPr>
              <w:spacing w:after="0"/>
              <w:rPr>
                <w:sz w:val="12"/>
                <w:szCs w:val="12"/>
                <w:color w:val="auto"/>
              </w:rPr>
            </w:pPr>
          </w:p>
        </w:tc>
        <w:tc>
          <w:tcPr>
            <w:tcW w:w="150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period in</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r>
      <w:tr>
        <w:trPr>
          <w:trHeight w:val="174"/>
        </w:trPr>
        <w:tc>
          <w:tcPr>
            <w:tcW w:w="5140" w:type="dxa"/>
            <w:vAlign w:val="bottom"/>
          </w:tcPr>
          <w:p>
            <w:pPr>
              <w:spacing w:after="0"/>
              <w:rPr>
                <w:sz w:val="15"/>
                <w:szCs w:val="15"/>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years</w:t>
            </w: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181"/>
        </w:trPr>
        <w:tc>
          <w:tcPr>
            <w:tcW w:w="51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Intangible Assets</w:t>
            </w:r>
          </w:p>
        </w:tc>
        <w:tc>
          <w:tcPr>
            <w:tcW w:w="8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1"/>
        </w:trPr>
        <w:tc>
          <w:tcPr>
            <w:tcW w:w="51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r>
      <w:tr>
        <w:trPr>
          <w:trHeight w:val="201"/>
        </w:trPr>
        <w:tc>
          <w:tcPr>
            <w:tcW w:w="51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w:t>
            </w: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Names</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32</w:t>
            </w:r>
          </w:p>
        </w:tc>
      </w:tr>
      <w:tr>
        <w:trPr>
          <w:trHeight w:val="201"/>
        </w:trPr>
        <w:tc>
          <w:tcPr>
            <w:tcW w:w="51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15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438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324</w:t>
            </w: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1,404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1,269</w:t>
            </w:r>
          </w:p>
        </w:tc>
      </w:tr>
      <w:tr>
        <w:trPr>
          <w:trHeight w:val="20"/>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1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1,332</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$ 1,652</w:t>
            </w:r>
          </w:p>
        </w:tc>
      </w:tr>
      <w:tr>
        <w:trPr>
          <w:trHeight w:val="20"/>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8"/>
        </w:trPr>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1"/>
        </w:trPr>
        <w:tc>
          <w:tcPr>
            <w:tcW w:w="5140" w:type="dxa"/>
            <w:vAlign w:val="bottom"/>
          </w:tcPr>
          <w:p>
            <w:pPr>
              <w:spacing w:after="0"/>
              <w:rPr>
                <w:sz w:val="12"/>
                <w:szCs w:val="12"/>
                <w:color w:val="auto"/>
              </w:rPr>
            </w:pPr>
          </w:p>
        </w:tc>
        <w:tc>
          <w:tcPr>
            <w:tcW w:w="150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r>
      <w:tr>
        <w:trPr>
          <w:trHeight w:val="160"/>
        </w:trPr>
        <w:tc>
          <w:tcPr>
            <w:tcW w:w="5140" w:type="dxa"/>
            <w:vAlign w:val="bottom"/>
          </w:tcPr>
          <w:p>
            <w:pPr>
              <w:spacing w:after="0"/>
              <w:rPr>
                <w:sz w:val="13"/>
                <w:szCs w:val="13"/>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period in</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r>
      <w:tr>
        <w:trPr>
          <w:trHeight w:val="174"/>
        </w:trPr>
        <w:tc>
          <w:tcPr>
            <w:tcW w:w="5140" w:type="dxa"/>
            <w:vAlign w:val="bottom"/>
          </w:tcPr>
          <w:p>
            <w:pPr>
              <w:spacing w:after="0"/>
              <w:rPr>
                <w:sz w:val="15"/>
                <w:szCs w:val="15"/>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years</w:t>
            </w: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181"/>
        </w:trPr>
        <w:tc>
          <w:tcPr>
            <w:tcW w:w="51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Intangible Assets</w:t>
            </w:r>
          </w:p>
        </w:tc>
        <w:tc>
          <w:tcPr>
            <w:tcW w:w="8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1"/>
        </w:trPr>
        <w:tc>
          <w:tcPr>
            <w:tcW w:w="51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80</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26</w:t>
            </w:r>
          </w:p>
        </w:tc>
      </w:tr>
      <w:tr>
        <w:trPr>
          <w:trHeight w:val="201"/>
        </w:trPr>
        <w:tc>
          <w:tcPr>
            <w:tcW w:w="51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489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437</w:t>
            </w: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253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195</w:t>
            </w:r>
          </w:p>
        </w:tc>
      </w:tr>
      <w:tr>
        <w:trPr>
          <w:trHeight w:val="201"/>
        </w:trPr>
        <w:tc>
          <w:tcPr>
            <w:tcW w:w="51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15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708</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186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522</w:t>
            </w:r>
          </w:p>
        </w:tc>
      </w:tr>
      <w:tr>
        <w:trPr>
          <w:trHeight w:val="201"/>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15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1,269</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1,245</w:t>
            </w:r>
          </w:p>
        </w:tc>
      </w:tr>
      <w:tr>
        <w:trPr>
          <w:trHeight w:val="20"/>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1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$ 2,825</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$ 2,425</w:t>
            </w:r>
          </w:p>
        </w:tc>
      </w:tr>
      <w:tr>
        <w:trPr>
          <w:trHeight w:val="20"/>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Prior to recognizing the goodwill impairments in 2020 and 2019, Xometry evaluated the property and equipment and tangible and intangible long-lived assets for impairment. During 2020, Xometry recognized $0.1 million of impairment related to an intangible asset (a tradename) that Xometry ceased using in the U.S. reporting unit. Xometry wrote down the intangible asset to zero, its estimated fair value. The Company’s estimate of fair value considered discounted future cash flows associated with future use of the tradename. No impairments of intangible assets were recognized in 2019.</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860"/>
          </w:cols>
          <w:pgMar w:left="320" w:top="456" w:right="7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provides a rollforward of the carrying amount of goodwill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6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2"/>
              <w:spacing w:after="0" w:line="154"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4"/>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2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8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Gross goodwill</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3,907</w:t>
            </w:r>
          </w:p>
        </w:tc>
        <w:tc>
          <w:tcPr>
            <w:tcW w:w="5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3,907</w:t>
            </w:r>
          </w:p>
        </w:tc>
        <w:tc>
          <w:tcPr>
            <w:tcW w:w="10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$ 2,477</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impact of foreign exchange</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tcPr>
          <w:p>
            <w:pPr>
              <w:spacing w:after="0" w:line="201" w:lineRule="exact"/>
              <w:rPr>
                <w:sz w:val="20"/>
                <w:szCs w:val="20"/>
                <w:color w:val="auto"/>
              </w:rPr>
            </w:pPr>
            <w:r>
              <w:rPr>
                <w:rFonts w:ascii="Arial" w:cs="Arial" w:eastAsia="Arial" w:hAnsi="Arial"/>
                <w:sz w:val="18"/>
                <w:szCs w:val="18"/>
                <w:color w:val="auto"/>
              </w:rPr>
              <w:t>Accumulated impairments</w:t>
            </w:r>
          </w:p>
        </w:tc>
        <w:tc>
          <w:tcPr>
            <w:tcW w:w="180" w:type="dxa"/>
            <w:vAlign w:val="bottom"/>
          </w:tcPr>
          <w:p>
            <w:pPr>
              <w:spacing w:after="0"/>
              <w:rPr>
                <w:sz w:val="18"/>
                <w:szCs w:val="18"/>
                <w:color w:val="auto"/>
              </w:rPr>
            </w:pPr>
          </w:p>
        </w:tc>
        <w:tc>
          <w:tcPr>
            <w:tcW w:w="1200" w:type="dxa"/>
            <w:vAlign w:val="bottom"/>
            <w:gridSpan w:val="3"/>
          </w:tcPr>
          <w:p>
            <w:pPr>
              <w:jc w:val="right"/>
              <w:ind w:right="520"/>
              <w:spacing w:after="0" w:line="201" w:lineRule="exact"/>
              <w:rPr>
                <w:sz w:val="20"/>
                <w:szCs w:val="20"/>
                <w:color w:val="auto"/>
              </w:rPr>
            </w:pPr>
            <w:r>
              <w:rPr>
                <w:rFonts w:ascii="Arial" w:cs="Arial" w:eastAsia="Arial" w:hAnsi="Arial"/>
                <w:sz w:val="18"/>
                <w:szCs w:val="18"/>
                <w:color w:val="auto"/>
              </w:rPr>
              <w:t>(3,228)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(1,719)</w:t>
            </w:r>
          </w:p>
        </w:tc>
        <w:tc>
          <w:tcPr>
            <w:tcW w:w="260" w:type="dxa"/>
            <w:vAlign w:val="bottom"/>
          </w:tcPr>
          <w:p>
            <w:pPr>
              <w:spacing w:after="0"/>
              <w:rPr>
                <w:sz w:val="18"/>
                <w:szCs w:val="18"/>
                <w:color w:val="auto"/>
              </w:rPr>
            </w:pP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goodwill as of January 1,</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2,188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2,477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Goodwill acquired during the year</w:t>
            </w:r>
          </w:p>
        </w:tc>
        <w:tc>
          <w:tcPr>
            <w:tcW w:w="180" w:type="dxa"/>
            <w:vAlign w:val="bottom"/>
          </w:tcPr>
          <w:p>
            <w:pPr>
              <w:spacing w:after="0"/>
              <w:rPr>
                <w:sz w:val="17"/>
                <w:szCs w:val="17"/>
                <w:color w:val="auto"/>
              </w:rPr>
            </w:pPr>
          </w:p>
        </w:tc>
        <w:tc>
          <w:tcPr>
            <w:tcW w:w="1200" w:type="dxa"/>
            <w:vAlign w:val="bottom"/>
            <w:gridSpan w:val="3"/>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foreign exchange</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6720" w:type="dxa"/>
            <w:vAlign w:val="bottom"/>
          </w:tcPr>
          <w:p>
            <w:pPr>
              <w:spacing w:after="0" w:line="201" w:lineRule="exact"/>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8"/>
                <w:szCs w:val="18"/>
                <w:color w:val="auto"/>
              </w:rPr>
            </w:pPr>
          </w:p>
        </w:tc>
        <w:tc>
          <w:tcPr>
            <w:tcW w:w="62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(1,509)</w:t>
            </w:r>
          </w:p>
        </w:tc>
        <w:tc>
          <w:tcPr>
            <w:tcW w:w="100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goodwill as of March 31, and December 31,</w:t>
            </w:r>
          </w:p>
        </w:tc>
        <w:tc>
          <w:tcPr>
            <w:tcW w:w="18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$ 2,188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Balance as of December 31:</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goodwill</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3,907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3,907</w:t>
            </w:r>
          </w:p>
        </w:tc>
        <w:tc>
          <w:tcPr>
            <w:tcW w:w="10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$ 3,907</w:t>
            </w: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Impact of foreign exchange</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260" w:type="dxa"/>
            <w:vAlign w:val="bottom"/>
          </w:tcPr>
          <w:p>
            <w:pPr>
              <w:spacing w:after="0"/>
              <w:rPr>
                <w:sz w:val="17"/>
                <w:szCs w:val="17"/>
                <w:color w:val="auto"/>
              </w:rPr>
            </w:pP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impairment expense</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(3,228)</w:t>
            </w:r>
          </w:p>
        </w:tc>
        <w:tc>
          <w:tcPr>
            <w:tcW w:w="10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7"/>
        </w:trPr>
        <w:tc>
          <w:tcPr>
            <w:tcW w:w="6720" w:type="dxa"/>
            <w:vAlign w:val="bottom"/>
          </w:tcPr>
          <w:p>
            <w:pPr>
              <w:ind w:left="360"/>
              <w:spacing w:after="0"/>
              <w:rPr>
                <w:sz w:val="20"/>
                <w:szCs w:val="20"/>
                <w:color w:val="auto"/>
              </w:rPr>
            </w:pPr>
            <w:r>
              <w:rPr>
                <w:rFonts w:ascii="Arial" w:cs="Arial" w:eastAsia="Arial" w:hAnsi="Arial"/>
                <w:sz w:val="18"/>
                <w:szCs w:val="18"/>
                <w:color w:val="auto"/>
              </w:rPr>
              <w:t>Net goodwill as of March 31, and December 31,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During 2020 and 2019, the goodwill impairment analyses indicated that certain of reporting units with goodwill attributed to them had carrying amounts which exceeded their fair values. The underperformance of the reporting units relative to their expected performance drove the decline in the fair value of each reporting unit. As a result, during the years ended December 31, 2020 and 2019, Xometry recorded a pretax charge to reduce the carrying value of goodwill by $1.5 million and $1.7 million, respectively. As of March 31, 2021 (unaudited) and December 31, 2020, Xometry’s goodwill of $0.8 million is part of Xometry’s U.S. operating segment.</w:t>
      </w:r>
    </w:p>
    <w:p>
      <w:pPr>
        <w:spacing w:after="0" w:line="95" w:lineRule="exact"/>
        <w:rPr>
          <w:sz w:val="20"/>
          <w:szCs w:val="20"/>
          <w:color w:val="auto"/>
        </w:rPr>
      </w:pPr>
    </w:p>
    <w:p>
      <w:pPr>
        <w:ind w:left="720" w:right="260"/>
        <w:spacing w:after="0" w:line="237" w:lineRule="auto"/>
        <w:rPr>
          <w:sz w:val="20"/>
          <w:szCs w:val="20"/>
          <w:color w:val="auto"/>
        </w:rPr>
      </w:pPr>
      <w:r>
        <w:rPr>
          <w:rFonts w:ascii="Arial" w:cs="Arial" w:eastAsia="Arial" w:hAnsi="Arial"/>
          <w:sz w:val="18"/>
          <w:szCs w:val="18"/>
          <w:color w:val="auto"/>
        </w:rPr>
        <w:t>Aggregate amortization expense for amortizing intangibles assets was $0.8 million and $0.3 million for the years ended December 31, 2020 and 2019, respectively. As of December 31, 2020, estimated amortization expense for the next five years is: $0.3 million in 2021, $0.3 million in 2022, $0.1 million in 2023, $0.1 million in 2024, and $0.1 million in 2025.</w:t>
      </w:r>
    </w:p>
    <w:p>
      <w:pPr>
        <w:spacing w:after="0" w:line="96" w:lineRule="exact"/>
        <w:rPr>
          <w:sz w:val="20"/>
          <w:szCs w:val="20"/>
          <w:color w:val="auto"/>
        </w:rPr>
      </w:pPr>
    </w:p>
    <w:p>
      <w:pPr>
        <w:ind w:left="720" w:right="140"/>
        <w:spacing w:after="0" w:line="239" w:lineRule="auto"/>
        <w:rPr>
          <w:sz w:val="20"/>
          <w:szCs w:val="20"/>
          <w:color w:val="auto"/>
        </w:rPr>
      </w:pPr>
      <w:r>
        <w:rPr>
          <w:rFonts w:ascii="Arial" w:cs="Arial" w:eastAsia="Arial" w:hAnsi="Arial"/>
          <w:sz w:val="18"/>
          <w:szCs w:val="18"/>
          <w:color w:val="auto"/>
        </w:rPr>
        <w:t>As of March 31, 2021 (unaudited), estimated amortization expense for the remainder of 2021 and next five years is: $0.2 million in 2021, $0.3 million in 2022, $0.1 million in 2023, $0.1 million in 2024, $0.1 million in 2025 and $0.1 million in 2026.</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year ended December 31, 2020 and 2019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tcBorders>
              <w:bottom w:val="single" w:sz="8" w:color="CCEEFF"/>
            </w:tcBorders>
          </w:tcPr>
          <w:p>
            <w:pPr>
              <w:spacing w:after="0"/>
              <w:rPr>
                <w:sz w:val="13"/>
                <w:szCs w:val="13"/>
                <w:color w:val="auto"/>
              </w:rPr>
            </w:pPr>
          </w:p>
        </w:tc>
        <w:tc>
          <w:tcPr>
            <w:tcW w:w="4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Sales and marketing</w:t>
            </w:r>
          </w:p>
        </w:tc>
        <w:tc>
          <w:tcPr>
            <w:tcW w:w="45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642</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Operations and support</w:t>
            </w:r>
          </w:p>
        </w:tc>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development</w:t>
            </w:r>
          </w:p>
        </w:tc>
        <w:tc>
          <w:tcPr>
            <w:tcW w:w="4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45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833</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660" w:type="dxa"/>
            <w:vAlign w:val="bottom"/>
            <w:gridSpan w:val="2"/>
          </w:tcPr>
          <w:p>
            <w:pPr>
              <w:jc w:val="right"/>
              <w:ind w:right="2851"/>
              <w:spacing w:after="0"/>
              <w:rPr>
                <w:sz w:val="20"/>
                <w:szCs w:val="20"/>
                <w:color w:val="auto"/>
              </w:rPr>
            </w:pPr>
            <w:r>
              <w:rPr>
                <w:rFonts w:ascii="Arial" w:cs="Arial" w:eastAsia="Arial" w:hAnsi="Arial"/>
                <w:sz w:val="18"/>
                <w:szCs w:val="18"/>
                <w:color w:val="auto"/>
              </w:rPr>
              <w:t>F-35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quarters ended March 31, 2021 and 2020 (unaudited)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3"/>
                <w:szCs w:val="13"/>
                <w:color w:val="auto"/>
              </w:rPr>
            </w:pPr>
          </w:p>
        </w:tc>
      </w:tr>
      <w:tr>
        <w:trPr>
          <w:trHeight w:val="154"/>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right"/>
              <w:ind w:right="314"/>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168</w:t>
            </w:r>
          </w:p>
        </w:tc>
      </w:tr>
      <w:tr>
        <w:trPr>
          <w:trHeight w:val="201"/>
        </w:trPr>
        <w:tc>
          <w:tcPr>
            <w:tcW w:w="840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69</w:t>
            </w:r>
          </w:p>
        </w:tc>
      </w:tr>
      <w:tr>
        <w:trPr>
          <w:trHeight w:val="214"/>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2" w:lineRule="exact"/>
        <w:rPr>
          <w:rFonts w:ascii="Arial" w:cs="Arial" w:eastAsia="Arial" w:hAnsi="Arial"/>
          <w:sz w:val="18"/>
          <w:szCs w:val="18"/>
          <w:b w:val="1"/>
          <w:bCs w:val="1"/>
          <w:color w:val="auto"/>
        </w:rPr>
      </w:pPr>
    </w:p>
    <w:p>
      <w:pPr>
        <w:ind w:left="7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April 13, 2021 which is the date that the consolidated financial statements as of and for the year ended December 31, 2020 were available to be issued and no events were identified for disclosure in the consolidated financial statements.</w:t>
      </w:r>
    </w:p>
    <w:p>
      <w:pPr>
        <w:spacing w:after="0" w:line="202" w:lineRule="exact"/>
        <w:rPr>
          <w:rFonts w:ascii="Arial" w:cs="Arial" w:eastAsia="Arial" w:hAnsi="Arial"/>
          <w:sz w:val="18"/>
          <w:szCs w:val="18"/>
          <w:b w:val="1"/>
          <w:bCs w:val="1"/>
          <w:color w:val="auto"/>
        </w:rPr>
      </w:pPr>
    </w:p>
    <w:p>
      <w:pPr>
        <w:ind w:left="720" w:right="4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2021, subsequent events were evaluated through May 18, 2021, the date on which the unaudited interim consolidated financial statements were available for issuance.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23" w:lineRule="exact"/>
        <w:rPr>
          <w:sz w:val="20"/>
          <w:szCs w:val="20"/>
          <w:color w:val="auto"/>
        </w:rPr>
      </w:pPr>
    </w:p>
    <w:p>
      <w:pPr>
        <w:ind w:left="720" w:right="280"/>
        <w:spacing w:after="0" w:line="239" w:lineRule="auto"/>
        <w:rPr>
          <w:sz w:val="20"/>
          <w:szCs w:val="20"/>
          <w:color w:val="auto"/>
        </w:rPr>
      </w:pPr>
      <w:r>
        <w:rPr>
          <w:rFonts w:ascii="Arial" w:cs="Arial" w:eastAsia="Arial" w:hAnsi="Arial"/>
          <w:sz w:val="18"/>
          <w:szCs w:val="18"/>
          <w:color w:val="auto"/>
        </w:rPr>
        <w:t>The table below details the activity of the allowance for doubtful accounts, for the years ended December 31,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 of</w:t>
            </w:r>
          </w:p>
        </w:tc>
        <w:tc>
          <w:tcPr>
            <w:tcW w:w="3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Provision</w:t>
            </w:r>
          </w:p>
        </w:tc>
        <w:tc>
          <w:tcPr>
            <w:tcW w:w="38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Deduction or</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60"/>
        </w:trPr>
        <w:tc>
          <w:tcPr>
            <w:tcW w:w="4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Accounts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Other</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0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378</w:t>
            </w:r>
          </w:p>
        </w:tc>
        <w:tc>
          <w:tcPr>
            <w:tcW w:w="420" w:type="dxa"/>
            <w:vAlign w:val="bottom"/>
          </w:tcPr>
          <w:p>
            <w:pPr>
              <w:spacing w:after="0"/>
              <w:rPr>
                <w:sz w:val="17"/>
                <w:szCs w:val="17"/>
                <w:color w:val="auto"/>
              </w:rPr>
            </w:pPr>
          </w:p>
        </w:tc>
        <w:tc>
          <w:tcPr>
            <w:tcW w:w="6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315</w:t>
            </w:r>
          </w:p>
        </w:tc>
        <w:tc>
          <w:tcPr>
            <w:tcW w:w="5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(124)</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F-36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6,875,000 Shares</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Class A</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1319530</wp:posOffset>
            </wp:positionV>
            <wp:extent cx="1460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2381250</wp:posOffset>
            </wp:positionV>
            <wp:extent cx="1460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1583055</wp:posOffset>
            </wp:positionV>
            <wp:extent cx="2157095" cy="5010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84"/>
        </w:trPr>
        <w:tc>
          <w:tcPr>
            <w:tcW w:w="4620" w:type="dxa"/>
            <w:vAlign w:val="bottom"/>
            <w:gridSpan w:val="2"/>
          </w:tcPr>
          <w:p>
            <w:pPr>
              <w:ind w:left="500"/>
              <w:spacing w:after="0"/>
              <w:rPr>
                <w:sz w:val="20"/>
                <w:szCs w:val="20"/>
                <w:color w:val="auto"/>
              </w:rPr>
            </w:pPr>
            <w:r>
              <w:rPr>
                <w:rFonts w:ascii="Arial" w:cs="Arial" w:eastAsia="Arial" w:hAnsi="Arial"/>
                <w:sz w:val="21"/>
                <w:szCs w:val="21"/>
                <w:b w:val="1"/>
                <w:bCs w:val="1"/>
                <w:color w:val="auto"/>
              </w:rPr>
              <w:t>Goldman Sachs &amp; Co. LLC</w:t>
            </w:r>
          </w:p>
        </w:tc>
        <w:tc>
          <w:tcPr>
            <w:tcW w:w="3040" w:type="dxa"/>
            <w:vAlign w:val="bottom"/>
          </w:tcPr>
          <w:p>
            <w:pPr>
              <w:ind w:left="360"/>
              <w:spacing w:after="0"/>
              <w:rPr>
                <w:sz w:val="20"/>
                <w:szCs w:val="20"/>
                <w:color w:val="auto"/>
              </w:rPr>
            </w:pPr>
            <w:r>
              <w:rPr>
                <w:rFonts w:ascii="Arial" w:cs="Arial" w:eastAsia="Arial" w:hAnsi="Arial"/>
                <w:sz w:val="21"/>
                <w:szCs w:val="21"/>
                <w:b w:val="1"/>
                <w:bCs w:val="1"/>
                <w:color w:val="auto"/>
              </w:rPr>
              <w:t>J.P. Morgan</w:t>
            </w:r>
          </w:p>
        </w:tc>
        <w:tc>
          <w:tcPr>
            <w:tcW w:w="3260" w:type="dxa"/>
            <w:vAlign w:val="bottom"/>
          </w:tcPr>
          <w:p>
            <w:pPr>
              <w:ind w:left="400"/>
              <w:spacing w:after="0"/>
              <w:rPr>
                <w:sz w:val="20"/>
                <w:szCs w:val="20"/>
                <w:color w:val="auto"/>
              </w:rPr>
            </w:pPr>
            <w:r>
              <w:rPr>
                <w:rFonts w:ascii="Arial" w:cs="Arial" w:eastAsia="Arial" w:hAnsi="Arial"/>
                <w:sz w:val="21"/>
                <w:szCs w:val="21"/>
                <w:b w:val="1"/>
                <w:bCs w:val="1"/>
                <w:color w:val="auto"/>
              </w:rPr>
              <w:t>UBS Investment Bank</w:t>
            </w:r>
          </w:p>
        </w:tc>
      </w:tr>
      <w:tr>
        <w:trPr>
          <w:trHeight w:val="481"/>
        </w:trPr>
        <w:tc>
          <w:tcPr>
            <w:tcW w:w="2180" w:type="dxa"/>
            <w:vAlign w:val="bottom"/>
          </w:tcPr>
          <w:p>
            <w:pPr>
              <w:ind w:left="780"/>
              <w:spacing w:after="0"/>
              <w:rPr>
                <w:sz w:val="20"/>
                <w:szCs w:val="20"/>
                <w:color w:val="auto"/>
              </w:rPr>
            </w:pPr>
            <w:r>
              <w:rPr>
                <w:rFonts w:ascii="Arial" w:cs="Arial" w:eastAsia="Arial" w:hAnsi="Arial"/>
                <w:sz w:val="21"/>
                <w:szCs w:val="21"/>
                <w:b w:val="1"/>
                <w:bCs w:val="1"/>
                <w:color w:val="auto"/>
              </w:rPr>
              <w:t>Citigroup</w:t>
            </w:r>
          </w:p>
        </w:tc>
        <w:tc>
          <w:tcPr>
            <w:tcW w:w="2440" w:type="dxa"/>
            <w:vAlign w:val="bottom"/>
          </w:tcPr>
          <w:p>
            <w:pPr>
              <w:ind w:left="460"/>
              <w:spacing w:after="0"/>
              <w:rPr>
                <w:sz w:val="20"/>
                <w:szCs w:val="20"/>
                <w:color w:val="auto"/>
              </w:rPr>
            </w:pPr>
            <w:r>
              <w:rPr>
                <w:rFonts w:ascii="Arial" w:cs="Arial" w:eastAsia="Arial" w:hAnsi="Arial"/>
                <w:sz w:val="21"/>
                <w:szCs w:val="21"/>
                <w:b w:val="1"/>
                <w:bCs w:val="1"/>
                <w:color w:val="auto"/>
              </w:rPr>
              <w:t>BofA Securities</w:t>
            </w:r>
          </w:p>
        </w:tc>
        <w:tc>
          <w:tcPr>
            <w:tcW w:w="3040" w:type="dxa"/>
            <w:vAlign w:val="bottom"/>
          </w:tcPr>
          <w:p>
            <w:pPr>
              <w:ind w:left="1340"/>
              <w:spacing w:after="0"/>
              <w:rPr>
                <w:sz w:val="20"/>
                <w:szCs w:val="20"/>
                <w:color w:val="auto"/>
              </w:rPr>
            </w:pPr>
            <w:r>
              <w:rPr>
                <w:rFonts w:ascii="Arial" w:cs="Arial" w:eastAsia="Arial" w:hAnsi="Arial"/>
                <w:sz w:val="21"/>
                <w:szCs w:val="21"/>
                <w:b w:val="1"/>
                <w:bCs w:val="1"/>
                <w:color w:val="auto"/>
              </w:rPr>
              <w:t>William Blair</w:t>
            </w:r>
          </w:p>
        </w:tc>
        <w:tc>
          <w:tcPr>
            <w:tcW w:w="3260" w:type="dxa"/>
            <w:vAlign w:val="bottom"/>
          </w:tcPr>
          <w:p>
            <w:pPr>
              <w:ind w:left="840"/>
              <w:spacing w:after="0"/>
              <w:rPr>
                <w:sz w:val="20"/>
                <w:szCs w:val="20"/>
                <w:color w:val="auto"/>
              </w:rPr>
            </w:pPr>
            <w:r>
              <w:rPr>
                <w:rFonts w:ascii="Arial" w:cs="Arial" w:eastAsia="Arial" w:hAnsi="Arial"/>
                <w:sz w:val="21"/>
                <w:szCs w:val="21"/>
                <w:b w:val="1"/>
                <w:bCs w:val="1"/>
                <w:color w:val="auto"/>
              </w:rPr>
              <w:t>RBC Capital Markets</w:t>
            </w:r>
          </w:p>
        </w:tc>
      </w:tr>
      <w:tr>
        <w:trPr>
          <w:trHeight w:val="495"/>
        </w:trPr>
        <w:tc>
          <w:tcPr>
            <w:tcW w:w="4620" w:type="dxa"/>
            <w:vAlign w:val="bottom"/>
            <w:gridSpan w:val="2"/>
          </w:tcPr>
          <w:p>
            <w:pPr>
              <w:ind w:left="1600"/>
              <w:spacing w:after="0"/>
              <w:rPr>
                <w:sz w:val="20"/>
                <w:szCs w:val="20"/>
                <w:color w:val="auto"/>
              </w:rPr>
            </w:pPr>
            <w:r>
              <w:rPr>
                <w:rFonts w:ascii="Arial" w:cs="Arial" w:eastAsia="Arial" w:hAnsi="Arial"/>
                <w:sz w:val="21"/>
                <w:szCs w:val="21"/>
                <w:b w:val="1"/>
                <w:bCs w:val="1"/>
                <w:color w:val="auto"/>
              </w:rPr>
              <w:t>C.L. King &amp; Associates</w:t>
            </w:r>
          </w:p>
        </w:tc>
        <w:tc>
          <w:tcPr>
            <w:tcW w:w="6300" w:type="dxa"/>
            <w:vAlign w:val="bottom"/>
            <w:gridSpan w:val="2"/>
          </w:tcPr>
          <w:p>
            <w:pPr>
              <w:ind w:left="2580"/>
              <w:spacing w:after="0"/>
              <w:rPr>
                <w:sz w:val="20"/>
                <w:szCs w:val="20"/>
                <w:color w:val="auto"/>
              </w:rPr>
            </w:pPr>
            <w:r>
              <w:rPr>
                <w:rFonts w:ascii="Arial" w:cs="Arial" w:eastAsia="Arial" w:hAnsi="Arial"/>
                <w:sz w:val="21"/>
                <w:szCs w:val="21"/>
                <w:b w:val="1"/>
                <w:bCs w:val="1"/>
                <w:color w:val="auto"/>
              </w:rPr>
              <w:t>Loop Capital Markets</w:t>
            </w:r>
          </w:p>
        </w:tc>
      </w:tr>
      <w:tr>
        <w:trPr>
          <w:trHeight w:val="1969"/>
        </w:trPr>
        <w:tc>
          <w:tcPr>
            <w:tcW w:w="2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94"/>
        </w:trPr>
        <w:tc>
          <w:tcPr>
            <w:tcW w:w="21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r>
    </w:tbl>
    <w:p>
      <w:pPr>
        <w:sectPr>
          <w:pgSz w:w="11900" w:h="16838" w:orient="portrait"/>
          <w:cols w:equalWidth="0" w:num="1">
            <w:col w:w="11080"/>
          </w:cols>
          <w:pgMar w:left="320" w:top="456" w:right="49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0"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Unless otherwise indicated, all references to “Xometry,” the “company,” “we,” “our,” “us” or similar terms refer to Xometry, Inc. and its subsidiaries.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3" w:lineRule="exact"/>
        <w:rPr>
          <w:sz w:val="20"/>
          <w:szCs w:val="20"/>
          <w:color w:val="auto"/>
        </w:rPr>
      </w:pPr>
    </w:p>
    <w:p>
      <w:pPr>
        <w:ind w:left="160" w:right="80" w:firstLine="546"/>
        <w:spacing w:after="0" w:line="268" w:lineRule="auto"/>
        <w:rPr>
          <w:sz w:val="20"/>
          <w:szCs w:val="20"/>
          <w:color w:val="auto"/>
        </w:rPr>
      </w:pPr>
      <w:r>
        <w:rPr>
          <w:rFonts w:ascii="Arial" w:cs="Arial" w:eastAsia="Arial" w:hAnsi="Arial"/>
          <w:sz w:val="17"/>
          <w:szCs w:val="17"/>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36,229</w:t>
            </w:r>
          </w:p>
        </w:tc>
      </w:tr>
      <w:tr>
        <w:trPr>
          <w:trHeight w:val="201"/>
        </w:trPr>
        <w:tc>
          <w:tcPr>
            <w:tcW w:w="20" w:type="dxa"/>
            <w:vAlign w:val="bottom"/>
          </w:tcPr>
          <w:p>
            <w:pPr>
              <w:spacing w:after="0"/>
              <w:rPr>
                <w:sz w:val="17"/>
                <w:szCs w:val="17"/>
                <w:color w:val="auto"/>
              </w:rPr>
            </w:pPr>
          </w:p>
        </w:tc>
        <w:tc>
          <w:tcPr>
            <w:tcW w:w="6600" w:type="dxa"/>
            <w:vAlign w:val="bottom"/>
          </w:tcPr>
          <w:p>
            <w:pPr>
              <w:spacing w:after="0" w:line="201" w:lineRule="exact"/>
              <w:rPr>
                <w:sz w:val="20"/>
                <w:szCs w:val="20"/>
                <w:color w:val="auto"/>
              </w:rPr>
            </w:pPr>
            <w:r>
              <w:rPr>
                <w:rFonts w:ascii="Arial" w:cs="Arial" w:eastAsia="Arial" w:hAnsi="Arial"/>
                <w:sz w:val="18"/>
                <w:szCs w:val="18"/>
                <w:color w:val="auto"/>
              </w:rPr>
              <w:t>FINRA filing fee</w:t>
            </w: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50,309</w:t>
            </w: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Exchange listing fee</w:t>
            </w:r>
          </w:p>
        </w:tc>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235,000</w:t>
            </w:r>
          </w:p>
        </w:tc>
      </w:tr>
      <w:tr>
        <w:trPr>
          <w:trHeight w:val="201"/>
        </w:trPr>
        <w:tc>
          <w:tcPr>
            <w:tcW w:w="20" w:type="dxa"/>
            <w:vAlign w:val="bottom"/>
          </w:tcPr>
          <w:p>
            <w:pPr>
              <w:spacing w:after="0"/>
              <w:rPr>
                <w:sz w:val="17"/>
                <w:szCs w:val="17"/>
                <w:color w:val="auto"/>
              </w:rPr>
            </w:pPr>
          </w:p>
        </w:tc>
        <w:tc>
          <w:tcPr>
            <w:tcW w:w="6600" w:type="dxa"/>
            <w:vAlign w:val="bottom"/>
          </w:tcPr>
          <w:p>
            <w:pPr>
              <w:spacing w:after="0" w:line="201" w:lineRule="exact"/>
              <w:rPr>
                <w:sz w:val="20"/>
                <w:szCs w:val="20"/>
                <w:color w:val="auto"/>
              </w:rPr>
            </w:pPr>
            <w:r>
              <w:rPr>
                <w:rFonts w:ascii="Arial" w:cs="Arial" w:eastAsia="Arial" w:hAnsi="Arial"/>
                <w:sz w:val="18"/>
                <w:szCs w:val="18"/>
                <w:color w:val="auto"/>
              </w:rPr>
              <w:t>Printing and engraving expenses</w:t>
            </w: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295,000</w:t>
            </w: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Legal fees and expenses</w:t>
            </w:r>
          </w:p>
        </w:tc>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2,000,000</w:t>
            </w:r>
          </w:p>
        </w:tc>
      </w:tr>
      <w:tr>
        <w:trPr>
          <w:trHeight w:val="201"/>
        </w:trPr>
        <w:tc>
          <w:tcPr>
            <w:tcW w:w="20" w:type="dxa"/>
            <w:vAlign w:val="bottom"/>
          </w:tcPr>
          <w:p>
            <w:pPr>
              <w:spacing w:after="0"/>
              <w:rPr>
                <w:sz w:val="17"/>
                <w:szCs w:val="17"/>
                <w:color w:val="auto"/>
              </w:rPr>
            </w:pPr>
          </w:p>
        </w:tc>
        <w:tc>
          <w:tcPr>
            <w:tcW w:w="6600" w:type="dxa"/>
            <w:vAlign w:val="bottom"/>
          </w:tcPr>
          <w:p>
            <w:pPr>
              <w:spacing w:after="0" w:line="201" w:lineRule="exact"/>
              <w:rPr>
                <w:sz w:val="20"/>
                <w:szCs w:val="20"/>
                <w:color w:val="auto"/>
              </w:rPr>
            </w:pPr>
            <w:r>
              <w:rPr>
                <w:rFonts w:ascii="Arial" w:cs="Arial" w:eastAsia="Arial" w:hAnsi="Arial"/>
                <w:sz w:val="18"/>
                <w:szCs w:val="18"/>
                <w:color w:val="auto"/>
              </w:rPr>
              <w:t>Accounting fees and expenses</w:t>
            </w: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1,000,000</w:t>
            </w: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Custodian transfer agent and registrar fees</w:t>
            </w:r>
          </w:p>
        </w:tc>
        <w:tc>
          <w:tcPr>
            <w:tcW w:w="3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4,500</w:t>
            </w:r>
          </w:p>
        </w:tc>
      </w:tr>
      <w:tr>
        <w:trPr>
          <w:trHeight w:val="207"/>
        </w:trPr>
        <w:tc>
          <w:tcPr>
            <w:tcW w:w="20" w:type="dxa"/>
            <w:vAlign w:val="bottom"/>
          </w:tcPr>
          <w:p>
            <w:pPr>
              <w:spacing w:after="0"/>
              <w:rPr>
                <w:sz w:val="18"/>
                <w:szCs w:val="18"/>
                <w:color w:val="auto"/>
              </w:rPr>
            </w:pPr>
          </w:p>
        </w:tc>
        <w:tc>
          <w:tcPr>
            <w:tcW w:w="6600" w:type="dxa"/>
            <w:vAlign w:val="bottom"/>
          </w:tcPr>
          <w:p>
            <w:pPr>
              <w:spacing w:after="0" w:line="201" w:lineRule="exact"/>
              <w:rPr>
                <w:sz w:val="20"/>
                <w:szCs w:val="20"/>
                <w:color w:val="auto"/>
              </w:rPr>
            </w:pPr>
            <w:r>
              <w:rPr>
                <w:rFonts w:ascii="Arial" w:cs="Arial" w:eastAsia="Arial" w:hAnsi="Arial"/>
                <w:sz w:val="18"/>
                <w:szCs w:val="18"/>
                <w:color w:val="auto"/>
              </w:rPr>
              <w:t>Miscellaneous</w:t>
            </w:r>
          </w:p>
        </w:tc>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378,962</w:t>
            </w:r>
          </w:p>
        </w:tc>
        <w:tc>
          <w:tcPr>
            <w:tcW w:w="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4,000,000</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3" w:lineRule="exact"/>
        <w:rPr>
          <w:sz w:val="20"/>
          <w:szCs w:val="20"/>
          <w:color w:val="auto"/>
        </w:rPr>
      </w:pPr>
    </w:p>
    <w:p>
      <w:pPr>
        <w:ind w:left="160" w:right="160" w:firstLine="546"/>
        <w:spacing w:after="0" w:line="234"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206"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Xometry, Inc., provided that such director or officer acted in good faith and in a manner that the director or officer reasonably believed to be in, or not opposed to, the best interest of Xometry, Inc. At present, there is no pending litigation or proceeding involving a director or officer of Xometry, Inc. regarding which indemnification is sought, nor is the registrant aware of any threatened litigation that may result in claims for indemnification.</w:t>
      </w:r>
    </w:p>
    <w:p>
      <w:pPr>
        <w:spacing w:after="0" w:line="206"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6" w:right="4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 through June 21, 2021:</w:t>
      </w:r>
    </w:p>
    <w:p>
      <w:pPr>
        <w:spacing w:after="0" w:line="114" w:lineRule="exact"/>
        <w:rPr>
          <w:sz w:val="20"/>
          <w:szCs w:val="20"/>
          <w:color w:val="auto"/>
        </w:rPr>
      </w:pPr>
    </w:p>
    <w:p>
      <w:pPr>
        <w:ind w:left="700" w:hanging="533"/>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Option issuances.</w:t>
      </w:r>
    </w:p>
    <w:p>
      <w:pPr>
        <w:spacing w:after="0" w:line="208"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have granted under our 2016 Plan options to purchase an aggregate of 5,205,952 shares of our common stock to a total of 593 employees, consultants and directors, having exercise prices ranging from $1.65 to $12.32 per share. 1,645,574 of such options granted under the 2016 Plan have been exercised at a weighted-average exercise price of approximately $1.39 per share.</w:t>
      </w:r>
    </w:p>
    <w:p>
      <w:pPr>
        <w:spacing w:after="0" w:line="109" w:lineRule="exact"/>
        <w:rPr>
          <w:sz w:val="20"/>
          <w:szCs w:val="20"/>
          <w:color w:val="auto"/>
        </w:rPr>
      </w:pPr>
    </w:p>
    <w:p>
      <w:pPr>
        <w:ind w:left="700" w:hanging="533"/>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Preferred Stock Issuances.</w:t>
      </w:r>
    </w:p>
    <w:p>
      <w:pPr>
        <w:spacing w:after="0" w:line="20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approximately $52,653,589.65.</w:t>
      </w:r>
    </w:p>
    <w:p>
      <w:pPr>
        <w:spacing w:after="0" w:line="202"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approximately $54,999,975.96.</w:t>
      </w:r>
    </w:p>
    <w:p>
      <w:pPr>
        <w:spacing w:after="0" w:line="203"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w:t>
      </w:r>
    </w:p>
    <w:p>
      <w:pPr>
        <w:spacing w:after="0" w:line="1"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Exhibits.</w:t>
      </w:r>
    </w:p>
    <w:p>
      <w:pPr>
        <w:spacing w:after="0" w:line="208"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 Financial Statement Schedules.</w:t>
      </w:r>
    </w:p>
    <w:p>
      <w:pPr>
        <w:spacing w:after="0" w:line="208"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60"/>
          </w:cols>
          <w:pgMar w:left="320" w:top="456" w:right="5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17. Undertakings.</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undersigned registrant hereby undertakes that:</w:t>
      </w:r>
    </w:p>
    <w:p>
      <w:pPr>
        <w:spacing w:after="0" w:line="101" w:lineRule="exact"/>
        <w:rPr>
          <w:sz w:val="20"/>
          <w:szCs w:val="20"/>
          <w:color w:val="auto"/>
        </w:rPr>
      </w:pPr>
    </w:p>
    <w:p>
      <w:pPr>
        <w:ind w:left="160" w:right="40" w:firstLine="553"/>
        <w:spacing w:after="0" w:line="246" w:lineRule="auto"/>
        <w:tabs>
          <w:tab w:leader="none" w:pos="973" w:val="left"/>
        </w:tabs>
        <w:numPr>
          <w:ilvl w:val="1"/>
          <w:numId w:val="14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w:t>
      </w:r>
    </w:p>
    <w:p>
      <w:pPr>
        <w:ind w:left="440" w:hanging="273"/>
        <w:spacing w:after="0"/>
        <w:tabs>
          <w:tab w:leader="none" w:pos="4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or (4) or 497(h) under the Securities Act will be deemed to be part of this registration statement as of the time it was declared effective.</w:t>
      </w:r>
    </w:p>
    <w:p>
      <w:pPr>
        <w:spacing w:after="0" w:line="219" w:lineRule="exact"/>
        <w:rPr>
          <w:rFonts w:ascii="Arial" w:cs="Arial" w:eastAsia="Arial" w:hAnsi="Arial"/>
          <w:sz w:val="17"/>
          <w:szCs w:val="17"/>
          <w:color w:val="auto"/>
        </w:rPr>
      </w:pPr>
    </w:p>
    <w:p>
      <w:pPr>
        <w:jc w:val="both"/>
        <w:ind w:left="160" w:right="300" w:firstLine="553"/>
        <w:spacing w:after="0" w:line="237" w:lineRule="auto"/>
        <w:tabs>
          <w:tab w:leader="none" w:pos="97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20"/>
          </w:cols>
          <w:pgMar w:left="320" w:top="456" w:right="5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20" w:type="dxa"/>
            <w:vAlign w:val="bottom"/>
            <w:gridSpan w:val="13"/>
          </w:tcPr>
          <w:p>
            <w:pPr>
              <w:jc w:val="center"/>
              <w:ind w:right="4300"/>
              <w:spacing w:after="0"/>
              <w:rPr>
                <w:sz w:val="20"/>
                <w:szCs w:val="20"/>
                <w:color w:val="auto"/>
              </w:rPr>
            </w:pPr>
            <w:r>
              <w:rPr>
                <w:rFonts w:ascii="Arial" w:cs="Arial" w:eastAsia="Arial" w:hAnsi="Arial"/>
                <w:sz w:val="18"/>
                <w:szCs w:val="18"/>
                <w:b w:val="1"/>
                <w:bCs w:val="1"/>
                <w:color w:val="auto"/>
                <w:w w:val="99"/>
              </w:rPr>
              <w:t>EXHIBIT INDEX</w:t>
            </w:r>
          </w:p>
        </w:tc>
      </w:tr>
      <w:tr>
        <w:trPr>
          <w:trHeight w:val="376"/>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4"/>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4460" w:type="dxa"/>
            <w:vAlign w:val="bottom"/>
            <w:gridSpan w:val="9"/>
          </w:tcPr>
          <w:p>
            <w:pPr>
              <w:spacing w:after="0"/>
              <w:rPr>
                <w:sz w:val="15"/>
                <w:szCs w:val="15"/>
                <w:color w:val="auto"/>
              </w:rPr>
            </w:pPr>
          </w:p>
        </w:tc>
      </w:tr>
      <w:tr>
        <w:trPr>
          <w:trHeight w:val="313"/>
        </w:trPr>
        <w:tc>
          <w:tcPr>
            <w:tcW w:w="560" w:type="dxa"/>
            <w:vAlign w:val="bottom"/>
          </w:tcPr>
          <w:p>
            <w:pPr>
              <w:ind w:left="10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auto"/>
              </w:rPr>
              <w:t>Form of Underwriting Agreement.</w:t>
            </w:r>
          </w:p>
        </w:tc>
      </w:tr>
      <w:tr>
        <w:trPr>
          <w:trHeight w:val="269"/>
        </w:trPr>
        <w:tc>
          <w:tcPr>
            <w:tcW w:w="560" w:type="dxa"/>
            <w:vAlign w:val="bottom"/>
          </w:tcPr>
          <w:p>
            <w:pPr>
              <w:ind w:left="10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3"/>
                <w:szCs w:val="23"/>
                <w:color w:val="auto"/>
              </w:rPr>
            </w:pPr>
          </w:p>
        </w:tc>
        <w:tc>
          <w:tcPr>
            <w:tcW w:w="7040" w:type="dxa"/>
            <w:vAlign w:val="bottom"/>
            <w:tcBorders>
              <w:bottom w:val="single" w:sz="8" w:color="0000EE"/>
            </w:tcBorders>
            <w:gridSpan w:val="9"/>
          </w:tcPr>
          <w:p>
            <w:pPr>
              <w:spacing w:after="0"/>
              <w:rPr>
                <w:rFonts w:ascii="Arial" w:cs="Arial" w:eastAsia="Arial" w:hAnsi="Arial"/>
                <w:sz w:val="18"/>
                <w:szCs w:val="18"/>
                <w:color w:val="0000EE"/>
                <w:w w:val="98"/>
              </w:rPr>
            </w:pPr>
            <w:hyperlink r:id="rId307">
              <w:r>
                <w:rPr>
                  <w:rFonts w:ascii="Arial" w:cs="Arial" w:eastAsia="Arial" w:hAnsi="Arial"/>
                  <w:sz w:val="18"/>
                  <w:szCs w:val="18"/>
                  <w:color w:val="0000EE"/>
                  <w:w w:val="98"/>
                </w:rPr>
                <w:t>Amended and Restated Certificate of Incorporation of Xometry, Inc., as currently in effect.</w:t>
              </w:r>
            </w:hyperlink>
          </w:p>
        </w:tc>
        <w:tc>
          <w:tcPr>
            <w:tcW w:w="2720" w:type="dxa"/>
            <w:vAlign w:val="bottom"/>
            <w:gridSpan w:val="6"/>
          </w:tcPr>
          <w:p>
            <w:pPr>
              <w:spacing w:after="0"/>
              <w:rPr>
                <w:sz w:val="23"/>
                <w:szCs w:val="23"/>
                <w:color w:val="auto"/>
              </w:rPr>
            </w:pPr>
          </w:p>
        </w:tc>
      </w:tr>
      <w:tr>
        <w:trPr>
          <w:trHeight w:val="288"/>
        </w:trPr>
        <w:tc>
          <w:tcPr>
            <w:tcW w:w="560" w:type="dxa"/>
            <w:vAlign w:val="bottom"/>
          </w:tcPr>
          <w:p>
            <w:pPr>
              <w:ind w:left="10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Arial" w:cs="Arial" w:eastAsia="Arial" w:hAnsi="Arial"/>
                <w:sz w:val="18"/>
                <w:szCs w:val="18"/>
                <w:color w:val="0000EE"/>
                <w:w w:val="98"/>
              </w:rPr>
            </w:pPr>
            <w:hyperlink w:anchor="page230">
              <w:r>
                <w:rPr>
                  <w:rFonts w:ascii="Arial" w:cs="Arial" w:eastAsia="Arial" w:hAnsi="Arial"/>
                  <w:sz w:val="18"/>
                  <w:szCs w:val="18"/>
                  <w:color w:val="0000EE"/>
                  <w:w w:val="98"/>
                </w:rPr>
                <w:t>Form of Amended and Restated Certificate of Incorporation of Xometry, Inc., to be in effect on the completion of the offering.</w:t>
              </w:r>
            </w:hyperlink>
          </w:p>
        </w:tc>
      </w:tr>
      <w:tr>
        <w:trPr>
          <w:trHeight w:val="288"/>
        </w:trPr>
        <w:tc>
          <w:tcPr>
            <w:tcW w:w="560" w:type="dxa"/>
            <w:vAlign w:val="bottom"/>
          </w:tcPr>
          <w:p>
            <w:pPr>
              <w:ind w:left="10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08">
              <w:r>
                <w:rPr>
                  <w:rFonts w:ascii="Arial" w:cs="Arial" w:eastAsia="Arial" w:hAnsi="Arial"/>
                  <w:sz w:val="18"/>
                  <w:szCs w:val="18"/>
                  <w:color w:val="0000EE"/>
                </w:rPr>
                <w:t>Amended and Restated Bylaws of Xometry, Inc., as currently in effect.</w:t>
              </w:r>
            </w:hyperlink>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ind w:left="10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w:anchor="page244">
              <w:r>
                <w:rPr>
                  <w:rFonts w:ascii="Arial" w:cs="Arial" w:eastAsia="Arial" w:hAnsi="Arial"/>
                  <w:sz w:val="18"/>
                  <w:szCs w:val="18"/>
                  <w:color w:val="0000EE"/>
                </w:rPr>
                <w:t>Form of Amended and Restated Bylaws of Xometry, Inc., to be in effect on the completion of the offering.</w:t>
              </w:r>
            </w:hyperlink>
          </w:p>
        </w:tc>
      </w:tr>
      <w:tr>
        <w:trPr>
          <w:trHeight w:val="326"/>
        </w:trPr>
        <w:tc>
          <w:tcPr>
            <w:tcW w:w="560" w:type="dxa"/>
            <w:vAlign w:val="bottom"/>
          </w:tcPr>
          <w:p>
            <w:pPr>
              <w:ind w:left="10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82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Form of Class A Common Stock Certificate.</w:t>
            </w:r>
          </w:p>
        </w:tc>
        <w:tc>
          <w:tcPr>
            <w:tcW w:w="1520" w:type="dxa"/>
            <w:vAlign w:val="bottom"/>
            <w:gridSpan w:val="3"/>
          </w:tcPr>
          <w:p>
            <w:pPr>
              <w:spacing w:after="0"/>
              <w:rPr>
                <w:sz w:val="24"/>
                <w:szCs w:val="24"/>
                <w:color w:val="auto"/>
              </w:rPr>
            </w:pPr>
          </w:p>
        </w:tc>
      </w:tr>
      <w:tr>
        <w:trPr>
          <w:trHeight w:val="308"/>
        </w:trPr>
        <w:tc>
          <w:tcPr>
            <w:tcW w:w="560" w:type="dxa"/>
            <w:vAlign w:val="bottom"/>
          </w:tcPr>
          <w:p>
            <w:pPr>
              <w:ind w:left="10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auto"/>
              </w:rPr>
              <w:t>Opinion of Cooley LLP.</w:t>
            </w:r>
          </w:p>
        </w:tc>
      </w:tr>
      <w:tr>
        <w:trPr>
          <w:trHeight w:val="269"/>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3"/>
                <w:szCs w:val="23"/>
                <w:color w:val="auto"/>
              </w:rPr>
            </w:pPr>
          </w:p>
        </w:tc>
        <w:tc>
          <w:tcPr>
            <w:tcW w:w="6440" w:type="dxa"/>
            <w:vAlign w:val="bottom"/>
            <w:tcBorders>
              <w:bottom w:val="single" w:sz="8" w:color="0000EE"/>
            </w:tcBorders>
            <w:gridSpan w:val="8"/>
          </w:tcPr>
          <w:p>
            <w:pPr>
              <w:spacing w:after="0"/>
              <w:rPr>
                <w:rFonts w:ascii="Arial" w:cs="Arial" w:eastAsia="Arial" w:hAnsi="Arial"/>
                <w:sz w:val="18"/>
                <w:szCs w:val="18"/>
                <w:color w:val="0000EE"/>
                <w:w w:val="98"/>
              </w:rPr>
            </w:pPr>
            <w:hyperlink r:id="rId309">
              <w:r>
                <w:rPr>
                  <w:rFonts w:ascii="Arial" w:cs="Arial" w:eastAsia="Arial" w:hAnsi="Arial"/>
                  <w:sz w:val="18"/>
                  <w:szCs w:val="18"/>
                  <w:color w:val="0000EE"/>
                  <w:w w:val="98"/>
                </w:rPr>
                <w:t>Seventh Amended and Restated Investor Rights Agreement, dated July 17, 2020.</w:t>
              </w:r>
            </w:hyperlink>
          </w:p>
        </w:tc>
        <w:tc>
          <w:tcPr>
            <w:tcW w:w="3320" w:type="dxa"/>
            <w:vAlign w:val="bottom"/>
            <w:gridSpan w:val="7"/>
          </w:tcPr>
          <w:p>
            <w:pPr>
              <w:spacing w:after="0"/>
              <w:rPr>
                <w:sz w:val="23"/>
                <w:szCs w:val="23"/>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10">
              <w:r>
                <w:rPr>
                  <w:rFonts w:ascii="Arial" w:cs="Arial" w:eastAsia="Arial" w:hAnsi="Arial"/>
                  <w:sz w:val="18"/>
                  <w:szCs w:val="18"/>
                  <w:color w:val="0000EE"/>
                </w:rPr>
                <w:t>Xometry, Inc. 2016 Equity Incentive Plan.</w:t>
              </w:r>
            </w:hyperlink>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11">
              <w:r>
                <w:rPr>
                  <w:rFonts w:ascii="Arial" w:cs="Arial" w:eastAsia="Arial" w:hAnsi="Arial"/>
                  <w:sz w:val="18"/>
                  <w:szCs w:val="18"/>
                  <w:color w:val="0000EE"/>
                </w:rPr>
                <w:t>Xometry, Inc. Amendment No. 1 to 2016 Equity Incentive Plan.</w:t>
              </w:r>
            </w:hyperlink>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12">
              <w:r>
                <w:rPr>
                  <w:rFonts w:ascii="Arial" w:cs="Arial" w:eastAsia="Arial" w:hAnsi="Arial"/>
                  <w:sz w:val="18"/>
                  <w:szCs w:val="18"/>
                  <w:color w:val="0000EE"/>
                </w:rPr>
                <w:t>Xometry, Inc. Amendment No. 2 to 2016 Equity Incentive Plan.</w:t>
              </w:r>
            </w:hyperlink>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13">
              <w:r>
                <w:rPr>
                  <w:rFonts w:ascii="Arial" w:cs="Arial" w:eastAsia="Arial" w:hAnsi="Arial"/>
                  <w:sz w:val="18"/>
                  <w:szCs w:val="18"/>
                  <w:color w:val="0000EE"/>
                </w:rPr>
                <w:t>Xometry, Inc. Amendment No. 3 to 2016 Equity Incentive Plan.</w:t>
              </w:r>
            </w:hyperlink>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14">
              <w:r>
                <w:rPr>
                  <w:rFonts w:ascii="Arial" w:cs="Arial" w:eastAsia="Arial" w:hAnsi="Arial"/>
                  <w:sz w:val="18"/>
                  <w:szCs w:val="18"/>
                  <w:color w:val="0000EE"/>
                </w:rPr>
                <w:t>Xometry, Inc. Amendment No. 4 to 2016 Equity Incentive Plan.</w:t>
              </w:r>
            </w:hyperlink>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15">
              <w:r>
                <w:rPr>
                  <w:rFonts w:ascii="Arial" w:cs="Arial" w:eastAsia="Arial" w:hAnsi="Arial"/>
                  <w:sz w:val="18"/>
                  <w:szCs w:val="18"/>
                  <w:color w:val="0000EE"/>
                </w:rPr>
                <w:t>Xometry, Inc. Amendment No. 5 to 2016 Equity Incentive Plan.</w:t>
              </w:r>
            </w:hyperlink>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16">
              <w:r>
                <w:rPr>
                  <w:rFonts w:ascii="Arial" w:cs="Arial" w:eastAsia="Arial" w:hAnsi="Arial"/>
                  <w:sz w:val="18"/>
                  <w:szCs w:val="18"/>
                  <w:color w:val="0000EE"/>
                </w:rPr>
                <w:t>Forms of grant notice, stock option agreement, and notice of exercise under the Xometry, Inc. 2016 Equity Incentive Plan.</w:t>
              </w:r>
            </w:hyperlink>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560" w:type="dxa"/>
            <w:vAlign w:val="bottom"/>
            <w:tcBorders>
              <w:top w:val="single" w:sz="8" w:color="0000EE"/>
            </w:tcBorders>
            <w:gridSpan w:val="14"/>
          </w:tcPr>
          <w:p>
            <w:pPr>
              <w:spacing w:after="0"/>
              <w:rPr>
                <w:rFonts w:ascii="Arial" w:cs="Arial" w:eastAsia="Arial" w:hAnsi="Arial"/>
                <w:sz w:val="18"/>
                <w:szCs w:val="18"/>
                <w:color w:val="0000EE"/>
              </w:rPr>
            </w:pPr>
            <w:hyperlink w:anchor="page267">
              <w:r>
                <w:rPr>
                  <w:rFonts w:ascii="Arial" w:cs="Arial" w:eastAsia="Arial" w:hAnsi="Arial"/>
                  <w:sz w:val="18"/>
                  <w:szCs w:val="18"/>
                  <w:color w:val="0000EE"/>
                </w:rPr>
                <w:t>Xometry, Inc. 2021 Equity Incentive Plan.</w:t>
              </w:r>
            </w:hyperlink>
          </w:p>
        </w:tc>
        <w:tc>
          <w:tcPr>
            <w:tcW w:w="200" w:type="dxa"/>
            <w:vAlign w:val="bottom"/>
          </w:tcPr>
          <w:p>
            <w:pPr>
              <w:spacing w:after="0"/>
              <w:rPr>
                <w:sz w:val="24"/>
                <w:szCs w:val="24"/>
                <w:color w:val="auto"/>
              </w:rPr>
            </w:pPr>
          </w:p>
        </w:tc>
      </w:tr>
      <w:tr>
        <w:trPr>
          <w:trHeight w:val="20"/>
        </w:trPr>
        <w:tc>
          <w:tcPr>
            <w:tcW w:w="1120" w:type="dxa"/>
            <w:vAlign w:val="bottom"/>
            <w:gridSpan w:val="2"/>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326"/>
        </w:trPr>
        <w:tc>
          <w:tcPr>
            <w:tcW w:w="1120" w:type="dxa"/>
            <w:vAlign w:val="bottom"/>
            <w:gridSpan w:val="2"/>
          </w:tcPr>
          <w:p>
            <w:pPr>
              <w:spacing w:after="0"/>
              <w:rPr>
                <w:sz w:val="20"/>
                <w:szCs w:val="20"/>
                <w:color w:val="auto"/>
              </w:rPr>
            </w:pPr>
            <w:r>
              <w:rPr>
                <w:rFonts w:ascii="Arial" w:cs="Arial" w:eastAsia="Arial" w:hAnsi="Arial"/>
                <w:sz w:val="18"/>
                <w:szCs w:val="18"/>
                <w:color w:val="auto"/>
              </w:rPr>
              <w:t>10.10+**</w:t>
            </w:r>
          </w:p>
        </w:tc>
        <w:tc>
          <w:tcPr>
            <w:tcW w:w="9760" w:type="dxa"/>
            <w:vAlign w:val="bottom"/>
            <w:gridSpan w:val="15"/>
          </w:tcPr>
          <w:p>
            <w:pPr>
              <w:spacing w:after="0"/>
              <w:rPr>
                <w:sz w:val="20"/>
                <w:szCs w:val="20"/>
                <w:color w:val="auto"/>
              </w:rPr>
            </w:pPr>
            <w:r>
              <w:rPr>
                <w:rFonts w:ascii="Arial" w:cs="Arial" w:eastAsia="Arial" w:hAnsi="Arial"/>
                <w:sz w:val="18"/>
                <w:szCs w:val="18"/>
                <w:color w:val="auto"/>
              </w:rPr>
              <w:t>Forms of grant notice, stock option agreement and notice of exercise under the Xometry, Inc. 2021 Equity Incentive Plan.</w:t>
            </w:r>
          </w:p>
        </w:tc>
      </w:tr>
      <w:tr>
        <w:trPr>
          <w:trHeight w:val="308"/>
        </w:trPr>
        <w:tc>
          <w:tcPr>
            <w:tcW w:w="1120" w:type="dxa"/>
            <w:vAlign w:val="bottom"/>
            <w:gridSpan w:val="2"/>
          </w:tcPr>
          <w:p>
            <w:pPr>
              <w:spacing w:after="0"/>
              <w:rPr>
                <w:sz w:val="20"/>
                <w:szCs w:val="20"/>
                <w:color w:val="auto"/>
              </w:rPr>
            </w:pPr>
            <w:r>
              <w:rPr>
                <w:rFonts w:ascii="Arial" w:cs="Arial" w:eastAsia="Arial" w:hAnsi="Arial"/>
                <w:sz w:val="18"/>
                <w:szCs w:val="18"/>
                <w:color w:val="auto"/>
              </w:rPr>
              <w:t>10.11+**</w:t>
            </w:r>
          </w:p>
        </w:tc>
        <w:tc>
          <w:tcPr>
            <w:tcW w:w="9760" w:type="dxa"/>
            <w:vAlign w:val="bottom"/>
            <w:gridSpan w:val="15"/>
          </w:tcPr>
          <w:p>
            <w:pPr>
              <w:spacing w:after="0"/>
              <w:rPr>
                <w:sz w:val="20"/>
                <w:szCs w:val="20"/>
                <w:color w:val="auto"/>
              </w:rPr>
            </w:pPr>
            <w:r>
              <w:rPr>
                <w:rFonts w:ascii="Arial" w:cs="Arial" w:eastAsia="Arial" w:hAnsi="Arial"/>
                <w:sz w:val="18"/>
                <w:szCs w:val="18"/>
                <w:color w:val="auto"/>
              </w:rPr>
              <w:t>Forms of restricted stock unit grant notice and award agreement under the Xometry, Inc. 2021 Equity Incentive Plan.</w:t>
            </w:r>
          </w:p>
        </w:tc>
      </w:tr>
      <w:tr>
        <w:trPr>
          <w:trHeight w:val="295"/>
        </w:trPr>
        <w:tc>
          <w:tcPr>
            <w:tcW w:w="1120" w:type="dxa"/>
            <w:vAlign w:val="bottom"/>
            <w:gridSpan w:val="2"/>
          </w:tcPr>
          <w:p>
            <w:pPr>
              <w:spacing w:after="0"/>
              <w:rPr>
                <w:sz w:val="20"/>
                <w:szCs w:val="20"/>
                <w:color w:val="auto"/>
              </w:rPr>
            </w:pPr>
            <w:r>
              <w:rPr>
                <w:rFonts w:ascii="Arial" w:cs="Arial" w:eastAsia="Arial" w:hAnsi="Arial"/>
                <w:sz w:val="18"/>
                <w:szCs w:val="18"/>
                <w:color w:val="auto"/>
              </w:rPr>
              <w:t>10.12+**</w:t>
            </w:r>
          </w:p>
        </w:tc>
        <w:tc>
          <w:tcPr>
            <w:tcW w:w="9760" w:type="dxa"/>
            <w:vAlign w:val="bottom"/>
            <w:gridSpan w:val="15"/>
          </w:tcPr>
          <w:p>
            <w:pPr>
              <w:spacing w:after="0"/>
              <w:rPr>
                <w:sz w:val="20"/>
                <w:szCs w:val="20"/>
                <w:color w:val="auto"/>
              </w:rPr>
            </w:pPr>
            <w:r>
              <w:rPr>
                <w:rFonts w:ascii="Arial" w:cs="Arial" w:eastAsia="Arial" w:hAnsi="Arial"/>
                <w:sz w:val="18"/>
                <w:szCs w:val="18"/>
                <w:color w:val="auto"/>
                <w:w w:val="99"/>
              </w:rPr>
              <w:t>Amended and Restated Employment Agreement by and between Xometry, Inc. and Randolph Altschuler, to be in effect on</w:t>
            </w:r>
          </w:p>
        </w:tc>
      </w:tr>
      <w:tr>
        <w:trPr>
          <w:trHeight w:val="213"/>
        </w:trPr>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auto"/>
              </w:rPr>
              <w:t>the completion of the offering.</w:t>
            </w:r>
          </w:p>
        </w:tc>
      </w:tr>
      <w:tr>
        <w:trPr>
          <w:trHeight w:val="295"/>
        </w:trPr>
        <w:tc>
          <w:tcPr>
            <w:tcW w:w="1120" w:type="dxa"/>
            <w:vAlign w:val="bottom"/>
            <w:gridSpan w:val="2"/>
          </w:tcPr>
          <w:p>
            <w:pPr>
              <w:spacing w:after="0"/>
              <w:rPr>
                <w:sz w:val="20"/>
                <w:szCs w:val="20"/>
                <w:color w:val="auto"/>
              </w:rPr>
            </w:pPr>
            <w:r>
              <w:rPr>
                <w:rFonts w:ascii="Arial" w:cs="Arial" w:eastAsia="Arial" w:hAnsi="Arial"/>
                <w:sz w:val="18"/>
                <w:szCs w:val="18"/>
                <w:color w:val="auto"/>
              </w:rPr>
              <w:t>10.13+**</w:t>
            </w:r>
          </w:p>
        </w:tc>
        <w:tc>
          <w:tcPr>
            <w:tcW w:w="9760" w:type="dxa"/>
            <w:vAlign w:val="bottom"/>
            <w:gridSpan w:val="15"/>
          </w:tcPr>
          <w:p>
            <w:pPr>
              <w:spacing w:after="0"/>
              <w:rPr>
                <w:sz w:val="20"/>
                <w:szCs w:val="20"/>
                <w:color w:val="auto"/>
              </w:rPr>
            </w:pPr>
            <w:r>
              <w:rPr>
                <w:rFonts w:ascii="Arial" w:cs="Arial" w:eastAsia="Arial" w:hAnsi="Arial"/>
                <w:sz w:val="18"/>
                <w:szCs w:val="18"/>
                <w:color w:val="auto"/>
              </w:rPr>
              <w:t>Amended and Restated Employment Agreement by and between Xometry, Inc. and James Rallo, to be in effect on the</w:t>
            </w:r>
          </w:p>
        </w:tc>
      </w:tr>
      <w:tr>
        <w:trPr>
          <w:trHeight w:val="213"/>
        </w:trPr>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auto"/>
              </w:rPr>
              <w:t>completion of the offering.</w:t>
            </w:r>
          </w:p>
        </w:tc>
      </w:tr>
      <w:tr>
        <w:trPr>
          <w:trHeight w:val="295"/>
        </w:trPr>
        <w:tc>
          <w:tcPr>
            <w:tcW w:w="1120" w:type="dxa"/>
            <w:vAlign w:val="bottom"/>
            <w:gridSpan w:val="2"/>
          </w:tcPr>
          <w:p>
            <w:pPr>
              <w:spacing w:after="0"/>
              <w:rPr>
                <w:sz w:val="20"/>
                <w:szCs w:val="20"/>
                <w:color w:val="auto"/>
              </w:rPr>
            </w:pPr>
            <w:r>
              <w:rPr>
                <w:rFonts w:ascii="Arial" w:cs="Arial" w:eastAsia="Arial" w:hAnsi="Arial"/>
                <w:sz w:val="18"/>
                <w:szCs w:val="18"/>
                <w:color w:val="auto"/>
              </w:rPr>
              <w:t>10.14+**</w:t>
            </w:r>
          </w:p>
        </w:tc>
        <w:tc>
          <w:tcPr>
            <w:tcW w:w="9760" w:type="dxa"/>
            <w:vAlign w:val="bottom"/>
            <w:gridSpan w:val="15"/>
          </w:tcPr>
          <w:p>
            <w:pPr>
              <w:spacing w:after="0"/>
              <w:rPr>
                <w:sz w:val="20"/>
                <w:szCs w:val="20"/>
                <w:color w:val="auto"/>
              </w:rPr>
            </w:pPr>
            <w:r>
              <w:rPr>
                <w:rFonts w:ascii="Arial" w:cs="Arial" w:eastAsia="Arial" w:hAnsi="Arial"/>
                <w:sz w:val="18"/>
                <w:szCs w:val="18"/>
                <w:color w:val="auto"/>
              </w:rPr>
              <w:t>Amended and Restated Employment Agreement by and between Xometry, Inc. and Peter Goguen, to be in effect on the</w:t>
            </w:r>
          </w:p>
        </w:tc>
      </w:tr>
      <w:tr>
        <w:trPr>
          <w:trHeight w:val="213"/>
        </w:trPr>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auto"/>
              </w:rPr>
              <w:t>completion of the offering.</w:t>
            </w:r>
          </w:p>
        </w:tc>
      </w:tr>
      <w:tr>
        <w:trPr>
          <w:trHeight w:val="269"/>
        </w:trPr>
        <w:tc>
          <w:tcPr>
            <w:tcW w:w="1120" w:type="dxa"/>
            <w:vAlign w:val="bottom"/>
            <w:gridSpan w:val="2"/>
          </w:tcPr>
          <w:p>
            <w:pPr>
              <w:spacing w:after="0"/>
              <w:rPr>
                <w:sz w:val="20"/>
                <w:szCs w:val="20"/>
                <w:color w:val="auto"/>
              </w:rPr>
            </w:pPr>
            <w:r>
              <w:rPr>
                <w:rFonts w:ascii="Arial" w:cs="Arial" w:eastAsia="Arial" w:hAnsi="Arial"/>
                <w:sz w:val="18"/>
                <w:szCs w:val="18"/>
                <w:color w:val="auto"/>
              </w:rPr>
              <w:t>10.15+</w:t>
            </w:r>
          </w:p>
        </w:tc>
        <w:tc>
          <w:tcPr>
            <w:tcW w:w="932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302">
              <w:r>
                <w:rPr>
                  <w:rFonts w:ascii="Arial" w:cs="Arial" w:eastAsia="Arial" w:hAnsi="Arial"/>
                  <w:sz w:val="18"/>
                  <w:szCs w:val="18"/>
                  <w:color w:val="0000EE"/>
                  <w:w w:val="98"/>
                </w:rPr>
                <w:t>Form of Indemnification Agreement entered into by and between Xometry, Inc. and each director and executive officer.</w:t>
              </w:r>
            </w:hyperlink>
          </w:p>
        </w:tc>
        <w:tc>
          <w:tcPr>
            <w:tcW w:w="440" w:type="dxa"/>
            <w:vAlign w:val="bottom"/>
            <w:gridSpan w:val="2"/>
          </w:tcPr>
          <w:p>
            <w:pPr>
              <w:spacing w:after="0"/>
              <w:rPr>
                <w:sz w:val="23"/>
                <w:szCs w:val="23"/>
                <w:color w:val="auto"/>
              </w:rPr>
            </w:pPr>
          </w:p>
        </w:tc>
      </w:tr>
      <w:tr>
        <w:trPr>
          <w:trHeight w:val="288"/>
        </w:trPr>
        <w:tc>
          <w:tcPr>
            <w:tcW w:w="1120" w:type="dxa"/>
            <w:vAlign w:val="bottom"/>
            <w:gridSpan w:val="2"/>
          </w:tcPr>
          <w:p>
            <w:pPr>
              <w:spacing w:after="0"/>
              <w:rPr>
                <w:sz w:val="20"/>
                <w:szCs w:val="20"/>
                <w:color w:val="auto"/>
              </w:rPr>
            </w:pPr>
            <w:r>
              <w:rPr>
                <w:rFonts w:ascii="Arial" w:cs="Arial" w:eastAsia="Arial" w:hAnsi="Arial"/>
                <w:sz w:val="18"/>
                <w:szCs w:val="18"/>
                <w:color w:val="auto"/>
              </w:rPr>
              <w:t>10.16+</w:t>
            </w:r>
          </w:p>
        </w:tc>
        <w:tc>
          <w:tcPr>
            <w:tcW w:w="42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16">
              <w:r>
                <w:rPr>
                  <w:rFonts w:ascii="Arial" w:cs="Arial" w:eastAsia="Arial" w:hAnsi="Arial"/>
                  <w:sz w:val="18"/>
                  <w:szCs w:val="18"/>
                  <w:color w:val="0000EE"/>
                  <w:w w:val="98"/>
                </w:rPr>
                <w:t>Nextline Manufacturing Corp. 2014 Stock Option Plan.</w:t>
              </w:r>
            </w:hyperlink>
          </w:p>
        </w:tc>
        <w:tc>
          <w:tcPr>
            <w:tcW w:w="5480" w:type="dxa"/>
            <w:vAlign w:val="bottom"/>
            <w:gridSpan w:val="12"/>
          </w:tcPr>
          <w:p>
            <w:pPr>
              <w:spacing w:after="0"/>
              <w:rPr>
                <w:sz w:val="24"/>
                <w:szCs w:val="24"/>
                <w:color w:val="auto"/>
              </w:rPr>
            </w:pPr>
          </w:p>
        </w:tc>
      </w:tr>
      <w:tr>
        <w:trPr>
          <w:trHeight w:val="288"/>
        </w:trPr>
        <w:tc>
          <w:tcPr>
            <w:tcW w:w="1120" w:type="dxa"/>
            <w:vAlign w:val="bottom"/>
            <w:gridSpan w:val="2"/>
          </w:tcPr>
          <w:p>
            <w:pPr>
              <w:spacing w:after="0"/>
              <w:rPr>
                <w:sz w:val="20"/>
                <w:szCs w:val="20"/>
                <w:color w:val="auto"/>
              </w:rPr>
            </w:pPr>
            <w:r>
              <w:rPr>
                <w:rFonts w:ascii="Arial" w:cs="Arial" w:eastAsia="Arial" w:hAnsi="Arial"/>
                <w:sz w:val="18"/>
                <w:szCs w:val="18"/>
                <w:color w:val="auto"/>
              </w:rPr>
              <w:t>10.17+</w:t>
            </w:r>
          </w:p>
        </w:tc>
        <w:tc>
          <w:tcPr>
            <w:tcW w:w="714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330">
              <w:r>
                <w:rPr>
                  <w:rFonts w:ascii="Arial" w:cs="Arial" w:eastAsia="Arial" w:hAnsi="Arial"/>
                  <w:sz w:val="18"/>
                  <w:szCs w:val="18"/>
                  <w:color w:val="0000EE"/>
                  <w:w w:val="98"/>
                </w:rPr>
                <w:t>Form of Stock Option Agreement to Nextline Manufacturing Corp. 2014 Stock Option Plan.</w:t>
              </w:r>
            </w:hyperlink>
          </w:p>
        </w:tc>
        <w:tc>
          <w:tcPr>
            <w:tcW w:w="2620" w:type="dxa"/>
            <w:vAlign w:val="bottom"/>
            <w:gridSpan w:val="5"/>
          </w:tcPr>
          <w:p>
            <w:pPr>
              <w:spacing w:after="0"/>
              <w:rPr>
                <w:sz w:val="24"/>
                <w:szCs w:val="24"/>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24"/>
                <w:szCs w:val="24"/>
                <w:color w:val="auto"/>
              </w:rPr>
            </w:pPr>
          </w:p>
        </w:tc>
        <w:tc>
          <w:tcPr>
            <w:tcW w:w="798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336">
              <w:r>
                <w:rPr>
                  <w:rFonts w:ascii="Arial" w:cs="Arial" w:eastAsia="Arial" w:hAnsi="Arial"/>
                  <w:sz w:val="18"/>
                  <w:szCs w:val="18"/>
                  <w:color w:val="0000EE"/>
                  <w:w w:val="98"/>
                </w:rPr>
                <w:t>Form of Exchange Agreement by and among Xometry, Inc., Randolph Altschuler and Laurence Zuriff.</w:t>
              </w:r>
            </w:hyperlink>
          </w:p>
        </w:tc>
        <w:tc>
          <w:tcPr>
            <w:tcW w:w="1780" w:type="dxa"/>
            <w:vAlign w:val="bottom"/>
            <w:gridSpan w:val="4"/>
          </w:tcPr>
          <w:p>
            <w:pPr>
              <w:spacing w:after="0"/>
              <w:rPr>
                <w:sz w:val="24"/>
                <w:szCs w:val="24"/>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9760" w:type="dxa"/>
            <w:vAlign w:val="bottom"/>
            <w:gridSpan w:val="15"/>
          </w:tcPr>
          <w:p>
            <w:pPr>
              <w:spacing w:after="0"/>
              <w:rPr>
                <w:rFonts w:ascii="Arial" w:cs="Arial" w:eastAsia="Arial" w:hAnsi="Arial"/>
                <w:sz w:val="18"/>
                <w:szCs w:val="18"/>
                <w:color w:val="0000EE"/>
              </w:rPr>
            </w:pPr>
            <w:hyperlink r:id="rId317">
              <w:r>
                <w:rPr>
                  <w:rFonts w:ascii="Arial" w:cs="Arial" w:eastAsia="Arial" w:hAnsi="Arial"/>
                  <w:sz w:val="18"/>
                  <w:szCs w:val="18"/>
                  <w:color w:val="0000EE"/>
                </w:rPr>
                <w:t>List of Subsidiaries of Xometry, Inc.</w:t>
              </w:r>
            </w:hyperlink>
          </w:p>
        </w:tc>
      </w:tr>
      <w:tr>
        <w:trPr>
          <w:trHeight w:val="366"/>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520" w:type="dxa"/>
            <w:vAlign w:val="bottom"/>
            <w:gridSpan w:val="13"/>
          </w:tcPr>
          <w:p>
            <w:pPr>
              <w:jc w:val="center"/>
              <w:ind w:right="4300"/>
              <w:spacing w:after="0"/>
              <w:rPr>
                <w:sz w:val="20"/>
                <w:szCs w:val="20"/>
                <w:color w:val="auto"/>
              </w:rPr>
            </w:pPr>
            <w:r>
              <w:rPr>
                <w:rFonts w:ascii="Arial" w:cs="Arial" w:eastAsia="Arial" w:hAnsi="Arial"/>
                <w:sz w:val="18"/>
                <w:szCs w:val="18"/>
                <w:color w:val="auto"/>
                <w:w w:val="99"/>
              </w:rPr>
              <w:t>II-4</w:t>
            </w:r>
          </w:p>
        </w:tc>
      </w:tr>
    </w:tbl>
    <w:p>
      <w:pPr>
        <w:sectPr>
          <w:pgSz w:w="11900" w:h="16838" w:orient="portrait"/>
          <w:cols w:equalWidth="0" w:num="1">
            <w:col w:w="11040"/>
          </w:cols>
          <w:pgMar w:left="320" w:top="456" w:right="5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4"/>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5"/>
                <w:szCs w:val="15"/>
                <w:color w:val="auto"/>
              </w:rPr>
            </w:pPr>
          </w:p>
        </w:tc>
      </w:tr>
      <w:tr>
        <w:trPr>
          <w:trHeight w:val="274"/>
        </w:trPr>
        <w:tc>
          <w:tcPr>
            <w:tcW w:w="560" w:type="dxa"/>
            <w:vAlign w:val="bottom"/>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3"/>
                <w:szCs w:val="23"/>
                <w:color w:val="auto"/>
              </w:rPr>
            </w:pPr>
          </w:p>
        </w:tc>
        <w:tc>
          <w:tcPr>
            <w:tcW w:w="55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344">
              <w:r>
                <w:rPr>
                  <w:rFonts w:ascii="Arial" w:cs="Arial" w:eastAsia="Arial" w:hAnsi="Arial"/>
                  <w:sz w:val="18"/>
                  <w:szCs w:val="18"/>
                  <w:color w:val="0000EE"/>
                  <w:w w:val="98"/>
                </w:rPr>
                <w:t>Consent of KPMG LLP, independent registered public accounting firm.</w:t>
              </w:r>
            </w:hyperlink>
          </w:p>
        </w:tc>
      </w:tr>
      <w:tr>
        <w:trPr>
          <w:trHeight w:val="326"/>
        </w:trPr>
        <w:tc>
          <w:tcPr>
            <w:tcW w:w="560" w:type="dxa"/>
            <w:vAlign w:val="bottom"/>
          </w:tcPr>
          <w:p>
            <w:pPr>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5540" w:type="dxa"/>
            <w:vAlign w:val="bottom"/>
            <w:gridSpan w:val="5"/>
          </w:tcPr>
          <w:p>
            <w:pPr>
              <w:spacing w:after="0"/>
              <w:rPr>
                <w:sz w:val="20"/>
                <w:szCs w:val="20"/>
                <w:color w:val="auto"/>
              </w:rPr>
            </w:pPr>
            <w:r>
              <w:rPr>
                <w:rFonts w:ascii="Arial" w:cs="Arial" w:eastAsia="Arial" w:hAnsi="Arial"/>
                <w:sz w:val="18"/>
                <w:szCs w:val="18"/>
                <w:color w:val="auto"/>
              </w:rPr>
              <w:t>Consent of Cooley LLP (included in Exhibit 5.1).</w:t>
            </w:r>
          </w:p>
        </w:tc>
      </w:tr>
      <w:tr>
        <w:trPr>
          <w:trHeight w:val="269"/>
        </w:trPr>
        <w:tc>
          <w:tcPr>
            <w:tcW w:w="560" w:type="dxa"/>
            <w:vAlign w:val="bottom"/>
          </w:tcPr>
          <w:p>
            <w:pPr>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3"/>
                <w:szCs w:val="23"/>
                <w:color w:val="auto"/>
              </w:rPr>
            </w:pPr>
          </w:p>
        </w:tc>
        <w:tc>
          <w:tcPr>
            <w:tcW w:w="5540" w:type="dxa"/>
            <w:vAlign w:val="bottom"/>
            <w:gridSpan w:val="5"/>
          </w:tcPr>
          <w:p>
            <w:pPr>
              <w:spacing w:after="0"/>
              <w:rPr>
                <w:rFonts w:ascii="Arial" w:cs="Arial" w:eastAsia="Arial" w:hAnsi="Arial"/>
                <w:sz w:val="18"/>
                <w:szCs w:val="18"/>
                <w:color w:val="0000EE"/>
              </w:rPr>
            </w:pPr>
            <w:hyperlink r:id="rId319">
              <w:r>
                <w:rPr>
                  <w:rFonts w:ascii="Arial" w:cs="Arial" w:eastAsia="Arial" w:hAnsi="Arial"/>
                  <w:sz w:val="18"/>
                  <w:szCs w:val="18"/>
                  <w:color w:val="0000EE"/>
                </w:rPr>
                <w:t>Power of Attorney (included on page II-6).</w:t>
              </w:r>
            </w:hyperlink>
          </w:p>
        </w:tc>
      </w:tr>
      <w:tr>
        <w:trPr>
          <w:trHeight w:val="20"/>
        </w:trPr>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37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345">
              <w:r>
                <w:rPr>
                  <w:rFonts w:ascii="Arial" w:cs="Arial" w:eastAsia="Arial" w:hAnsi="Arial"/>
                  <w:sz w:val="18"/>
                  <w:szCs w:val="18"/>
                  <w:color w:val="0000EE"/>
                  <w:w w:val="98"/>
                </w:rPr>
                <w:t>Consent of Ranjana Clark, as director nominee.</w:t>
              </w:r>
            </w:hyperlink>
          </w:p>
        </w:tc>
        <w:tc>
          <w:tcPr>
            <w:tcW w:w="1780" w:type="dxa"/>
            <w:vAlign w:val="bottom"/>
            <w:gridSpan w:val="3"/>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3" w:lineRule="exact"/>
        <w:rPr>
          <w:sz w:val="20"/>
          <w:szCs w:val="20"/>
          <w:color w:val="auto"/>
        </w:rPr>
      </w:pPr>
    </w:p>
    <w:p>
      <w:pPr>
        <w:ind w:left="480" w:hanging="313"/>
        <w:spacing w:after="0"/>
        <w:tabs>
          <w:tab w:leader="none" w:pos="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Previously filed.</w:t>
      </w:r>
    </w:p>
    <w:p>
      <w:pPr>
        <w:ind w:left="480" w:hanging="313"/>
        <w:spacing w:after="0" w:line="232" w:lineRule="auto"/>
        <w:tabs>
          <w:tab w:leader="none" w:pos="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 w:lineRule="exact"/>
        <w:rPr>
          <w:sz w:val="20"/>
          <w:szCs w:val="20"/>
          <w:color w:val="auto"/>
        </w:rPr>
      </w:pPr>
    </w:p>
    <w:p>
      <w:pPr>
        <w:ind w:left="480" w:hanging="313"/>
        <w:spacing w:after="0"/>
        <w:tabs>
          <w:tab w:leader="none" w:pos="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139"/>
          </w:cols>
          <w:pgMar w:left="320" w:top="456" w:right="1440"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30"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Gaithersburg, State of Maryland, on June 21, 2021.</w:t>
      </w:r>
    </w:p>
    <w:p>
      <w:pPr>
        <w:spacing w:after="0" w:line="208"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XOMETRY, INC.</w:t>
      </w:r>
    </w:p>
    <w:p>
      <w:pPr>
        <w:spacing w:after="0" w:line="223" w:lineRule="exact"/>
        <w:rPr>
          <w:sz w:val="20"/>
          <w:szCs w:val="20"/>
          <w:color w:val="auto"/>
        </w:rPr>
      </w:pPr>
    </w:p>
    <w:tbl>
      <w:tblPr>
        <w:tblLayout w:type="fixed"/>
        <w:tblInd w:w="67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Randolph Altschuler</w:t>
            </w:r>
          </w:p>
        </w:tc>
      </w:tr>
      <w:tr>
        <w:trPr>
          <w:trHeight w:val="194"/>
        </w:trPr>
        <w:tc>
          <w:tcPr>
            <w:tcW w:w="60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3760" w:type="dxa"/>
            <w:vAlign w:val="bottom"/>
          </w:tcPr>
          <w:p>
            <w:pPr>
              <w:ind w:left="60"/>
              <w:spacing w:after="0" w:line="194" w:lineRule="exact"/>
              <w:rPr>
                <w:sz w:val="20"/>
                <w:szCs w:val="20"/>
                <w:color w:val="auto"/>
              </w:rPr>
            </w:pPr>
            <w:r>
              <w:rPr>
                <w:rFonts w:ascii="Arial" w:cs="Arial" w:eastAsia="Arial" w:hAnsi="Arial"/>
                <w:sz w:val="18"/>
                <w:szCs w:val="18"/>
                <w:color w:val="auto"/>
              </w:rPr>
              <w:t>Randolph Altschuler</w:t>
            </w:r>
          </w:p>
        </w:tc>
      </w:tr>
      <w:tr>
        <w:trPr>
          <w:trHeight w:val="201"/>
        </w:trPr>
        <w:tc>
          <w:tcPr>
            <w:tcW w:w="60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760" w:type="dxa"/>
            <w:vAlign w:val="bottom"/>
          </w:tcPr>
          <w:p>
            <w:pPr>
              <w:ind w:left="60"/>
              <w:spacing w:after="0" w:line="201" w:lineRule="exact"/>
              <w:rPr>
                <w:sz w:val="20"/>
                <w:szCs w:val="20"/>
                <w:color w:val="auto"/>
              </w:rPr>
            </w:pPr>
            <w:r>
              <w:rPr>
                <w:rFonts w:ascii="Arial" w:cs="Arial" w:eastAsia="Arial" w:hAnsi="Arial"/>
                <w:sz w:val="18"/>
                <w:szCs w:val="18"/>
                <w:color w:val="auto"/>
              </w:rPr>
              <w:t>Co-Founder, Chief Executive Officer and</w:t>
            </w:r>
          </w:p>
        </w:tc>
      </w:tr>
      <w:tr>
        <w:trPr>
          <w:trHeight w:val="213"/>
        </w:trPr>
        <w:tc>
          <w:tcPr>
            <w:tcW w:w="6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Title</w:t>
            </w:r>
          </w:p>
        </w:tc>
        <w:tc>
          <w:tcPr>
            <w:tcW w:w="166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rPr>
              <w:t>Date</w:t>
            </w: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7"/>
        </w:trPr>
        <w:tc>
          <w:tcPr>
            <w:tcW w:w="3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Randolph Altschuler</w:t>
            </w: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w w:val="98"/>
              </w:rPr>
              <w:t>Chief Executive Officer, Co-Founder and Director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8"/>
        </w:trPr>
        <w:tc>
          <w:tcPr>
            <w:tcW w:w="3860" w:type="dxa"/>
            <w:vAlign w:val="bottom"/>
            <w:gridSpan w:val="3"/>
          </w:tcPr>
          <w:p>
            <w:pPr>
              <w:spacing w:after="0"/>
              <w:rPr>
                <w:sz w:val="20"/>
                <w:szCs w:val="20"/>
                <w:color w:val="auto"/>
              </w:rPr>
            </w:pPr>
            <w:r>
              <w:rPr>
                <w:rFonts w:ascii="Arial" w:cs="Arial" w:eastAsia="Arial" w:hAnsi="Arial"/>
                <w:sz w:val="18"/>
                <w:szCs w:val="18"/>
                <w:color w:val="auto"/>
              </w:rPr>
              <w:t>Randolph Altschuler</w:t>
            </w:r>
          </w:p>
        </w:tc>
        <w:tc>
          <w:tcPr>
            <w:tcW w:w="500" w:type="dxa"/>
            <w:vAlign w:val="bottom"/>
          </w:tcPr>
          <w:p>
            <w:pPr>
              <w:spacing w:after="0"/>
              <w:rPr>
                <w:sz w:val="18"/>
                <w:szCs w:val="18"/>
                <w:color w:val="auto"/>
              </w:rPr>
            </w:pPr>
          </w:p>
        </w:tc>
        <w:tc>
          <w:tcPr>
            <w:tcW w:w="4460" w:type="dxa"/>
            <w:vAlign w:val="bottom"/>
            <w:gridSpan w:val="3"/>
          </w:tcPr>
          <w:p>
            <w:pPr>
              <w:jc w:val="center"/>
              <w:ind w:right="500"/>
              <w:spacing w:after="0" w:line="194" w:lineRule="exact"/>
              <w:rPr>
                <w:sz w:val="20"/>
                <w:szCs w:val="20"/>
                <w:color w:val="auto"/>
              </w:rPr>
            </w:pPr>
            <w:r>
              <w:rPr>
                <w:rFonts w:ascii="Arial" w:cs="Arial" w:eastAsia="Arial" w:hAnsi="Arial"/>
                <w:sz w:val="18"/>
                <w:szCs w:val="18"/>
                <w:color w:val="auto"/>
                <w:w w:val="99"/>
              </w:rPr>
              <w:t>(Principal Executive Officer)</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414"/>
        </w:trPr>
        <w:tc>
          <w:tcPr>
            <w:tcW w:w="3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Rallo</w:t>
            </w: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Chief Financial Officer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8"/>
        </w:trPr>
        <w:tc>
          <w:tcPr>
            <w:tcW w:w="3860" w:type="dxa"/>
            <w:vAlign w:val="bottom"/>
            <w:gridSpan w:val="3"/>
          </w:tcPr>
          <w:p>
            <w:pPr>
              <w:spacing w:after="0"/>
              <w:rPr>
                <w:sz w:val="20"/>
                <w:szCs w:val="20"/>
                <w:color w:val="auto"/>
              </w:rPr>
            </w:pPr>
            <w:r>
              <w:rPr>
                <w:rFonts w:ascii="Arial" w:cs="Arial" w:eastAsia="Arial" w:hAnsi="Arial"/>
                <w:sz w:val="18"/>
                <w:szCs w:val="18"/>
                <w:color w:val="auto"/>
              </w:rPr>
              <w:t>James Rallo</w:t>
            </w:r>
          </w:p>
        </w:tc>
        <w:tc>
          <w:tcPr>
            <w:tcW w:w="500" w:type="dxa"/>
            <w:vAlign w:val="bottom"/>
          </w:tcPr>
          <w:p>
            <w:pPr>
              <w:spacing w:after="0"/>
              <w:rPr>
                <w:sz w:val="18"/>
                <w:szCs w:val="18"/>
                <w:color w:val="auto"/>
              </w:rPr>
            </w:pPr>
          </w:p>
        </w:tc>
        <w:tc>
          <w:tcPr>
            <w:tcW w:w="4460" w:type="dxa"/>
            <w:vAlign w:val="bottom"/>
            <w:gridSpan w:val="3"/>
          </w:tcPr>
          <w:p>
            <w:pPr>
              <w:jc w:val="center"/>
              <w:ind w:right="500"/>
              <w:spacing w:after="0" w:line="194" w:lineRule="exact"/>
              <w:rPr>
                <w:sz w:val="20"/>
                <w:szCs w:val="20"/>
                <w:color w:val="auto"/>
              </w:rPr>
            </w:pPr>
            <w:r>
              <w:rPr>
                <w:rFonts w:ascii="Arial" w:cs="Arial" w:eastAsia="Arial" w:hAnsi="Arial"/>
                <w:sz w:val="18"/>
                <w:szCs w:val="18"/>
                <w:color w:val="auto"/>
                <w:w w:val="99"/>
              </w:rPr>
              <w:t>(Principal Accounting Officer)</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415"/>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w w:val="98"/>
              </w:rPr>
              <w:t>Chief Strategy Officer, Co-Founder and Director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7"/>
        </w:trPr>
        <w:tc>
          <w:tcPr>
            <w:tcW w:w="3860" w:type="dxa"/>
            <w:vAlign w:val="bottom"/>
            <w:gridSpan w:val="3"/>
          </w:tcPr>
          <w:p>
            <w:pPr>
              <w:spacing w:after="0"/>
              <w:rPr>
                <w:sz w:val="20"/>
                <w:szCs w:val="20"/>
                <w:color w:val="auto"/>
              </w:rPr>
            </w:pPr>
            <w:r>
              <w:rPr>
                <w:rFonts w:ascii="Arial" w:cs="Arial" w:eastAsia="Arial" w:hAnsi="Arial"/>
                <w:sz w:val="18"/>
                <w:szCs w:val="18"/>
                <w:color w:val="auto"/>
              </w:rPr>
              <w:t>Laurence Zuriff</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5"/>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Chairman and Director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7"/>
        </w:trPr>
        <w:tc>
          <w:tcPr>
            <w:tcW w:w="3860" w:type="dxa"/>
            <w:vAlign w:val="bottom"/>
            <w:gridSpan w:val="3"/>
          </w:tcPr>
          <w:p>
            <w:pPr>
              <w:spacing w:after="0"/>
              <w:rPr>
                <w:sz w:val="20"/>
                <w:szCs w:val="20"/>
                <w:color w:val="auto"/>
              </w:rPr>
            </w:pPr>
            <w:r>
              <w:rPr>
                <w:rFonts w:ascii="Arial" w:cs="Arial" w:eastAsia="Arial" w:hAnsi="Arial"/>
                <w:sz w:val="18"/>
                <w:szCs w:val="18"/>
                <w:color w:val="auto"/>
              </w:rPr>
              <w:t>George Hornig</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5"/>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7"/>
        </w:trPr>
        <w:tc>
          <w:tcPr>
            <w:tcW w:w="3860" w:type="dxa"/>
            <w:vAlign w:val="bottom"/>
            <w:gridSpan w:val="3"/>
          </w:tcPr>
          <w:p>
            <w:pPr>
              <w:spacing w:after="0"/>
              <w:rPr>
                <w:sz w:val="20"/>
                <w:szCs w:val="20"/>
                <w:color w:val="auto"/>
              </w:rPr>
            </w:pPr>
            <w:r>
              <w:rPr>
                <w:rFonts w:ascii="Arial" w:cs="Arial" w:eastAsia="Arial" w:hAnsi="Arial"/>
                <w:sz w:val="18"/>
                <w:szCs w:val="18"/>
                <w:color w:val="auto"/>
              </w:rPr>
              <w:t>Emily Rollins</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5"/>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7"/>
        </w:trPr>
        <w:tc>
          <w:tcPr>
            <w:tcW w:w="3860" w:type="dxa"/>
            <w:vAlign w:val="bottom"/>
            <w:gridSpan w:val="3"/>
          </w:tcPr>
          <w:p>
            <w:pPr>
              <w:spacing w:after="0"/>
              <w:rPr>
                <w:sz w:val="20"/>
                <w:szCs w:val="20"/>
                <w:color w:val="auto"/>
              </w:rPr>
            </w:pPr>
            <w:r>
              <w:rPr>
                <w:rFonts w:ascii="Arial" w:cs="Arial" w:eastAsia="Arial" w:hAnsi="Arial"/>
                <w:sz w:val="18"/>
                <w:szCs w:val="18"/>
                <w:color w:val="auto"/>
              </w:rPr>
              <w:t>Deborah Bial</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5"/>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7"/>
        </w:trPr>
        <w:tc>
          <w:tcPr>
            <w:tcW w:w="3860" w:type="dxa"/>
            <w:vAlign w:val="bottom"/>
            <w:gridSpan w:val="3"/>
          </w:tcPr>
          <w:p>
            <w:pPr>
              <w:spacing w:after="0"/>
              <w:rPr>
                <w:sz w:val="20"/>
                <w:szCs w:val="20"/>
                <w:color w:val="auto"/>
              </w:rPr>
            </w:pPr>
            <w:r>
              <w:rPr>
                <w:rFonts w:ascii="Arial" w:cs="Arial" w:eastAsia="Arial" w:hAnsi="Arial"/>
                <w:sz w:val="18"/>
                <w:szCs w:val="18"/>
                <w:color w:val="auto"/>
              </w:rPr>
              <w:t>Craig Driscoll</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5"/>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7"/>
        </w:trPr>
        <w:tc>
          <w:tcPr>
            <w:tcW w:w="3860" w:type="dxa"/>
            <w:vAlign w:val="bottom"/>
            <w:gridSpan w:val="3"/>
          </w:tcPr>
          <w:p>
            <w:pPr>
              <w:spacing w:after="0"/>
              <w:rPr>
                <w:sz w:val="20"/>
                <w:szCs w:val="20"/>
                <w:color w:val="auto"/>
              </w:rPr>
            </w:pPr>
            <w:r>
              <w:rPr>
                <w:rFonts w:ascii="Arial" w:cs="Arial" w:eastAsia="Arial" w:hAnsi="Arial"/>
                <w:sz w:val="18"/>
                <w:szCs w:val="18"/>
                <w:color w:val="auto"/>
              </w:rPr>
              <w:t>Fabio Rosati</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5"/>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3"/>
          </w:tcPr>
          <w:p>
            <w:pPr>
              <w:jc w:val="center"/>
              <w:ind w:right="5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453"/>
              <w:spacing w:after="0"/>
              <w:rPr>
                <w:sz w:val="20"/>
                <w:szCs w:val="20"/>
                <w:color w:val="auto"/>
              </w:rPr>
            </w:pPr>
            <w:r>
              <w:rPr>
                <w:rFonts w:ascii="Arial" w:cs="Arial" w:eastAsia="Arial" w:hAnsi="Arial"/>
                <w:sz w:val="18"/>
                <w:szCs w:val="18"/>
                <w:color w:val="auto"/>
                <w:w w:val="98"/>
              </w:rPr>
              <w:t>June 21, 2021</w:t>
            </w:r>
          </w:p>
        </w:tc>
      </w:tr>
      <w:tr>
        <w:trPr>
          <w:trHeight w:val="207"/>
        </w:trPr>
        <w:tc>
          <w:tcPr>
            <w:tcW w:w="3860" w:type="dxa"/>
            <w:vAlign w:val="bottom"/>
            <w:gridSpan w:val="3"/>
          </w:tcPr>
          <w:p>
            <w:pPr>
              <w:spacing w:after="0"/>
              <w:rPr>
                <w:sz w:val="20"/>
                <w:szCs w:val="20"/>
                <w:color w:val="auto"/>
              </w:rPr>
            </w:pPr>
            <w:r>
              <w:rPr>
                <w:rFonts w:ascii="Arial" w:cs="Arial" w:eastAsia="Arial" w:hAnsi="Arial"/>
                <w:sz w:val="18"/>
                <w:szCs w:val="18"/>
                <w:color w:val="auto"/>
              </w:rPr>
              <w:t>Katharine Weymouth</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42"/>
        </w:trPr>
        <w:tc>
          <w:tcPr>
            <w:tcW w:w="3860" w:type="dxa"/>
            <w:vAlign w:val="bottom"/>
            <w:gridSpan w:val="3"/>
          </w:tcPr>
          <w:p>
            <w:pPr>
              <w:spacing w:after="0"/>
              <w:rPr>
                <w:sz w:val="20"/>
                <w:szCs w:val="20"/>
                <w:color w:val="auto"/>
              </w:rPr>
            </w:pPr>
            <w:r>
              <w:rPr>
                <w:rFonts w:ascii="Arial" w:cs="Arial" w:eastAsia="Arial" w:hAnsi="Arial"/>
                <w:sz w:val="18"/>
                <w:szCs w:val="18"/>
                <w:color w:val="auto"/>
              </w:rPr>
              <w:t>*By: Randolph Altschuler</w:t>
            </w: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9"/>
        </w:trPr>
        <w:tc>
          <w:tcPr>
            <w:tcW w:w="440" w:type="dxa"/>
            <w:vAlign w:val="bottom"/>
          </w:tcPr>
          <w:p>
            <w:pPr>
              <w:spacing w:after="0"/>
              <w:rPr>
                <w:sz w:val="19"/>
                <w:szCs w:val="19"/>
                <w:color w:val="auto"/>
              </w:rPr>
            </w:pPr>
          </w:p>
        </w:tc>
        <w:tc>
          <w:tcPr>
            <w:tcW w:w="3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Attorney-in-Fact</w:t>
            </w:r>
          </w:p>
        </w:tc>
        <w:tc>
          <w:tcPr>
            <w:tcW w:w="500" w:type="dxa"/>
            <w:vAlign w:val="bottom"/>
            <w:tcBorders>
              <w:top w:val="single" w:sz="8" w:color="auto"/>
            </w:tcBorders>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48"/>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3"/>
          </w:tcPr>
          <w:p>
            <w:pPr>
              <w:ind w:left="980"/>
              <w:spacing w:after="0"/>
              <w:rPr>
                <w:sz w:val="20"/>
                <w:szCs w:val="20"/>
                <w:color w:val="auto"/>
              </w:rPr>
            </w:pPr>
            <w:r>
              <w:rPr>
                <w:rFonts w:ascii="Arial" w:cs="Arial" w:eastAsia="Arial" w:hAnsi="Arial"/>
                <w:sz w:val="18"/>
                <w:szCs w:val="18"/>
                <w:color w:val="auto"/>
              </w:rPr>
              <w:t>II-6</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08"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Xometry, Inc., a corporation organized and existing under and by virtue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 that:</w:t>
      </w:r>
    </w:p>
    <w:p>
      <w:pPr>
        <w:spacing w:after="0" w:line="175" w:lineRule="exact"/>
        <w:rPr>
          <w:sz w:val="20"/>
          <w:szCs w:val="20"/>
          <w:color w:val="auto"/>
        </w:rPr>
      </w:pPr>
    </w:p>
    <w:p>
      <w:pPr>
        <w:ind w:right="480" w:firstLine="436"/>
        <w:spacing w:after="0" w:line="271" w:lineRule="auto"/>
        <w:rPr>
          <w:sz w:val="20"/>
          <w:szCs w:val="20"/>
          <w:color w:val="auto"/>
        </w:rPr>
      </w:pPr>
      <w:r>
        <w:rPr>
          <w:rFonts w:ascii="Arial" w:cs="Arial" w:eastAsia="Arial" w:hAnsi="Arial"/>
          <w:sz w:val="18"/>
          <w:szCs w:val="18"/>
          <w:u w:val="single" w:color="auto"/>
          <w:color w:val="auto"/>
        </w:rPr>
        <w:t>ONE:</w:t>
      </w:r>
      <w:r>
        <w:rPr>
          <w:rFonts w:ascii="Arial" w:cs="Arial" w:eastAsia="Arial" w:hAnsi="Arial"/>
          <w:sz w:val="18"/>
          <w:szCs w:val="18"/>
          <w:color w:val="auto"/>
        </w:rPr>
        <w:t xml:space="preserve"> The name of this corporation is Xometry, Inc. The date of filing of the original certificate of incorporation of this corporation with the Secretary of State of the State of Delaware was May 29, 2013.</w:t>
      </w:r>
    </w:p>
    <w:p>
      <w:pPr>
        <w:spacing w:after="0" w:line="175" w:lineRule="exact"/>
        <w:rPr>
          <w:sz w:val="20"/>
          <w:szCs w:val="20"/>
          <w:color w:val="auto"/>
        </w:rPr>
      </w:pPr>
    </w:p>
    <w:p>
      <w:pPr>
        <w:ind w:right="280" w:firstLine="436"/>
        <w:spacing w:after="0" w:line="255" w:lineRule="auto"/>
        <w:rPr>
          <w:sz w:val="20"/>
          <w:szCs w:val="20"/>
          <w:color w:val="auto"/>
        </w:rPr>
      </w:pPr>
      <w:r>
        <w:rPr>
          <w:rFonts w:ascii="Arial" w:cs="Arial" w:eastAsia="Arial" w:hAnsi="Arial"/>
          <w:sz w:val="18"/>
          <w:szCs w:val="18"/>
          <w:u w:val="single" w:color="auto"/>
          <w:color w:val="auto"/>
        </w:rPr>
        <w:t>TWO:</w:t>
      </w:r>
      <w:r>
        <w:rPr>
          <w:rFonts w:ascii="Arial" w:cs="Arial" w:eastAsia="Arial" w:hAnsi="Arial"/>
          <w:sz w:val="18"/>
          <w:szCs w:val="18"/>
          <w:color w:val="auto"/>
        </w:rPr>
        <w:t xml:space="preserve"> This Amended and Restated Certificate of Incorporation, which restates and integrates and also further amends the provisions of the corporation’s certificate of incorporation, was duly adopted in accordance with the provisions of Sections 242 and 245 of the DGCL. Stockholder approval of the adoption of this Amended and Restated Certificate of Incorporation of the Corporation was effected by written consent in accordance with Section 228 of the DGCL.</w:t>
      </w:r>
    </w:p>
    <w:p>
      <w:pPr>
        <w:spacing w:after="0" w:line="190" w:lineRule="exact"/>
        <w:rPr>
          <w:sz w:val="20"/>
          <w:szCs w:val="20"/>
          <w:color w:val="auto"/>
        </w:rPr>
      </w:pPr>
    </w:p>
    <w:p>
      <w:pPr>
        <w:ind w:right="380" w:firstLine="436"/>
        <w:spacing w:after="0" w:line="271" w:lineRule="auto"/>
        <w:rPr>
          <w:sz w:val="20"/>
          <w:szCs w:val="20"/>
          <w:color w:val="auto"/>
        </w:rPr>
      </w:pPr>
      <w:r>
        <w:rPr>
          <w:rFonts w:ascii="Arial" w:cs="Arial" w:eastAsia="Arial" w:hAnsi="Arial"/>
          <w:sz w:val="18"/>
          <w:szCs w:val="18"/>
          <w:u w:val="single" w:color="auto"/>
          <w:color w:val="auto"/>
        </w:rPr>
        <w:t>THREE:</w:t>
      </w:r>
      <w:r>
        <w:rPr>
          <w:rFonts w:ascii="Arial" w:cs="Arial" w:eastAsia="Arial" w:hAnsi="Arial"/>
          <w:sz w:val="18"/>
          <w:szCs w:val="18"/>
          <w:color w:val="auto"/>
        </w:rPr>
        <w:t xml:space="preserve"> Pursuant to Sections 242 and 245 of the DGCL, the certificate of incorporation of this corporation, as heretofore amended, is hereby amended, integrated and restated to read in its entirety as follows: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Xometry,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5" w:lineRule="exact"/>
        <w:rPr>
          <w:sz w:val="20"/>
          <w:szCs w:val="20"/>
          <w:color w:val="auto"/>
        </w:rPr>
      </w:pPr>
    </w:p>
    <w:p>
      <w:pPr>
        <w:ind w:right="160" w:firstLine="436"/>
        <w:spacing w:after="0" w:line="335" w:lineRule="auto"/>
        <w:rPr>
          <w:sz w:val="20"/>
          <w:szCs w:val="20"/>
          <w:color w:val="auto"/>
        </w:rPr>
      </w:pPr>
      <w:r>
        <w:rPr>
          <w:rFonts w:ascii="Arial" w:cs="Arial" w:eastAsia="Arial" w:hAnsi="Arial"/>
          <w:sz w:val="16"/>
          <w:szCs w:val="16"/>
          <w:color w:val="auto"/>
        </w:rPr>
        <w:t>The address of the registered office of the Corporation in the State of Delaware is 1209 Orange Street in the City of Wilmington, County of New Castle, 19801, and the name of the registered agent of the Corporation in the State of Delaware at such address is The Corporation Trust Company.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5"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1" w:lineRule="exact"/>
        <w:rPr>
          <w:sz w:val="20"/>
          <w:szCs w:val="20"/>
          <w:color w:val="auto"/>
        </w:rPr>
      </w:pPr>
    </w:p>
    <w:p>
      <w:pPr>
        <w:ind w:right="260" w:firstLine="436"/>
        <w:spacing w:after="0" w:line="273"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The Corporation is authorized to issue three classes of stock to be designated, respectively, “Class A Common Stock,” “Class B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and “Preferred Stock.” The total number of shares that the Corporation is authorized to issue is 805,000,000 shares, consisting of 750,000,000 shares of Class A Common Stock, par value $0.000001 per share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5,000,000 shares of Class B Common Stock, par value $0.000001 per share (“</w:t>
      </w:r>
      <w:r>
        <w:rPr>
          <w:rFonts w:ascii="Arial" w:cs="Arial" w:eastAsia="Arial" w:hAnsi="Arial"/>
          <w:sz w:val="17"/>
          <w:szCs w:val="17"/>
          <w:b w:val="1"/>
          <w:bCs w:val="1"/>
          <w:i w:val="1"/>
          <w:iCs w:val="1"/>
          <w:color w:val="auto"/>
        </w:rPr>
        <w:t>Class B Common Stock</w:t>
      </w:r>
      <w:r>
        <w:rPr>
          <w:rFonts w:ascii="Arial" w:cs="Arial" w:eastAsia="Arial" w:hAnsi="Arial"/>
          <w:sz w:val="17"/>
          <w:szCs w:val="17"/>
          <w:color w:val="auto"/>
        </w:rPr>
        <w:t>” and, together with the Class A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50,000,000 shares of Preferred Stock, par value $0.000001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230" w:name="page231"/>
    <w:bookmarkEnd w:id="230"/>
    <w:p>
      <w:pPr>
        <w:ind w:firstLine="436"/>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Arial" w:cs="Arial" w:eastAsia="Arial" w:hAnsi="Arial"/>
          <w:sz w:val="16"/>
          <w:szCs w:val="16"/>
          <w:color w:val="auto"/>
        </w:rPr>
        <w:t>The Preferred Stock may be issued from time to time in one or more series. The Board of Directors of the Corporation (the “</w:t>
      </w:r>
      <w:r>
        <w:rPr>
          <w:rFonts w:ascii="Arial" w:cs="Arial" w:eastAsia="Arial" w:hAnsi="Arial"/>
          <w:sz w:val="16"/>
          <w:szCs w:val="16"/>
          <w:b w:val="1"/>
          <w:bCs w:val="1"/>
          <w:i w:val="1"/>
          <w:iCs w:val="1"/>
          <w:color w:val="auto"/>
        </w:rPr>
        <w:t>Board of</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is hereby expressly authorized to provide for the issue of all or any of the remaining shares of the Preferred Stock, in one or more series,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fix the number of shares of such series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and filed in accordance with the DGCL.</w:t>
      </w:r>
    </w:p>
    <w:p>
      <w:pPr>
        <w:spacing w:after="0" w:line="157"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number of authorized shares of Class A Common Stock, Class B Common Stock or Preferred Stock, or any series thereof, may be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or decreased (but not below the number of shares thereof then outstanding plus, if applicable, the number of shares of such class or series reserved for issuance) by the affirmative vote of the holders of a majority of the voting power of all of the outstanding shares of stock of the Corporation entitled to vote thereon, without a separate vote of the holders of the Class A Common Stock, Class B Common Stock or Preferred Stock, or of any series thereof, unless a vote of any such holders is required pursuant to the terms of any certificate of designation filed with respect to any series of Preferred Stock.</w:t>
      </w:r>
    </w:p>
    <w:p>
      <w:pPr>
        <w:spacing w:after="0" w:line="189" w:lineRule="exact"/>
        <w:rPr>
          <w:sz w:val="20"/>
          <w:szCs w:val="20"/>
          <w:color w:val="auto"/>
        </w:rPr>
      </w:pPr>
    </w:p>
    <w:p>
      <w:pPr>
        <w:ind w:right="100" w:firstLine="436"/>
        <w:spacing w:after="0" w:line="275"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Except as provided above, the rights, preferences, privileges, restrictions and other matters relating to the Class A Common Stock and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are as follows:</w:t>
      </w:r>
    </w:p>
    <w:p>
      <w:pPr>
        <w:spacing w:after="0" w:line="168" w:lineRule="exact"/>
        <w:rPr>
          <w:sz w:val="20"/>
          <w:szCs w:val="20"/>
          <w:color w:val="auto"/>
        </w:rPr>
      </w:pPr>
    </w:p>
    <w:p>
      <w:pPr>
        <w:ind w:left="1160" w:hanging="170"/>
        <w:spacing w:after="0"/>
        <w:tabs>
          <w:tab w:leader="none" w:pos="11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0" w:firstLine="1426"/>
        <w:spacing w:after="0" w:line="290" w:lineRule="auto"/>
        <w:tabs>
          <w:tab w:leader="none" w:pos="1597" w:val="left"/>
        </w:tabs>
        <w:numPr>
          <w:ilvl w:val="1"/>
          <w:numId w:val="14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means (A) any consolidation or merger of the Corporation with or into any other Entity, other than any such consolidation or merger in which the stockholders of the Corporation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Corporation is a party in which in excess of 50% of the Corporation’s voting power is transferred or issued; provided that an Acquisition shall not include any transaction or series of transactions principally for bona fide equity financing purposes as determined in good faith by the Board.</w:t>
      </w:r>
    </w:p>
    <w:p>
      <w:pPr>
        <w:spacing w:after="0" w:line="56" w:lineRule="exact"/>
        <w:rPr>
          <w:rFonts w:ascii="Arial" w:cs="Arial" w:eastAsia="Arial" w:hAnsi="Arial"/>
          <w:sz w:val="16"/>
          <w:szCs w:val="16"/>
          <w:b w:val="1"/>
          <w:bCs w:val="1"/>
          <w:color w:val="auto"/>
        </w:rPr>
      </w:pPr>
    </w:p>
    <w:p>
      <w:pPr>
        <w:ind w:left="1620" w:hanging="194"/>
        <w:spacing w:after="0"/>
        <w:tabs>
          <w:tab w:leader="none" w:pos="1620" w:val="left"/>
        </w:tabs>
        <w:numPr>
          <w:ilvl w:val="1"/>
          <w:numId w:val="14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means the sale, lease, exclusive license, exchange or other disposition of all or substantially all the assets of the</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Corporation.</w:t>
      </w:r>
    </w:p>
    <w:p>
      <w:pPr>
        <w:spacing w:after="0" w:line="101" w:lineRule="exact"/>
        <w:rPr>
          <w:rFonts w:ascii="Arial" w:cs="Arial" w:eastAsia="Arial" w:hAnsi="Arial"/>
          <w:sz w:val="16"/>
          <w:szCs w:val="16"/>
          <w:b w:val="1"/>
          <w:bCs w:val="1"/>
          <w:color w:val="auto"/>
        </w:rPr>
      </w:pPr>
    </w:p>
    <w:p>
      <w:pPr>
        <w:ind w:left="1600" w:hanging="174"/>
        <w:spacing w:after="0"/>
        <w:tabs>
          <w:tab w:leader="none" w:pos="1600"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means the bylaws of the Corporation, as amended and/or restated from time to time.</w:t>
      </w:r>
    </w:p>
    <w:p>
      <w:pPr>
        <w:spacing w:after="0" w:line="113" w:lineRule="exact"/>
        <w:rPr>
          <w:rFonts w:ascii="Arial" w:cs="Arial" w:eastAsia="Arial" w:hAnsi="Arial"/>
          <w:sz w:val="18"/>
          <w:szCs w:val="18"/>
          <w:b w:val="1"/>
          <w:bCs w:val="1"/>
          <w:color w:val="auto"/>
        </w:rPr>
      </w:pPr>
    </w:p>
    <w:p>
      <w:pPr>
        <w:ind w:right="40" w:firstLine="1426"/>
        <w:spacing w:after="0" w:line="271" w:lineRule="auto"/>
        <w:tabs>
          <w:tab w:leader="none" w:pos="1607"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means the certificate of incorporation of the Corporation, as amended and/or restated from time to time, including the terms of any certificate of designation of any series of Preferred Stock.</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68" w:right="519" w:bottom="1440" w:gutter="0" w:footer="0" w:header="0"/>
        </w:sectPr>
      </w:pPr>
    </w:p>
    <w:bookmarkStart w:id="231" w:name="page232"/>
    <w:bookmarkEnd w:id="231"/>
    <w:p>
      <w:pPr>
        <w:ind w:right="140"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w:t>
      </w: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6:00 p.m. local time at the principal executive offices of the corporation on any calendar day,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the day is a Trading Day;</w:t>
      </w:r>
    </w:p>
    <w:p>
      <w:pPr>
        <w:spacing w:after="0" w:line="6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any corporation, partnership, limited liability company or other legal entity.</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 xml:space="preserve">g. </w:t>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means the time this Amended and Restated Certificate of Incorporation is filed with the Secretary of State of the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w:t>
      </w:r>
    </w:p>
    <w:p>
      <w:pPr>
        <w:spacing w:after="0" w:line="97" w:lineRule="exact"/>
        <w:rPr>
          <w:sz w:val="20"/>
          <w:szCs w:val="20"/>
          <w:color w:val="auto"/>
        </w:rPr>
      </w:pPr>
    </w:p>
    <w:p>
      <w:pPr>
        <w:ind w:right="220" w:firstLine="1419"/>
        <w:spacing w:after="0" w:line="275" w:lineRule="auto"/>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color w:val="auto"/>
        </w:rPr>
        <w:t>“</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means with respect to any natural person, the spouse, parents, grandparents, lineal descendants, siblings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lineal descendants of siblings (in each case whether by blood relation or adoption) of such person.</w:t>
      </w:r>
    </w:p>
    <w:p>
      <w:pPr>
        <w:spacing w:after="0" w:line="61" w:lineRule="exact"/>
        <w:rPr>
          <w:sz w:val="20"/>
          <w:szCs w:val="20"/>
          <w:color w:val="auto"/>
        </w:rPr>
      </w:pPr>
    </w:p>
    <w:p>
      <w:pPr>
        <w:ind w:right="160" w:firstLine="1419"/>
        <w:spacing w:after="0" w:line="294" w:lineRule="auto"/>
        <w:rPr>
          <w:sz w:val="20"/>
          <w:szCs w:val="20"/>
          <w:color w:val="auto"/>
        </w:rPr>
      </w:pPr>
      <w:r>
        <w:rPr>
          <w:rFonts w:ascii="Arial" w:cs="Arial" w:eastAsia="Arial" w:hAnsi="Arial"/>
          <w:sz w:val="16"/>
          <w:szCs w:val="16"/>
          <w:b w:val="1"/>
          <w:bCs w:val="1"/>
          <w:color w:val="auto"/>
        </w:rPr>
        <w:t xml:space="preserve">i. </w:t>
      </w:r>
      <w:r>
        <w:rPr>
          <w:rFonts w:ascii="Arial" w:cs="Arial" w:eastAsia="Arial" w:hAnsi="Arial"/>
          <w:sz w:val="16"/>
          <w:szCs w:val="16"/>
          <w:color w:val="auto"/>
        </w:rPr>
        <w:t>“</w:t>
      </w:r>
      <w:r>
        <w:rPr>
          <w:rFonts w:ascii="Arial" w:cs="Arial" w:eastAsia="Arial" w:hAnsi="Arial"/>
          <w:sz w:val="16"/>
          <w:szCs w:val="16"/>
          <w:b w:val="1"/>
          <w:bCs w:val="1"/>
          <w:i w:val="1"/>
          <w:iCs w:val="1"/>
          <w:color w:val="auto"/>
        </w:rPr>
        <w:t>Final Conversion Date</w:t>
      </w:r>
      <w:r>
        <w:rPr>
          <w:rFonts w:ascii="Arial" w:cs="Arial" w:eastAsia="Arial" w:hAnsi="Arial"/>
          <w:sz w:val="16"/>
          <w:szCs w:val="16"/>
          <w:color w:val="auto"/>
        </w:rPr>
        <w:t>” means 5:00 p.m. in New York City, New York on the earlier of (A) the first Trading Day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seventh anniversary of the Effective Time, and (B) the date specified by the vote of the holders of a majority of the outstanding shares of Class B Common Stock, voting exclusively as a separate class; provided further, if the Final Conversion Date would otherwise occur on a date on or between the record date for any annual or special meeting of the stockholders of the Corporation and the actual date of such meeting, the Final Conversion Date shall be the fifteenth Trading Day following the date of such meeting of the stockholders</w:t>
      </w:r>
      <w:r>
        <w:rPr>
          <w:rFonts w:ascii="Arial" w:cs="Arial" w:eastAsia="Arial" w:hAnsi="Arial"/>
          <w:sz w:val="16"/>
          <w:szCs w:val="16"/>
          <w:b w:val="1"/>
          <w:bCs w:val="1"/>
          <w:color w:val="auto"/>
        </w:rPr>
        <w:t>.</w: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color w:val="auto"/>
        </w:rPr>
        <w:t>“</w:t>
      </w:r>
      <w:r>
        <w:rPr>
          <w:rFonts w:ascii="Arial" w:cs="Arial" w:eastAsia="Arial" w:hAnsi="Arial"/>
          <w:sz w:val="18"/>
          <w:szCs w:val="18"/>
          <w:b w:val="1"/>
          <w:bCs w:val="1"/>
          <w:i w:val="1"/>
          <w:iCs w:val="1"/>
          <w:color w:val="auto"/>
        </w:rPr>
        <w:t>Founders</w:t>
      </w:r>
      <w:r>
        <w:rPr>
          <w:rFonts w:ascii="Arial" w:cs="Arial" w:eastAsia="Arial" w:hAnsi="Arial"/>
          <w:sz w:val="18"/>
          <w:szCs w:val="18"/>
          <w:color w:val="auto"/>
        </w:rPr>
        <w:t>” means each of Randolph Altschuler and Laurence Zuriff.</w:t>
      </w:r>
    </w:p>
    <w:p>
      <w:pPr>
        <w:spacing w:after="0" w:line="114" w:lineRule="exact"/>
        <w:rPr>
          <w:sz w:val="20"/>
          <w:szCs w:val="20"/>
          <w:color w:val="auto"/>
        </w:rPr>
      </w:pPr>
    </w:p>
    <w:p>
      <w:pPr>
        <w:ind w:firstLine="1419"/>
        <w:spacing w:after="0" w:line="255" w:lineRule="auto"/>
        <w:rPr>
          <w:sz w:val="20"/>
          <w:szCs w:val="20"/>
          <w:color w:val="auto"/>
        </w:rPr>
      </w:pPr>
      <w:r>
        <w:rPr>
          <w:rFonts w:ascii="Arial" w:cs="Arial" w:eastAsia="Arial" w:hAnsi="Arial"/>
          <w:sz w:val="18"/>
          <w:szCs w:val="18"/>
          <w:b w:val="1"/>
          <w:bCs w:val="1"/>
          <w:color w:val="auto"/>
        </w:rPr>
        <w:t xml:space="preserve">k. </w:t>
      </w:r>
      <w:r>
        <w:rPr>
          <w:rFonts w:ascii="Arial" w:cs="Arial" w:eastAsia="Arial" w:hAnsi="Arial"/>
          <w:sz w:val="18"/>
          <w:szCs w:val="18"/>
          <w:color w:val="auto"/>
        </w:rPr>
        <w:t>“</w:t>
      </w:r>
      <w:r>
        <w:rPr>
          <w:rFonts w:ascii="Arial" w:cs="Arial" w:eastAsia="Arial" w:hAnsi="Arial"/>
          <w:sz w:val="18"/>
          <w:szCs w:val="18"/>
          <w:b w:val="1"/>
          <w:bCs w:val="1"/>
          <w:i w:val="1"/>
          <w:iCs w:val="1"/>
          <w:color w:val="auto"/>
        </w:rPr>
        <w:t>Incapacity</w:t>
      </w:r>
      <w:r>
        <w:rPr>
          <w:rFonts w:ascii="Arial" w:cs="Arial" w:eastAsia="Arial" w:hAnsi="Arial"/>
          <w:sz w:val="18"/>
          <w:szCs w:val="18"/>
          <w:color w:val="auto"/>
        </w:rPr>
        <w:t>” means, with respect to an individual, that such individual is incapable of managing his or her financial affairs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of competent jurisdiction.</w:t>
      </w:r>
    </w:p>
    <w:p>
      <w:pPr>
        <w:spacing w:after="0" w:line="77" w:lineRule="exact"/>
        <w:rPr>
          <w:sz w:val="20"/>
          <w:szCs w:val="20"/>
          <w:color w:val="auto"/>
        </w:rPr>
      </w:pPr>
    </w:p>
    <w:p>
      <w:pPr>
        <w:ind w:right="100" w:firstLine="1419"/>
        <w:spacing w:after="0" w:line="261" w:lineRule="auto"/>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 means (i) any Asset Transfer or Acquisition in which cash or other property is, pursuant to the express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Asset Transfer or Acquisition, to be distributed to the stockholders in respect of their shares of capital stock in the Corporation or (ii) any liquidation, dissolution and winding up of the Corporation.</w:t>
      </w:r>
    </w:p>
    <w:p>
      <w:pPr>
        <w:spacing w:after="0" w:line="74" w:lineRule="exact"/>
        <w:rPr>
          <w:sz w:val="20"/>
          <w:szCs w:val="20"/>
          <w:color w:val="auto"/>
        </w:rPr>
      </w:pPr>
    </w:p>
    <w:p>
      <w:pPr>
        <w:ind w:right="200" w:firstLine="1419"/>
        <w:spacing w:after="0" w:line="275" w:lineRule="auto"/>
        <w:rPr>
          <w:sz w:val="20"/>
          <w:szCs w:val="20"/>
          <w:color w:val="auto"/>
        </w:rPr>
      </w:pPr>
      <w:r>
        <w:rPr>
          <w:rFonts w:ascii="Arial" w:cs="Arial" w:eastAsia="Arial" w:hAnsi="Arial"/>
          <w:sz w:val="18"/>
          <w:szCs w:val="18"/>
          <w:b w:val="1"/>
          <w:bCs w:val="1"/>
          <w:color w:val="auto"/>
        </w:rPr>
        <w:t xml:space="preserve">m.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of an Entity means any Entity that directly or indirectly owns or controls a majority of the voting power of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interests of such Entity.</w:t>
      </w:r>
    </w:p>
    <w:p>
      <w:pPr>
        <w:spacing w:after="0" w:line="61" w:lineRule="exact"/>
        <w:rPr>
          <w:sz w:val="20"/>
          <w:szCs w:val="20"/>
          <w:color w:val="auto"/>
        </w:rPr>
      </w:pPr>
    </w:p>
    <w:p>
      <w:pPr>
        <w:ind w:right="260" w:firstLine="1419"/>
        <w:spacing w:after="0" w:line="261" w:lineRule="auto"/>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Entity</w:t>
      </w:r>
      <w:r>
        <w:rPr>
          <w:rFonts w:ascii="Arial" w:cs="Arial" w:eastAsia="Arial" w:hAnsi="Arial"/>
          <w:sz w:val="18"/>
          <w:szCs w:val="18"/>
          <w:color w:val="auto"/>
        </w:rPr>
        <w:t>” means, with respect to a Qualified Stockholder, any Entity in which such Qualified Stockholder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through one or more Permitted Transferees, has sole dispositive power and exclusive Voting Control with respect to all shares of Class B Common Stock held of record by such Entity.</w:t>
      </w:r>
    </w:p>
    <w:p>
      <w:pPr>
        <w:spacing w:after="0" w:line="74"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means, and shall be restricted to, any Transfer of a share of Class B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68" w:right="499" w:bottom="1440" w:gutter="0" w:footer="0" w:header="0"/>
        </w:sectPr>
      </w:pPr>
    </w:p>
    <w:bookmarkStart w:id="232" w:name="page233"/>
    <w:bookmarkEnd w:id="232"/>
    <w:p>
      <w:pPr>
        <w:jc w:val="both"/>
        <w:ind w:right="40" w:firstLine="1972"/>
        <w:spacing w:after="0" w:line="259" w:lineRule="auto"/>
        <w:tabs>
          <w:tab w:leader="none" w:pos="2177"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by a Qualified Stockholder (including a natural person serving in a trustee capacity with regard to a trust for the benefit of himself or herself and/or his or her Family Members), to the trustee of a Permitted Trust of such Qualified Stockholder or to such Qualified Stockholder in his or her individual capacity or as a trustee of a Permitted Trust of such Qualified Stockholder;</w:t>
      </w:r>
    </w:p>
    <w:p>
      <w:pPr>
        <w:spacing w:after="0" w:line="78" w:lineRule="exact"/>
        <w:rPr>
          <w:rFonts w:ascii="Arial" w:cs="Arial" w:eastAsia="Arial" w:hAnsi="Arial"/>
          <w:sz w:val="18"/>
          <w:szCs w:val="18"/>
          <w:b w:val="1"/>
          <w:bCs w:val="1"/>
          <w:color w:val="auto"/>
        </w:rPr>
      </w:pPr>
    </w:p>
    <w:p>
      <w:pPr>
        <w:ind w:right="380" w:firstLine="1972"/>
        <w:spacing w:after="0" w:line="271" w:lineRule="auto"/>
        <w:tabs>
          <w:tab w:leader="none" w:pos="2227"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t>by the trustee of a Permitted Trust of a Qualified Stockholder, to such Qualified Stockholder, the trustee of any other Permitted Trust of such Qualified Stockholder or any Permitted Entity of such Qualified Stockholder;</w:t>
      </w:r>
    </w:p>
    <w:p>
      <w:pPr>
        <w:spacing w:after="0" w:line="67" w:lineRule="exact"/>
        <w:rPr>
          <w:rFonts w:ascii="Arial" w:cs="Arial" w:eastAsia="Arial" w:hAnsi="Arial"/>
          <w:sz w:val="18"/>
          <w:szCs w:val="18"/>
          <w:b w:val="1"/>
          <w:bCs w:val="1"/>
          <w:color w:val="auto"/>
        </w:rPr>
      </w:pPr>
    </w:p>
    <w:p>
      <w:pPr>
        <w:ind w:left="2280" w:hanging="308"/>
        <w:spacing w:after="0"/>
        <w:tabs>
          <w:tab w:leader="none" w:pos="2280"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any Permitted Entity of such Qualified Stockholder; or</w:t>
      </w:r>
    </w:p>
    <w:p>
      <w:pPr>
        <w:spacing w:after="0" w:line="113" w:lineRule="exact"/>
        <w:rPr>
          <w:rFonts w:ascii="Arial" w:cs="Arial" w:eastAsia="Arial" w:hAnsi="Arial"/>
          <w:sz w:val="18"/>
          <w:szCs w:val="18"/>
          <w:b w:val="1"/>
          <w:bCs w:val="1"/>
          <w:color w:val="auto"/>
        </w:rPr>
      </w:pPr>
    </w:p>
    <w:p>
      <w:pPr>
        <w:ind w:right="420" w:firstLine="1972"/>
        <w:spacing w:after="0" w:line="271" w:lineRule="auto"/>
        <w:tabs>
          <w:tab w:leader="none" w:pos="2266"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t>by a Permitted Entity of a Qualified Stockholder to such Qualified Stockholder or any other Permitted Entity or the trustee of a Permitted Trust of such Qualified Stockholder.</w:t>
      </w:r>
    </w:p>
    <w:p>
      <w:pPr>
        <w:spacing w:after="0" w:line="67" w:lineRule="exact"/>
        <w:rPr>
          <w:rFonts w:ascii="Arial" w:cs="Arial" w:eastAsia="Arial" w:hAnsi="Arial"/>
          <w:sz w:val="18"/>
          <w:szCs w:val="18"/>
          <w:b w:val="1"/>
          <w:bCs w:val="1"/>
          <w:color w:val="auto"/>
        </w:rPr>
      </w:pPr>
    </w:p>
    <w:p>
      <w:pPr>
        <w:ind w:left="1620" w:hanging="194"/>
        <w:spacing w:after="0"/>
        <w:tabs>
          <w:tab w:leader="none" w:pos="1620" w:val="left"/>
        </w:tabs>
        <w:numPr>
          <w:ilvl w:val="0"/>
          <w:numId w:val="149"/>
        </w:numPr>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Permitted Transferee</w:t>
      </w:r>
      <w:r>
        <w:rPr>
          <w:rFonts w:ascii="Arial" w:cs="Arial" w:eastAsia="Arial" w:hAnsi="Arial"/>
          <w:sz w:val="14"/>
          <w:szCs w:val="14"/>
          <w:color w:val="auto"/>
        </w:rPr>
        <w:t>” means a transferee of shares of Class B Common Stock received in a Transfer that constitutes a Permitted</w:t>
      </w:r>
    </w:p>
    <w:p>
      <w:pPr>
        <w:spacing w:after="0" w:line="65"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8"/>
          <w:szCs w:val="18"/>
          <w:color w:val="auto"/>
        </w:rPr>
        <w:t>Transfer.</w:t>
      </w:r>
    </w:p>
    <w:p>
      <w:pPr>
        <w:spacing w:after="0" w:line="101" w:lineRule="exact"/>
        <w:rPr>
          <w:rFonts w:ascii="Arial" w:cs="Arial" w:eastAsia="Arial" w:hAnsi="Arial"/>
          <w:sz w:val="14"/>
          <w:szCs w:val="14"/>
          <w:b w:val="1"/>
          <w:bCs w:val="1"/>
          <w:color w:val="auto"/>
        </w:rPr>
      </w:pPr>
    </w:p>
    <w:p>
      <w:pPr>
        <w:ind w:right="160" w:firstLine="1426"/>
        <w:spacing w:after="0" w:line="253" w:lineRule="auto"/>
        <w:tabs>
          <w:tab w:leader="none" w:pos="1607"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Trust</w:t>
      </w:r>
      <w:r>
        <w:rPr>
          <w:rFonts w:ascii="Arial" w:cs="Arial" w:eastAsia="Arial" w:hAnsi="Arial"/>
          <w:sz w:val="18"/>
          <w:szCs w:val="18"/>
          <w:color w:val="auto"/>
        </w:rPr>
        <w:t>” of a Qualified Stockholder means a validly created and existing trust, the beneficiaries of which are either the Qualified Stockholder or Family Members of the Qualified Stockholder or both, or a trust under the terms of which such Qualified Stockholder has retained a “qualified interest” within the meaning of §2702(b)(1) of the Internal Revenue Code (as amended from time to time) and/or a reversionary interest, in each case so long as the Qualified Stockholder has sole dispositive power and exclusive Voting Control with respect to all shares of Class B Common Stock held by such trust.</w:t>
      </w:r>
    </w:p>
    <w:p>
      <w:pPr>
        <w:spacing w:after="0" w:line="85" w:lineRule="exact"/>
        <w:rPr>
          <w:rFonts w:ascii="Arial" w:cs="Arial" w:eastAsia="Arial" w:hAnsi="Arial"/>
          <w:sz w:val="18"/>
          <w:szCs w:val="18"/>
          <w:b w:val="1"/>
          <w:bCs w:val="1"/>
          <w:color w:val="auto"/>
        </w:rPr>
      </w:pPr>
    </w:p>
    <w:p>
      <w:pPr>
        <w:ind w:left="1580" w:hanging="154"/>
        <w:spacing w:after="0"/>
        <w:tabs>
          <w:tab w:leader="none" w:pos="158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Stockholder</w:t>
      </w:r>
      <w:r>
        <w:rPr>
          <w:rFonts w:ascii="Arial" w:cs="Arial" w:eastAsia="Arial" w:hAnsi="Arial"/>
          <w:sz w:val="18"/>
          <w:szCs w:val="18"/>
          <w:color w:val="auto"/>
        </w:rPr>
        <w:t>” means each Founder.</w:t>
      </w:r>
    </w:p>
    <w:p>
      <w:pPr>
        <w:spacing w:after="0" w:line="113" w:lineRule="exact"/>
        <w:rPr>
          <w:rFonts w:ascii="Arial" w:cs="Arial" w:eastAsia="Arial" w:hAnsi="Arial"/>
          <w:sz w:val="18"/>
          <w:szCs w:val="18"/>
          <w:b w:val="1"/>
          <w:bCs w:val="1"/>
          <w:color w:val="auto"/>
        </w:rPr>
      </w:pPr>
    </w:p>
    <w:p>
      <w:pPr>
        <w:ind w:left="1580" w:hanging="154"/>
        <w:spacing w:after="0"/>
        <w:tabs>
          <w:tab w:leader="none" w:pos="1580" w:val="left"/>
        </w:tabs>
        <w:numPr>
          <w:ilvl w:val="0"/>
          <w:numId w:val="14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means any day on which The Nasdaq Stock Market and the New York Stock Exchange are open for trading.</w:t>
      </w:r>
    </w:p>
    <w:p>
      <w:pPr>
        <w:spacing w:after="0" w:line="125" w:lineRule="exact"/>
        <w:rPr>
          <w:rFonts w:ascii="Arial" w:cs="Arial" w:eastAsia="Arial" w:hAnsi="Arial"/>
          <w:sz w:val="17"/>
          <w:szCs w:val="17"/>
          <w:b w:val="1"/>
          <w:bCs w:val="1"/>
          <w:color w:val="auto"/>
        </w:rPr>
      </w:pPr>
    </w:p>
    <w:p>
      <w:pPr>
        <w:ind w:firstLine="1426"/>
        <w:spacing w:after="0" w:line="252" w:lineRule="auto"/>
        <w:tabs>
          <w:tab w:leader="none" w:pos="1567"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provided, however, that the following shall not be considered a “Transfer” within the meaning of this Article IV:</w:t>
      </w:r>
    </w:p>
    <w:p>
      <w:pPr>
        <w:spacing w:after="0" w:line="86" w:lineRule="exact"/>
        <w:rPr>
          <w:rFonts w:ascii="Arial" w:cs="Arial" w:eastAsia="Arial" w:hAnsi="Arial"/>
          <w:sz w:val="18"/>
          <w:szCs w:val="18"/>
          <w:b w:val="1"/>
          <w:bCs w:val="1"/>
          <w:color w:val="auto"/>
        </w:rPr>
      </w:pPr>
    </w:p>
    <w:p>
      <w:pPr>
        <w:ind w:right="360" w:firstLine="1972"/>
        <w:spacing w:after="0" w:line="271" w:lineRule="auto"/>
        <w:tabs>
          <w:tab w:leader="none" w:pos="2177"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t>the granting of a revocable proxy to officers or directors of the Corporation at the request of the Board of Directors in connection with actions to be taken at an annual or special meeting of stockholders;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233" w:name="page234"/>
    <w:bookmarkEnd w:id="233"/>
    <w:p>
      <w:pPr>
        <w:ind w:firstLine="1972"/>
        <w:spacing w:after="0" w:line="284" w:lineRule="auto"/>
        <w:tabs>
          <w:tab w:leader="none" w:pos="2227" w:val="left"/>
        </w:tabs>
        <w:numPr>
          <w:ilvl w:val="1"/>
          <w:numId w:val="15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Corporation, (B) either has a term not exceeding one year or is terminable by the holder of the shares subject thereto at any time, and</w:t>
      </w:r>
    </w:p>
    <w:p>
      <w:pPr>
        <w:spacing w:after="0" w:line="1" w:lineRule="exact"/>
        <w:rPr>
          <w:rFonts w:ascii="Arial" w:cs="Arial" w:eastAsia="Arial" w:hAnsi="Arial"/>
          <w:sz w:val="16"/>
          <w:szCs w:val="16"/>
          <w:b w:val="1"/>
          <w:bCs w:val="1"/>
          <w:color w:val="auto"/>
        </w:rPr>
      </w:pPr>
    </w:p>
    <w:p>
      <w:pPr>
        <w:ind w:right="320" w:firstLine="7"/>
        <w:spacing w:after="0" w:line="256" w:lineRule="auto"/>
        <w:tabs>
          <w:tab w:leader="none" w:pos="28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does not involve any payment of cash, securities, property or other consideration to the holder of the shares subject thereto other than the mutual promise to vote shares in a designated manner;</w:t>
      </w:r>
    </w:p>
    <w:p>
      <w:pPr>
        <w:spacing w:after="0" w:line="80" w:lineRule="exact"/>
        <w:rPr>
          <w:rFonts w:ascii="Arial" w:cs="Arial" w:eastAsia="Arial" w:hAnsi="Arial"/>
          <w:sz w:val="18"/>
          <w:szCs w:val="18"/>
          <w:color w:val="auto"/>
        </w:rPr>
      </w:pPr>
    </w:p>
    <w:p>
      <w:pPr>
        <w:ind w:right="420" w:firstLine="1972"/>
        <w:spacing w:after="0" w:line="255" w:lineRule="auto"/>
        <w:tabs>
          <w:tab w:leader="none" w:pos="2276"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spacing w:after="0" w:line="83" w:lineRule="exact"/>
        <w:rPr>
          <w:rFonts w:ascii="Arial" w:cs="Arial" w:eastAsia="Arial" w:hAnsi="Arial"/>
          <w:sz w:val="18"/>
          <w:szCs w:val="18"/>
          <w:b w:val="1"/>
          <w:bCs w:val="1"/>
          <w:color w:val="auto"/>
        </w:rPr>
      </w:pPr>
    </w:p>
    <w:p>
      <w:pPr>
        <w:ind w:firstLine="1972"/>
        <w:spacing w:after="0" w:line="259" w:lineRule="auto"/>
        <w:tabs>
          <w:tab w:leader="none" w:pos="2266"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also be deemed to have occurred with respect to a share of Class B Common Stock beneficially held by (i) a Permitted Transferee of a Qualified Stockholder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50" w:lineRule="exact"/>
        <w:rPr>
          <w:sz w:val="20"/>
          <w:szCs w:val="20"/>
          <w:color w:val="auto"/>
        </w:rPr>
      </w:pPr>
    </w:p>
    <w:p>
      <w:pPr>
        <w:ind w:right="260" w:firstLine="1419"/>
        <w:spacing w:after="0" w:line="275" w:lineRule="auto"/>
        <w:rPr>
          <w:sz w:val="20"/>
          <w:szCs w:val="20"/>
          <w:color w:val="auto"/>
        </w:rPr>
      </w:pPr>
      <w:r>
        <w:rPr>
          <w:rFonts w:ascii="Arial" w:cs="Arial" w:eastAsia="Arial" w:hAnsi="Arial"/>
          <w:sz w:val="18"/>
          <w:szCs w:val="18"/>
          <w:b w:val="1"/>
          <w:bCs w:val="1"/>
          <w:color w:val="auto"/>
        </w:rPr>
        <w:t xml:space="preserve">u. </w:t>
      </w:r>
      <w:r>
        <w:rPr>
          <w:rFonts w:ascii="Arial" w:cs="Arial" w:eastAsia="Arial" w:hAnsi="Arial"/>
          <w:sz w:val="18"/>
          <w:szCs w:val="18"/>
          <w:color w:val="auto"/>
        </w:rPr>
        <w:t>“</w:t>
      </w:r>
      <w:r>
        <w:rPr>
          <w:rFonts w:ascii="Arial" w:cs="Arial" w:eastAsia="Arial" w:hAnsi="Arial"/>
          <w:sz w:val="18"/>
          <w:szCs w:val="18"/>
          <w:b w:val="1"/>
          <w:bCs w:val="1"/>
          <w:i w:val="1"/>
          <w:iCs w:val="1"/>
          <w:color w:val="auto"/>
        </w:rPr>
        <w:t>Voting Control</w:t>
      </w:r>
      <w:r>
        <w:rPr>
          <w:rFonts w:ascii="Arial" w:cs="Arial" w:eastAsia="Arial" w:hAnsi="Arial"/>
          <w:sz w:val="18"/>
          <w:szCs w:val="18"/>
          <w:color w:val="auto"/>
        </w:rPr>
        <w:t>” means, with respect to a share of Class B Common Stock, the power (whether exclusive or shared) to vote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 the voting of such share by proxy, voting agreement or otherwise.</w:t>
      </w:r>
    </w:p>
    <w:p>
      <w:pPr>
        <w:spacing w:after="0" w:line="61" w:lineRule="exact"/>
        <w:rPr>
          <w:sz w:val="20"/>
          <w:szCs w:val="20"/>
          <w:color w:val="auto"/>
        </w:rPr>
      </w:pPr>
    </w:p>
    <w:p>
      <w:pPr>
        <w:ind w:right="60" w:firstLine="990"/>
        <w:spacing w:after="0" w:line="257" w:lineRule="auto"/>
        <w:tabs>
          <w:tab w:leader="none" w:pos="11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Generally Identical Rights. </w:t>
      </w:r>
      <w:r>
        <w:rPr>
          <w:rFonts w:ascii="Arial" w:cs="Arial" w:eastAsia="Arial" w:hAnsi="Arial"/>
          <w:sz w:val="18"/>
          <w:szCs w:val="18"/>
          <w:color w:val="auto"/>
        </w:rPr>
        <w:t>Except as otherwise provided in the Certificate of Incorporation or required by applicable law,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and Class B Common Stock shall have the same rights, privileges and powers, rank equally (including as to dividends and distributions, and upon any liquidation, dissolution, distribution of assets or winding up of the Corporation), share ratably and be identical in all respects and as to all matters.</w:t>
      </w:r>
    </w:p>
    <w:p>
      <w:pPr>
        <w:spacing w:after="0" w:line="76" w:lineRule="exact"/>
        <w:rPr>
          <w:rFonts w:ascii="Arial" w:cs="Arial" w:eastAsia="Arial" w:hAnsi="Arial"/>
          <w:sz w:val="18"/>
          <w:szCs w:val="18"/>
          <w:b w:val="1"/>
          <w:bCs w:val="1"/>
          <w:color w:val="auto"/>
        </w:rPr>
      </w:pPr>
    </w:p>
    <w:p>
      <w:pPr>
        <w:ind w:left="1160" w:hanging="170"/>
        <w:spacing w:after="0"/>
        <w:tabs>
          <w:tab w:leader="none" w:pos="11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Rights Relating to Dividends, Subdivisions and Combinations</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right="20" w:firstLine="1419"/>
        <w:spacing w:after="0" w:line="25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Subject to the rights of holders of any Preferred Stock at the time outstanding having prior rights as to dividends, the 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A Common Stock and Class B Common Stock shall be entitled to receive, when, as and if declared by the Board of Directors, out of any assets of the Corporation legally available therefor, such dividends as may be declared from time to time by the Board of Directors. Except as permitted in Subsection 3(b) of Section D of Article IV, any dividends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234" w:name="page235"/>
    <w:bookmarkEnd w:id="234"/>
    <w:p>
      <w:pPr>
        <w:ind w:right="20" w:firstLine="1419"/>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Arial" w:cs="Arial" w:eastAsia="Arial" w:hAnsi="Arial"/>
          <w:sz w:val="16"/>
          <w:szCs w:val="16"/>
          <w:color w:val="auto"/>
        </w:rPr>
        <w:t>The Corporation shall not declare or pay any dividend to the holders of Class A Common Stock or Class B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in securities of the Corporation unless the same dividend with the same record date and payment date shall be declared and paid on all shares of Common Stock; provided, however, that (i) dividends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 (ii) dividends payable in shares of Class B Common Stock or rights to acquire shares of Class B Common Stock may be declared and paid to the holders of Class B Common Stock without the same dividend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62" w:lineRule="exact"/>
        <w:rPr>
          <w:sz w:val="20"/>
          <w:szCs w:val="20"/>
          <w:color w:val="auto"/>
        </w:rPr>
      </w:pPr>
    </w:p>
    <w:p>
      <w:pPr>
        <w:ind w:right="20" w:firstLine="1419"/>
        <w:spacing w:after="0" w:line="299"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If the Corporation in any manner subdivides or combines (including by reclassification) the outstanding shares of Class 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or Class B Common Stock, then the outstanding shares of all Common Stock will be subdivided or combined in the same proportion and manner;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153" w:lineRule="exact"/>
        <w:rPr>
          <w:sz w:val="20"/>
          <w:szCs w:val="20"/>
          <w:color w:val="auto"/>
        </w:rPr>
      </w:pPr>
    </w:p>
    <w:p>
      <w:pPr>
        <w:ind w:firstLine="990"/>
        <w:spacing w:after="0" w:line="267" w:lineRule="auto"/>
        <w:tabs>
          <w:tab w:leader="none" w:pos="116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Liquidation Rights</w:t>
      </w:r>
      <w:r>
        <w:rPr>
          <w:rFonts w:ascii="Arial" w:cs="Arial" w:eastAsia="Arial" w:hAnsi="Arial"/>
          <w:sz w:val="17"/>
          <w:szCs w:val="17"/>
          <w:color w:val="auto"/>
        </w:rPr>
        <w:t>. In the event of a Liquidation Event, upon the completion of the distributions required with respect to any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that may then be outstanding, the remaining assets of the Corporation legally available for distribution to stockholders, or consideration payable to the stockholders of the Corporation, in the case of an Acquisition constituting a Liquidation Event, shall be distributed on an equal priority, pro rata basis to the holders of Class A Common Stock and Class B Common Stock (and the holders of any Preferred Stock that may then be outstanding, to the extent required by the Certificate of Incorporation, including any certificate of designation with respect to any series of Preferred Stock), unless different treatment of the shares of each such class is approved by the affirmative vote of the holders of a majority of the outstanding shares of Class A Common Stock and a majority of the outstanding shares of Class B Common Stock, each voting separately as a class; </w:t>
      </w:r>
      <w:r>
        <w:rPr>
          <w:rFonts w:ascii="Arial" w:cs="Arial" w:eastAsia="Arial" w:hAnsi="Arial"/>
          <w:sz w:val="17"/>
          <w:szCs w:val="17"/>
          <w:i w:val="1"/>
          <w:iCs w:val="1"/>
          <w:color w:val="auto"/>
        </w:rPr>
        <w:t>provided, however</w:t>
      </w:r>
      <w:r>
        <w:rPr>
          <w:rFonts w:ascii="Arial" w:cs="Arial" w:eastAsia="Arial" w:hAnsi="Arial"/>
          <w:sz w:val="17"/>
          <w:szCs w:val="17"/>
          <w:color w:val="auto"/>
        </w:rPr>
        <w:t>, for the avoidance of doubt, that compensation pursuant to any employment, consulting, severance or other compensatory arrangement to be paid to or received by a person who is also a holder of Class A Common Stock or Class B Common Stock does not constitute consideration or a “distribution to stockholders” in respect of the Class A Common Stock or Class B Common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68" w:right="499" w:bottom="1440" w:gutter="0" w:footer="0" w:header="0"/>
        </w:sectPr>
      </w:pPr>
    </w:p>
    <w:bookmarkStart w:id="235" w:name="page236"/>
    <w:bookmarkEnd w:id="235"/>
    <w:p>
      <w:pPr>
        <w:ind w:left="1160" w:hanging="170"/>
        <w:spacing w:after="0"/>
        <w:tabs>
          <w:tab w:leader="none" w:pos="11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Voting Rights</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a. Class A Common Stock</w:t>
      </w:r>
      <w:r>
        <w:rPr>
          <w:rFonts w:ascii="Arial" w:cs="Arial" w:eastAsia="Arial" w:hAnsi="Arial"/>
          <w:sz w:val="16"/>
          <w:szCs w:val="16"/>
          <w:color w:val="auto"/>
        </w:rPr>
        <w:t>. Each holder of shares of Class A Common Stock shall be entitled to one vote for each share thereof</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held.</w:t>
      </w:r>
    </w:p>
    <w:p>
      <w:pPr>
        <w:spacing w:after="0" w:line="97"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b. Class B Common Stock</w:t>
      </w:r>
      <w:r>
        <w:rPr>
          <w:rFonts w:ascii="Arial" w:cs="Arial" w:eastAsia="Arial" w:hAnsi="Arial"/>
          <w:sz w:val="16"/>
          <w:szCs w:val="16"/>
          <w:color w:val="auto"/>
        </w:rPr>
        <w:t>. Each holder of shares of Class B Common Stock shall be entitled to twenty votes for each share thereof</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held.</w:t>
      </w:r>
    </w:p>
    <w:p>
      <w:pPr>
        <w:spacing w:after="0" w:line="97"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c. Voting Generally</w:t>
      </w:r>
      <w:r>
        <w:rPr>
          <w:rFonts w:ascii="Arial" w:cs="Arial" w:eastAsia="Arial" w:hAnsi="Arial"/>
          <w:sz w:val="17"/>
          <w:szCs w:val="17"/>
          <w:color w:val="auto"/>
        </w:rPr>
        <w:t>. Except as required by applicable law or the Certificate of Incorporation, the holders of Preferred Stock,</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Class A Common Stock and Class B Common Stock shall vote together and not as separate series or classes. Except as otherwise required by applicable</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law, holders of Class A Common Stock and Class B Common Stock, as such, shall not be entitled to vote on any amendment to the Certificate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Incorporation that relates solely to the terms of one or more outstanding series of Preferred Stock if the holders of such affected series are entitled, either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separately or together with the holders of one or more other such series, to vote thereon pursuant to the Certificate of Incorporation or applicable law.</w:t>
      </w:r>
    </w:p>
    <w:p>
      <w:pPr>
        <w:spacing w:after="0" w:line="120" w:lineRule="exact"/>
        <w:rPr>
          <w:sz w:val="20"/>
          <w:szCs w:val="20"/>
          <w:color w:val="auto"/>
        </w:rPr>
      </w:pPr>
    </w:p>
    <w:p>
      <w:pPr>
        <w:ind w:left="1160" w:hanging="170"/>
        <w:spacing w:after="0"/>
        <w:tabs>
          <w:tab w:leader="none" w:pos="11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right="80" w:firstLine="1426"/>
        <w:spacing w:after="0" w:line="340" w:lineRule="auto"/>
        <w:tabs>
          <w:tab w:leader="none" w:pos="1597" w:val="left"/>
        </w:tabs>
        <w:numPr>
          <w:ilvl w:val="1"/>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Optional Conversion of the Class B Common Stock</w:t>
      </w:r>
      <w:r>
        <w:rPr>
          <w:rFonts w:ascii="Arial" w:cs="Arial" w:eastAsia="Arial" w:hAnsi="Arial"/>
          <w:sz w:val="16"/>
          <w:szCs w:val="16"/>
          <w:color w:val="auto"/>
        </w:rPr>
        <w:t>. At the option of the holder thereof, each share of Class B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convertible, at any time or from time to time, into one fully paid and nonassessable share of Class A Common Stock as provided herein.</w:t>
      </w:r>
    </w:p>
    <w:p>
      <w:pPr>
        <w:spacing w:after="0" w:line="13" w:lineRule="exact"/>
        <w:rPr>
          <w:rFonts w:ascii="Arial" w:cs="Arial" w:eastAsia="Arial" w:hAnsi="Arial"/>
          <w:sz w:val="16"/>
          <w:szCs w:val="16"/>
          <w:b w:val="1"/>
          <w:bCs w:val="1"/>
          <w:color w:val="auto"/>
        </w:rPr>
      </w:pPr>
    </w:p>
    <w:p>
      <w:pPr>
        <w:ind w:firstLine="1426"/>
        <w:spacing w:after="0" w:line="267" w:lineRule="auto"/>
        <w:tabs>
          <w:tab w:leader="none" w:pos="1607" w:val="left"/>
        </w:tabs>
        <w:numPr>
          <w:ilvl w:val="1"/>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Procedures</w:t>
      </w:r>
      <w:r>
        <w:rPr>
          <w:rFonts w:ascii="Arial" w:cs="Arial" w:eastAsia="Arial" w:hAnsi="Arial"/>
          <w:sz w:val="17"/>
          <w:szCs w:val="17"/>
          <w:color w:val="auto"/>
        </w:rPr>
        <w:t>. Each holder of Class B Common Stock who elects to convert the same into shares of Class A Common Stock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the certificate or certificates therefor (if any), duly endorsed, at the office of the Corporation or any transfer agent for the Class B Common Stock, or notify the Corporation or its transfer agent that such certificates have been lost, stolen or destroyed and execute an agreement satisfactory to the Corporation to indemnify the Corporation from any loss incurred by it in connection with such certificates, and shall give written notice to the Corporation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in the case of lost, stolen or destroyed certificates, an executed agreement satisfactory to the Corporation to indemnify the Corporation from any loss incurred by it in connection with such certificates, or, if the shares are uncertificated, immediately prior to the close of business on the date that the holder delivers notice of such conversion to the Corporation’s transfer agent and the person entitled to receive the shares of Class A Common Stock issuable upon such conversion shall be treated for all purposes as the record holder of such shares of Class A Common Stock at such time.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68" w:right="519" w:bottom="1440" w:gutter="0" w:footer="0" w:header="0"/>
        </w:sectPr>
      </w:pPr>
    </w:p>
    <w:bookmarkStart w:id="236" w:name="page237"/>
    <w:bookmarkEnd w:id="236"/>
    <w:p>
      <w:pPr>
        <w:ind w:left="1140" w:hanging="170"/>
        <w:spacing w:after="0"/>
        <w:tabs>
          <w:tab w:leader="none" w:pos="11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Automatic Conversion of the Class B Common Stock</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20" w:right="80" w:firstLine="1426"/>
        <w:spacing w:after="0" w:line="285" w:lineRule="auto"/>
        <w:tabs>
          <w:tab w:leader="none" w:pos="1577" w:val="left"/>
        </w:tabs>
        <w:numPr>
          <w:ilvl w:val="1"/>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Conversion on Transfer (other than Permitted Transfer)</w:t>
      </w:r>
      <w:r>
        <w:rPr>
          <w:rFonts w:ascii="Arial" w:cs="Arial" w:eastAsia="Arial" w:hAnsi="Arial"/>
          <w:sz w:val="16"/>
          <w:szCs w:val="16"/>
          <w:color w:val="auto"/>
        </w:rPr>
        <w:t>. Each share of Class B Common Stock shall automatically be</w:t>
      </w:r>
      <w:r>
        <w:rPr>
          <w:rFonts w:ascii="Arial" w:cs="Arial" w:eastAsia="Arial" w:hAnsi="Arial"/>
          <w:sz w:val="16"/>
          <w:szCs w:val="16"/>
          <w:b w:val="1"/>
          <w:bCs w:val="1"/>
          <w:color w:val="auto"/>
        </w:rPr>
        <w:t xml:space="preserve"> </w:t>
      </w:r>
      <w:r>
        <w:rPr>
          <w:rFonts w:ascii="Arial" w:cs="Arial" w:eastAsia="Arial" w:hAnsi="Arial"/>
          <w:sz w:val="16"/>
          <w:szCs w:val="16"/>
          <w:color w:val="auto"/>
        </w:rPr>
        <w:t>converted into one fully paid and nonassessable share of Class A Common Stock upon a Transfer, other than a Permitted Transfer, of such share of Class B Common Stock. Such conversion shall occur automatically without the need for any further action by the holders of such shares and whether or not the certificates representing such shares (if any) are surrendered to the Corporation or its transfer agent; provided, however, that the Corporation shall not be obligated to issue certificates evidencing the shares of Class A Common Stock issuable upon such conversion unless the certificates (if any) evidencing such shares of Class B Common Stock are either delivered to the Corporation or its transfer agent as provided below, or the holder notifies the Corporation or its transfer agent that such certificates have been lost, stolen or destroyed and executes an agreement satisfactory to the Corporation to indemnify the Corporation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Corporation or any transfer agent for the Class A Common Stock.</w:t>
      </w:r>
    </w:p>
    <w:p>
      <w:pPr>
        <w:spacing w:after="0" w:line="61" w:lineRule="exact"/>
        <w:rPr>
          <w:rFonts w:ascii="Arial" w:cs="Arial" w:eastAsia="Arial" w:hAnsi="Arial"/>
          <w:sz w:val="16"/>
          <w:szCs w:val="16"/>
          <w:b w:val="1"/>
          <w:bCs w:val="1"/>
          <w:color w:val="auto"/>
        </w:rPr>
      </w:pPr>
    </w:p>
    <w:p>
      <w:pPr>
        <w:ind w:left="1600" w:hanging="194"/>
        <w:spacing w:after="0"/>
        <w:tabs>
          <w:tab w:leader="none" w:pos="1600"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Death</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 w:right="60" w:firstLine="1972"/>
        <w:spacing w:after="0" w:line="281" w:lineRule="auto"/>
        <w:tabs>
          <w:tab w:leader="none" w:pos="2157" w:val="left"/>
        </w:tabs>
        <w:numPr>
          <w:ilvl w:val="2"/>
          <w:numId w:val="156"/>
        </w:numPr>
        <w:rPr>
          <w:rFonts w:ascii="Arial" w:cs="Arial" w:eastAsia="Arial" w:hAnsi="Arial"/>
          <w:sz w:val="17"/>
          <w:szCs w:val="17"/>
          <w:b w:val="1"/>
          <w:bCs w:val="1"/>
          <w:color w:val="auto"/>
        </w:rPr>
      </w:pPr>
      <w:r>
        <w:rPr>
          <w:rFonts w:ascii="Arial" w:cs="Arial" w:eastAsia="Arial" w:hAnsi="Arial"/>
          <w:sz w:val="17"/>
          <w:szCs w:val="17"/>
          <w:color w:val="auto"/>
        </w:rPr>
        <w:t>Each share of Class B Common Stock held of record by a Qualified Stockholder, or by a Permitted Transferee of such Qualified Stockholder, shall automatically, without any further action, convert into one fully paid and nonassessable share of Class A Common Stock on the first Trading Day following the six (6) month anniversary of the death or Incapacity of such Qualified Stockholder.</w:t>
      </w:r>
    </w:p>
    <w:p>
      <w:pPr>
        <w:spacing w:after="0" w:line="62" w:lineRule="exact"/>
        <w:rPr>
          <w:rFonts w:ascii="Arial" w:cs="Arial" w:eastAsia="Arial" w:hAnsi="Arial"/>
          <w:sz w:val="17"/>
          <w:szCs w:val="17"/>
          <w:b w:val="1"/>
          <w:bCs w:val="1"/>
          <w:color w:val="auto"/>
        </w:rPr>
      </w:pPr>
    </w:p>
    <w:p>
      <w:pPr>
        <w:ind w:left="-20" w:right="460" w:firstLine="1972"/>
        <w:spacing w:after="0" w:line="290" w:lineRule="auto"/>
        <w:tabs>
          <w:tab w:leader="none" w:pos="2207" w:val="left"/>
        </w:tabs>
        <w:numPr>
          <w:ilvl w:val="2"/>
          <w:numId w:val="156"/>
        </w:numPr>
        <w:rPr>
          <w:rFonts w:ascii="Arial" w:cs="Arial" w:eastAsia="Arial" w:hAnsi="Arial"/>
          <w:sz w:val="16"/>
          <w:szCs w:val="16"/>
          <w:b w:val="1"/>
          <w:bCs w:val="1"/>
          <w:color w:val="auto"/>
        </w:rPr>
      </w:pPr>
      <w:r>
        <w:rPr>
          <w:rFonts w:ascii="Arial" w:cs="Arial" w:eastAsia="Arial" w:hAnsi="Arial"/>
          <w:sz w:val="16"/>
          <w:szCs w:val="16"/>
          <w:color w:val="auto"/>
        </w:rPr>
        <w:t>Such conversion shall occur automatically without the need for any further action by the holders of such shares and whether or not the certificates representing such shares (if any) are surrendered to the Corporation or its transfer agent; provided, however, that the Corporation shall not be obligated to issue certificates evidencing the shares of Class A Common Stock issuable upon such conversion unless the certificates evidencing such shares of Class B Common Stock are delivered to the Corporation or its transfer agent as provided below. Upon the occurrence of such automatic conversion of the Class B Common Stock, the holders of Class B Common Stock so converted shall surrender the certificates representing such shares (if any) at the office of the Corporation or any transfer agent for the Class A Common Stock.</w:t>
      </w:r>
    </w:p>
    <w:p>
      <w:pPr>
        <w:spacing w:after="0" w:line="52" w:lineRule="exact"/>
        <w:rPr>
          <w:rFonts w:ascii="Arial" w:cs="Arial" w:eastAsia="Arial" w:hAnsi="Arial"/>
          <w:sz w:val="16"/>
          <w:szCs w:val="16"/>
          <w:b w:val="1"/>
          <w:bCs w:val="1"/>
          <w:color w:val="auto"/>
        </w:rPr>
      </w:pPr>
    </w:p>
    <w:p>
      <w:pPr>
        <w:ind w:left="1580" w:hanging="174"/>
        <w:spacing w:after="0"/>
        <w:tabs>
          <w:tab w:leader="none" w:pos="1580"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Departure from Board of Directors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 w:right="140" w:firstLine="1972"/>
        <w:spacing w:after="0" w:line="255" w:lineRule="auto"/>
        <w:tabs>
          <w:tab w:leader="none" w:pos="2157" w:val="left"/>
        </w:tabs>
        <w:numPr>
          <w:ilvl w:val="2"/>
          <w:numId w:val="156"/>
        </w:numPr>
        <w:rPr>
          <w:rFonts w:ascii="Arial" w:cs="Arial" w:eastAsia="Arial" w:hAnsi="Arial"/>
          <w:sz w:val="18"/>
          <w:szCs w:val="18"/>
          <w:b w:val="1"/>
          <w:bCs w:val="1"/>
          <w:color w:val="auto"/>
        </w:rPr>
      </w:pPr>
      <w:r>
        <w:rPr>
          <w:rFonts w:ascii="Arial" w:cs="Arial" w:eastAsia="Arial" w:hAnsi="Arial"/>
          <w:sz w:val="18"/>
          <w:szCs w:val="18"/>
          <w:color w:val="auto"/>
        </w:rPr>
        <w:t>Each share of Class B Common Stock held of record by a Qualified Stockholder, or a Permitted Transferee of such Qualified Stockholder, shall automatically be converted into one fully paid and nonassessable share of Class A Common Stock on the date fixed by the Board of Directors that is not less than 60 days nor more than 180 days following the departure, whether by resignation, removal or otherwise, of such Qualified Stockholder from the Board of Directors of the Corporation.</w:t>
      </w:r>
    </w:p>
    <w:p>
      <w:pPr>
        <w:spacing w:after="0" w:line="83" w:lineRule="exact"/>
        <w:rPr>
          <w:rFonts w:ascii="Arial" w:cs="Arial" w:eastAsia="Arial" w:hAnsi="Arial"/>
          <w:sz w:val="18"/>
          <w:szCs w:val="18"/>
          <w:b w:val="1"/>
          <w:bCs w:val="1"/>
          <w:color w:val="auto"/>
        </w:rPr>
      </w:pPr>
    </w:p>
    <w:p>
      <w:pPr>
        <w:ind w:left="-20" w:firstLine="1972"/>
        <w:spacing w:after="0" w:line="268" w:lineRule="auto"/>
        <w:tabs>
          <w:tab w:leader="none" w:pos="2207" w:val="left"/>
        </w:tabs>
        <w:numPr>
          <w:ilvl w:val="2"/>
          <w:numId w:val="156"/>
        </w:numPr>
        <w:rPr>
          <w:rFonts w:ascii="Arial" w:cs="Arial" w:eastAsia="Arial" w:hAnsi="Arial"/>
          <w:sz w:val="17"/>
          <w:szCs w:val="17"/>
          <w:b w:val="1"/>
          <w:bCs w:val="1"/>
          <w:color w:val="auto"/>
        </w:rPr>
      </w:pPr>
      <w:r>
        <w:rPr>
          <w:rFonts w:ascii="Arial" w:cs="Arial" w:eastAsia="Arial" w:hAnsi="Arial"/>
          <w:sz w:val="17"/>
          <w:szCs w:val="17"/>
          <w:color w:val="auto"/>
        </w:rPr>
        <w:t>Such conversion shall occur automatically without the need for any further action by the holders of such shares and whether or not the certificates representing such shares (if any) are surrendered to the Corporation or its transfer agent; provided, however, that the Corporation shall not be obligated to issue certificates evidencing the shares of Class A Common Stock issuable upon such conversion unless the certificates (if any) evidencing such shares of Class B Common Stock are either delivered to the Corporation or its transfer agent as provided below, or the holder notifies the Corporation or its transfer agent that such certificates have been lost, stolen or destroyed and executes an agreement satisfactory to the Corporation to indemnify the Corporation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Corporation or any transfer agent for the Class A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500" w:top="269" w:right="499" w:bottom="1440" w:gutter="0" w:footer="0" w:header="0"/>
        </w:sectPr>
      </w:pPr>
    </w:p>
    <w:bookmarkStart w:id="237" w:name="page238"/>
    <w:bookmarkEnd w:id="237"/>
    <w:p>
      <w:pPr>
        <w:ind w:firstLine="1419"/>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 Final Conversion</w:t>
      </w:r>
      <w:r>
        <w:rPr>
          <w:rFonts w:ascii="Arial" w:cs="Arial" w:eastAsia="Arial" w:hAnsi="Arial"/>
          <w:sz w:val="16"/>
          <w:szCs w:val="16"/>
          <w:color w:val="auto"/>
        </w:rPr>
        <w:t>. On the Final Conversion Date, each issued share of Class B Common Stock shall automatically, without any</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action, convert into one fully paid and nonassessable share of Class A Common Stock. Following the Final Conversion Date, the Corporation shall not issue any additional shares of Class B Common Stock. Such conversion shall occur automatically without the need for any further action by the holders of such shares and whether or not the certificates representing such shares (if any) are surrendered to the Corporation or its transfer agent; provided, however, that the Corporation shall not be obligated to issue certificates evidencing the shares of Class A Common Stock issuable upon such conversion unless the certificates evidencing such shares of Class B Common Stock are either delivered to the Corporation or its transfer agent as provided below, or the holder notifies the Corporation or its transfer agent that such certificates have been lost, stolen or destroyed and executes an agreement satisfactory to the Corporation to indemnify the Corporation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Corporation or any transfer agent for the Class A Common Stock.</w:t>
      </w:r>
    </w:p>
    <w:p>
      <w:pPr>
        <w:spacing w:after="0" w:line="62" w:lineRule="exact"/>
        <w:rPr>
          <w:sz w:val="20"/>
          <w:szCs w:val="20"/>
          <w:color w:val="auto"/>
        </w:rPr>
      </w:pPr>
    </w:p>
    <w:p>
      <w:pPr>
        <w:ind w:firstLine="1419"/>
        <w:spacing w:after="0" w:line="291" w:lineRule="auto"/>
        <w:rPr>
          <w:sz w:val="20"/>
          <w:szCs w:val="20"/>
          <w:color w:val="auto"/>
        </w:rPr>
      </w:pPr>
      <w:r>
        <w:rPr>
          <w:rFonts w:ascii="Arial" w:cs="Arial" w:eastAsia="Arial" w:hAnsi="Arial"/>
          <w:sz w:val="16"/>
          <w:szCs w:val="16"/>
          <w:b w:val="1"/>
          <w:bCs w:val="1"/>
          <w:color w:val="auto"/>
        </w:rPr>
        <w:t>e. Procedures</w:t>
      </w:r>
      <w:r>
        <w:rPr>
          <w:rFonts w:ascii="Arial" w:cs="Arial" w:eastAsia="Arial" w:hAnsi="Arial"/>
          <w:sz w:val="16"/>
          <w:szCs w:val="16"/>
          <w:color w:val="auto"/>
        </w:rPr>
        <w:t>. The Corporation may, from time to time, establish such policies and procedures relating to the conversion of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Corporation as to whether a Transfer results in a conversion to Class A Common Stock shall be conclusive and binding.</w:t>
      </w:r>
    </w:p>
    <w:p>
      <w:pPr>
        <w:spacing w:after="0" w:line="52"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f. Immediate Effect</w:t>
      </w:r>
      <w:r>
        <w:rPr>
          <w:rFonts w:ascii="Arial" w:cs="Arial" w:eastAsia="Arial" w:hAnsi="Arial"/>
          <w:sz w:val="16"/>
          <w:szCs w:val="16"/>
          <w:color w:val="auto"/>
        </w:rPr>
        <w:t>. In the event of a conversion of shares of Class B Common Stock to shares of Class A Common Stock, such</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conversion(s) shall:</w:t>
      </w:r>
    </w:p>
    <w:p>
      <w:pPr>
        <w:spacing w:after="0" w:line="101" w:lineRule="exact"/>
        <w:rPr>
          <w:sz w:val="20"/>
          <w:szCs w:val="20"/>
          <w:color w:val="auto"/>
        </w:rPr>
      </w:pPr>
    </w:p>
    <w:p>
      <w:pPr>
        <w:ind w:left="2180" w:hanging="208"/>
        <w:spacing w:after="0"/>
        <w:tabs>
          <w:tab w:leader="none" w:pos="2180"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if converted pursuant to Subsection 7(a) of this Section D of Article IV, be deemed to have occurred at the time the</w:t>
      </w:r>
    </w:p>
    <w:p>
      <w:pPr>
        <w:spacing w:after="0" w:line="3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Transfer of shares occurred;</w:t>
      </w:r>
    </w:p>
    <w:p>
      <w:pPr>
        <w:spacing w:after="0" w:line="101" w:lineRule="exact"/>
        <w:rPr>
          <w:rFonts w:ascii="Arial" w:cs="Arial" w:eastAsia="Arial" w:hAnsi="Arial"/>
          <w:sz w:val="17"/>
          <w:szCs w:val="17"/>
          <w:b w:val="1"/>
          <w:bCs w:val="1"/>
          <w:color w:val="auto"/>
        </w:rPr>
      </w:pPr>
    </w:p>
    <w:p>
      <w:pPr>
        <w:ind w:right="100" w:firstLine="1972"/>
        <w:spacing w:after="0" w:line="271" w:lineRule="auto"/>
        <w:tabs>
          <w:tab w:leader="none" w:pos="2227"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if converted pursuant to Subsection 7(b) of this Section D of Article IV, be deemed to have occurred on the first Trading Day following the six (6) month anniversary of the death or Incapacity of the applicable Qualified Stockholder;</w:t>
      </w:r>
    </w:p>
    <w:p>
      <w:pPr>
        <w:spacing w:after="0" w:line="67" w:lineRule="exact"/>
        <w:rPr>
          <w:rFonts w:ascii="Arial" w:cs="Arial" w:eastAsia="Arial" w:hAnsi="Arial"/>
          <w:sz w:val="18"/>
          <w:szCs w:val="18"/>
          <w:b w:val="1"/>
          <w:bCs w:val="1"/>
          <w:color w:val="auto"/>
        </w:rPr>
      </w:pPr>
    </w:p>
    <w:p>
      <w:pPr>
        <w:ind w:right="20" w:firstLine="1972"/>
        <w:spacing w:after="0" w:line="259" w:lineRule="auto"/>
        <w:tabs>
          <w:tab w:leader="none" w:pos="2276"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if converted pursuant to Subsection 7(c) of this Section D of Article IV, be deemed to have occurred on the date fixed by the Board of Directors that is not less than 60 days nor more than 180 days following the departure of the applicable Qualified Stockholder from the Board of Directors;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68" w:right="519" w:bottom="1440" w:gutter="0" w:footer="0" w:header="0"/>
        </w:sectPr>
      </w:pPr>
    </w:p>
    <w:bookmarkStart w:id="238" w:name="page239"/>
    <w:bookmarkEnd w:id="238"/>
    <w:p>
      <w:pPr>
        <w:ind w:right="180" w:firstLine="1972"/>
        <w:spacing w:after="0" w:line="271" w:lineRule="auto"/>
        <w:tabs>
          <w:tab w:leader="none" w:pos="2266"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converted pursuant to Subsection 7(d) of this Section D of Article IV, be deemed to have occurred immediately prior to the close of business on the Final Conversion Date, as applicable.</w:t>
      </w:r>
    </w:p>
    <w:p>
      <w:pPr>
        <w:spacing w:after="0" w:line="175"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auto"/>
        </w:rPr>
        <w:t>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spacing w:after="0" w:line="39" w:lineRule="exact"/>
        <w:rPr>
          <w:sz w:val="20"/>
          <w:szCs w:val="20"/>
          <w:color w:val="auto"/>
        </w:rPr>
      </w:pPr>
    </w:p>
    <w:p>
      <w:pPr>
        <w:ind w:left="1160" w:hanging="170"/>
        <w:spacing w:after="0"/>
        <w:tabs>
          <w:tab w:leader="none" w:pos="11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w:t>
      </w:r>
      <w:r>
        <w:rPr>
          <w:rFonts w:ascii="Arial" w:cs="Arial" w:eastAsia="Arial" w:hAnsi="Arial"/>
          <w:sz w:val="18"/>
          <w:szCs w:val="18"/>
          <w:color w:val="auto"/>
        </w:rPr>
        <w:t>. The Common Stock is not redeemable.</w:t>
      </w:r>
    </w:p>
    <w:p>
      <w:pPr>
        <w:spacing w:after="0" w:line="113" w:lineRule="exact"/>
        <w:rPr>
          <w:rFonts w:ascii="Arial" w:cs="Arial" w:eastAsia="Arial" w:hAnsi="Arial"/>
          <w:sz w:val="18"/>
          <w:szCs w:val="18"/>
          <w:b w:val="1"/>
          <w:bCs w:val="1"/>
          <w:color w:val="auto"/>
        </w:rPr>
      </w:pPr>
    </w:p>
    <w:p>
      <w:pPr>
        <w:ind w:right="40" w:firstLine="990"/>
        <w:spacing w:after="0" w:line="252" w:lineRule="auto"/>
        <w:tabs>
          <w:tab w:leader="none" w:pos="11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Corporation shall at all times reserve and keep available out of its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Corporation will take such corporate action as may, in the opinion of its counsel, be necessary to increase its authorized but unissued shares of Class A Common Stock to such number of shares as shall be sufficient for such purpose.</w:t>
      </w:r>
    </w:p>
    <w:p>
      <w:pPr>
        <w:spacing w:after="0" w:line="83" w:lineRule="exact"/>
        <w:rPr>
          <w:rFonts w:ascii="Arial" w:cs="Arial" w:eastAsia="Arial" w:hAnsi="Arial"/>
          <w:sz w:val="18"/>
          <w:szCs w:val="18"/>
          <w:b w:val="1"/>
          <w:bCs w:val="1"/>
          <w:color w:val="auto"/>
        </w:rPr>
      </w:pPr>
    </w:p>
    <w:p>
      <w:pPr>
        <w:ind w:right="60" w:firstLine="990"/>
        <w:spacing w:after="0" w:line="261" w:lineRule="auto"/>
        <w:tabs>
          <w:tab w:leader="none" w:pos="125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Prohibition on Reissuance of Shares</w:t>
      </w:r>
      <w:r>
        <w:rPr>
          <w:rFonts w:ascii="Arial" w:cs="Arial" w:eastAsia="Arial" w:hAnsi="Arial"/>
          <w:sz w:val="18"/>
          <w:szCs w:val="18"/>
          <w:color w:val="auto"/>
        </w:rPr>
        <w:t>. Shares of Class B Common Stock that are acquired by the Corporation for any reason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by repurchase, upon conversion, or otherwise) shall be retired in the manner required by law and shall not be reissued as shares of Class B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25" w:lineRule="exact"/>
        <w:rPr>
          <w:sz w:val="20"/>
          <w:szCs w:val="20"/>
          <w:color w:val="auto"/>
        </w:rPr>
      </w:pPr>
    </w:p>
    <w:p>
      <w:pPr>
        <w:ind w:right="60" w:firstLine="436"/>
        <w:spacing w:after="0" w:line="301"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stockholders, or any class thereof, as the case may be, it is further provided that:</w:t>
      </w:r>
    </w:p>
    <w:p>
      <w:pPr>
        <w:spacing w:after="0" w:line="41" w:lineRule="exact"/>
        <w:rPr>
          <w:sz w:val="20"/>
          <w:szCs w:val="20"/>
          <w:color w:val="auto"/>
        </w:rPr>
      </w:pPr>
    </w:p>
    <w:p>
      <w:pPr>
        <w:ind w:firstLine="436"/>
        <w:spacing w:after="0" w:line="257" w:lineRule="auto"/>
        <w:rPr>
          <w:sz w:val="20"/>
          <w:szCs w:val="20"/>
          <w:color w:val="auto"/>
        </w:rPr>
      </w:pPr>
      <w:r>
        <w:rPr>
          <w:rFonts w:ascii="Arial" w:cs="Arial" w:eastAsia="Arial" w:hAnsi="Arial"/>
          <w:sz w:val="18"/>
          <w:szCs w:val="18"/>
          <w:b w:val="1"/>
          <w:bCs w:val="1"/>
          <w:color w:val="auto"/>
        </w:rPr>
        <w:t xml:space="preserve">A. Management of the Business. </w:t>
      </w:r>
      <w:r>
        <w:rPr>
          <w:rFonts w:ascii="Arial" w:cs="Arial" w:eastAsia="Arial" w:hAnsi="Arial"/>
          <w:sz w:val="18"/>
          <w:szCs w:val="18"/>
          <w:color w:val="auto"/>
        </w:rPr>
        <w:t>The management of the business and the conduct of the affairs of the Corporation shall be vested in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Subject to any rights of the holders of shares of any series of Preferred Stock then outstanding to elect additional directors under specified circumstances, the number of directors which shall constitute the Board of Directors shall be fixed exclusively by resolutions adopted by a majority of the authorized number of directors constituting the Board of Directors.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Board of Directors.</w:t>
      </w:r>
    </w:p>
    <w:p>
      <w:pPr>
        <w:spacing w:after="0" w:line="118" w:lineRule="exact"/>
        <w:rPr>
          <w:sz w:val="20"/>
          <w:szCs w:val="20"/>
          <w:color w:val="auto"/>
        </w:rPr>
      </w:pPr>
    </w:p>
    <w:p>
      <w:pPr>
        <w:ind w:right="40" w:firstLine="990"/>
        <w:spacing w:after="0" w:line="255" w:lineRule="auto"/>
        <w:tabs>
          <w:tab w:leader="none" w:pos="116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any series of Preferred Stock to elect additional directors under specified circumstances, following the closing of the initial public offering of Class A Common Stock to the public (the “</w:t>
      </w:r>
      <w:r>
        <w:rPr>
          <w:rFonts w:ascii="Arial" w:cs="Arial" w:eastAsia="Arial" w:hAnsi="Arial"/>
          <w:sz w:val="18"/>
          <w:szCs w:val="18"/>
          <w:b w:val="1"/>
          <w:bCs w:val="1"/>
          <w:i w:val="1"/>
          <w:iCs w:val="1"/>
          <w:color w:val="auto"/>
        </w:rPr>
        <w:t>Initial Public Offering</w:t>
      </w:r>
      <w:r>
        <w:rPr>
          <w:rFonts w:ascii="Arial" w:cs="Arial" w:eastAsia="Arial" w:hAnsi="Arial"/>
          <w:sz w:val="18"/>
          <w:szCs w:val="18"/>
          <w:color w:val="auto"/>
        </w:rPr>
        <w:t>”) pursuant to an effective registration statement under the Securities Act of 1933, as amended (the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 the directors shall be divided into three classes designated as Class I, Class II and Class III,</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2" w:right="499" w:bottom="1440" w:gutter="0" w:footer="0" w:header="0"/>
        </w:sectPr>
      </w:pPr>
    </w:p>
    <w:bookmarkStart w:id="239" w:name="page240"/>
    <w:bookmarkEnd w:id="239"/>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respectively. Each class shall consist, as nearly as possible, of a number of directors equal to one-third of the number of members of the Board of Directors authorized as provided in Section A of this Article V. The Board of Directors is authorized to assign members of the Board of Directors already in office to such classes at the time the classification becomes effective. At the first annual meeting of stockholders following the closing of the Initial Public Offering, the initial term of office of the Class I directors shall expire and Class I directors shall be elected for a full term of three years. At the second annual meeting of stockholders following the closing of the Initial Public Offering, the initial term of office of the Class II directors shall expire and Class II directors shall be elected for a full term of three years. At the third annual meeting of stockholders following the closing of the Initial Public Offering,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76" w:lineRule="exact"/>
        <w:rPr>
          <w:sz w:val="20"/>
          <w:szCs w:val="20"/>
          <w:color w:val="auto"/>
        </w:rPr>
      </w:pPr>
    </w:p>
    <w:p>
      <w:pPr>
        <w:jc w:val="both"/>
        <w:ind w:right="20" w:firstLine="990"/>
        <w:spacing w:after="0" w:line="259" w:lineRule="auto"/>
        <w:tabs>
          <w:tab w:leader="none" w:pos="116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74" w:lineRule="exact"/>
        <w:rPr>
          <w:rFonts w:ascii="Arial" w:cs="Arial" w:eastAsia="Arial" w:hAnsi="Arial"/>
          <w:sz w:val="18"/>
          <w:szCs w:val="18"/>
          <w:b w:val="1"/>
          <w:bCs w:val="1"/>
          <w:color w:val="auto"/>
        </w:rPr>
      </w:pPr>
    </w:p>
    <w:p>
      <w:pPr>
        <w:ind w:left="660" w:hanging="216"/>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117" w:lineRule="exact"/>
        <w:rPr>
          <w:rFonts w:ascii="Arial" w:cs="Arial" w:eastAsia="Arial" w:hAnsi="Arial"/>
          <w:sz w:val="18"/>
          <w:szCs w:val="18"/>
          <w:b w:val="1"/>
          <w:bCs w:val="1"/>
          <w:color w:val="auto"/>
        </w:rPr>
      </w:pPr>
    </w:p>
    <w:p>
      <w:pPr>
        <w:ind w:right="20" w:firstLine="990"/>
        <w:spacing w:after="0" w:line="301" w:lineRule="auto"/>
        <w:tabs>
          <w:tab w:leader="none" w:pos="1160" w:val="left"/>
        </w:tabs>
        <w:numPr>
          <w:ilvl w:val="1"/>
          <w:numId w:val="162"/>
        </w:numPr>
        <w:rPr>
          <w:rFonts w:ascii="Arial" w:cs="Arial" w:eastAsia="Arial" w:hAnsi="Arial"/>
          <w:sz w:val="17"/>
          <w:szCs w:val="17"/>
          <w:b w:val="1"/>
          <w:bCs w:val="1"/>
          <w:color w:val="auto"/>
        </w:rPr>
      </w:pPr>
      <w:r>
        <w:rPr>
          <w:rFonts w:ascii="Arial" w:cs="Arial" w:eastAsia="Arial" w:hAnsi="Arial"/>
          <w:sz w:val="17"/>
          <w:szCs w:val="17"/>
          <w:color w:val="auto"/>
        </w:rPr>
        <w:t>Subject to the rights of any series of Preferred Stock to remove directors elected by such series of Preferred Stock, following the closing of the Initial Public Offering, neither the entire Board of Directors nor any individual director may be removed from office without cause.</w:t>
      </w:r>
    </w:p>
    <w:p>
      <w:pPr>
        <w:spacing w:after="0" w:line="44" w:lineRule="exact"/>
        <w:rPr>
          <w:rFonts w:ascii="Arial" w:cs="Arial" w:eastAsia="Arial" w:hAnsi="Arial"/>
          <w:sz w:val="17"/>
          <w:szCs w:val="17"/>
          <w:b w:val="1"/>
          <w:bCs w:val="1"/>
          <w:color w:val="auto"/>
        </w:rPr>
      </w:pPr>
    </w:p>
    <w:p>
      <w:pPr>
        <w:jc w:val="both"/>
        <w:ind w:right="60" w:firstLine="990"/>
        <w:spacing w:after="0" w:line="255" w:lineRule="auto"/>
        <w:tabs>
          <w:tab w:leader="none" w:pos="1160"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the rights of any series of Preferred Stock to remove directors elected by such series of Preferred Stock, any individual director or the entire Board of Directors may be removed from office with cause by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the then-outstanding shares of the capital stock of the Corporation entitled to vote generally at an election of directors.</w:t>
      </w:r>
    </w:p>
    <w:p>
      <w:pPr>
        <w:spacing w:after="0" w:line="79" w:lineRule="exact"/>
        <w:rPr>
          <w:rFonts w:ascii="Arial" w:cs="Arial" w:eastAsia="Arial" w:hAnsi="Arial"/>
          <w:sz w:val="18"/>
          <w:szCs w:val="18"/>
          <w:b w:val="1"/>
          <w:bCs w:val="1"/>
          <w:color w:val="auto"/>
        </w:rPr>
      </w:pPr>
    </w:p>
    <w:p>
      <w:pPr>
        <w:ind w:firstLine="444"/>
        <w:spacing w:after="0" w:line="268" w:lineRule="auto"/>
        <w:tabs>
          <w:tab w:leader="none" w:pos="654"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Vacancies. </w:t>
      </w:r>
      <w:r>
        <w:rPr>
          <w:rFonts w:ascii="Arial" w:cs="Arial" w:eastAsia="Arial" w:hAnsi="Arial"/>
          <w:sz w:val="17"/>
          <w:szCs w:val="17"/>
          <w:color w:val="auto"/>
        </w:rPr>
        <w:t>Subject to any limitations imposed by applicable law and subject to the rights of the holders of any series of Preferred Stock to elect</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directors or fill vacancies in respect of such directors,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be filled only by the affirmative vote of a majority of the directors then in office, even though less than a quorum of the Board of Directors or by the sole remaining director,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or such director’s earlier death, resignation or removal.</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80" w:top="272" w:right="519" w:bottom="1440" w:gutter="0" w:footer="0" w:header="0"/>
        </w:sectPr>
      </w:pPr>
    </w:p>
    <w:bookmarkStart w:id="240" w:name="page241"/>
    <w:bookmarkEnd w:id="240"/>
    <w:p>
      <w:pPr>
        <w:ind w:firstLine="43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Bylaw Amendments. </w:t>
      </w:r>
      <w:r>
        <w:rPr>
          <w:rFonts w:ascii="Arial" w:cs="Arial" w:eastAsia="Arial" w:hAnsi="Arial"/>
          <w:sz w:val="17"/>
          <w:szCs w:val="17"/>
          <w:color w:val="auto"/>
        </w:rPr>
        <w:t>The Board of Directors is expressly authorized and empowered to adopt, amend or repeal any provisions of the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adoption, amendment or repeal of the Bylaws by the Board of Directors shall require the approval of a majority of the authorized number of directors. The stockholders shall also have power to adopt, amend or repeal the Bylaws;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the capital stock of the Corporation entitled to vote generally in the election of directors, voting together as a single class.</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 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w:t>
      </w:r>
    </w:p>
    <w:p>
      <w:pPr>
        <w:spacing w:after="0" w:line="118" w:lineRule="exact"/>
        <w:rPr>
          <w:sz w:val="20"/>
          <w:szCs w:val="20"/>
          <w:color w:val="auto"/>
        </w:rPr>
      </w:pPr>
    </w:p>
    <w:p>
      <w:pPr>
        <w:ind w:left="1160" w:hanging="170"/>
        <w:spacing w:after="0"/>
        <w:tabs>
          <w:tab w:leader="none" w:pos="116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The directors of the Corporation need not be elected by written ballot unless the Bylaws so provide.</w:t>
      </w:r>
    </w:p>
    <w:p>
      <w:pPr>
        <w:spacing w:after="0" w:line="113" w:lineRule="exact"/>
        <w:rPr>
          <w:rFonts w:ascii="Arial" w:cs="Arial" w:eastAsia="Arial" w:hAnsi="Arial"/>
          <w:sz w:val="18"/>
          <w:szCs w:val="18"/>
          <w:b w:val="1"/>
          <w:bCs w:val="1"/>
          <w:color w:val="auto"/>
        </w:rPr>
      </w:pPr>
    </w:p>
    <w:p>
      <w:pPr>
        <w:ind w:right="660" w:firstLine="990"/>
        <w:spacing w:after="0" w:line="271" w:lineRule="auto"/>
        <w:tabs>
          <w:tab w:leader="none" w:pos="116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No action shall be taken by the stockholders of the Corporation except at an annual or special meeting of stockholders called in accordance with the Bylaws and no action shall be taken by the stockholders by written consent.</w:t>
      </w:r>
    </w:p>
    <w:p>
      <w:pPr>
        <w:spacing w:after="0" w:line="67" w:lineRule="exact"/>
        <w:rPr>
          <w:rFonts w:ascii="Arial" w:cs="Arial" w:eastAsia="Arial" w:hAnsi="Arial"/>
          <w:sz w:val="18"/>
          <w:szCs w:val="18"/>
          <w:b w:val="1"/>
          <w:bCs w:val="1"/>
          <w:color w:val="auto"/>
        </w:rPr>
      </w:pPr>
    </w:p>
    <w:p>
      <w:pPr>
        <w:ind w:right="520" w:firstLine="990"/>
        <w:spacing w:after="0" w:line="271" w:lineRule="auto"/>
        <w:tabs>
          <w:tab w:leader="none" w:pos="116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1" w:lineRule="exact"/>
        <w:rPr>
          <w:sz w:val="20"/>
          <w:szCs w:val="20"/>
          <w:color w:val="auto"/>
        </w:rPr>
      </w:pPr>
    </w:p>
    <w:p>
      <w:pPr>
        <w:ind w:right="180" w:firstLine="436"/>
        <w:spacing w:after="0" w:line="289"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liability of the directors for monetary damages shall be eliminated to the fullest extent permitted under applicable law. In furtherance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repeal or modification of the foregoing two sentences shall not adversely affect any right or protection of a director of the Corporation existing hereunder with respect to any act or omission occurring prior to such repeal or modification. If applicable law is amended after approval by the stockholders of this Article VI to authorize corporate action further eliminating or limiting the personal liability of directors, then the liability of a director to the Corporation shall be eliminated or limited to the fullest extent permitted by applicable law as so amended.</w:t>
      </w:r>
    </w:p>
    <w:p>
      <w:pPr>
        <w:spacing w:after="0" w:line="54" w:lineRule="exact"/>
        <w:rPr>
          <w:sz w:val="20"/>
          <w:szCs w:val="20"/>
          <w:color w:val="auto"/>
        </w:rPr>
      </w:pPr>
    </w:p>
    <w:p>
      <w:pPr>
        <w:ind w:right="40" w:firstLine="436"/>
        <w:spacing w:after="0" w:line="309"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To the fullest extent permitted by applicable law, the Corporation is authorized to provide indemnification of (and advancement of expenses to)</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employees and agents of the Corporation (and any other persons to which applicable law permits the Corporation to provide indemnification) through Bylaw provisions, agreements with such agents or other persons, vote of stockholders or disinterested directors or otherwise.</w:t>
      </w:r>
    </w:p>
    <w:p>
      <w:pPr>
        <w:spacing w:after="0" w:line="38" w:lineRule="exact"/>
        <w:rPr>
          <w:sz w:val="20"/>
          <w:szCs w:val="20"/>
          <w:color w:val="auto"/>
        </w:rPr>
      </w:pPr>
    </w:p>
    <w:p>
      <w:pPr>
        <w:ind w:right="260" w:firstLine="436"/>
        <w:spacing w:after="0" w:line="261"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Any repeal or modification of this Article VI shall only be prospective and shall not adversely affect the rights or protections or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of any person under this Article VI as in effect at the time of the alleged occurrence of any act or omission to act giving rise to liability or indemnification.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68" w:right="519" w:bottom="1440" w:gutter="0" w:footer="0" w:header="0"/>
        </w:sectPr>
      </w:pPr>
    </w:p>
    <w:bookmarkStart w:id="241" w:name="page242"/>
    <w:bookmarkEnd w:id="2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VII.</w:t>
      </w:r>
    </w:p>
    <w:p>
      <w:pPr>
        <w:spacing w:after="0" w:line="221"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Unless the Corporation consents in writing to the selection of an alternative forum, the Court of Chancery of the State of Delaware (or, if and</w:t>
      </w:r>
      <w:r>
        <w:rPr>
          <w:rFonts w:ascii="Arial" w:cs="Arial" w:eastAsia="Arial" w:hAnsi="Arial"/>
          <w:sz w:val="17"/>
          <w:szCs w:val="17"/>
          <w:b w:val="1"/>
          <w:bCs w:val="1"/>
          <w:color w:val="auto"/>
        </w:rPr>
        <w:t xml:space="preserve"> </w:t>
      </w:r>
      <w:r>
        <w:rPr>
          <w:rFonts w:ascii="Arial" w:cs="Arial" w:eastAsia="Arial" w:hAnsi="Arial"/>
          <w:sz w:val="17"/>
          <w:szCs w:val="17"/>
          <w:color w:val="auto"/>
        </w:rPr>
        <w:t>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Corporation; (B) any claim or cause of action for breach of a fiduciary duty owed by any current or former director, officer or other employee of the Corporation, to the Corporation or the Corporation’s stockholders; (C) any claim or cause of action against the Corporation or any current or former director, officer or other employee of the Corporation, arising out of or pursuant to any provision of the DGCL, the Certificate of Incorporation or the Bylaws; (D) any claim or cause of action seeking to interpret, apply, enforce or determine the validity of the Certificate of Incorporation or the Bylaws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law and subject to the court having personal jurisdiction over the indispensable parties named as defendants. This Section A of Article VII shall not apply to claims or causes of action brought to enforce a duty or liability created by the Securities Act of 1933, as amended (the “</w:t>
      </w:r>
      <w:r>
        <w:rPr>
          <w:rFonts w:ascii="Arial" w:cs="Arial" w:eastAsia="Arial" w:hAnsi="Arial"/>
          <w:sz w:val="17"/>
          <w:szCs w:val="17"/>
          <w:b w:val="1"/>
          <w:bCs w:val="1"/>
          <w:i w:val="1"/>
          <w:iCs w:val="1"/>
          <w:color w:val="auto"/>
        </w:rPr>
        <w:t>1933 Act</w:t>
      </w:r>
      <w:r>
        <w:rPr>
          <w:rFonts w:ascii="Arial" w:cs="Arial" w:eastAsia="Arial" w:hAnsi="Arial"/>
          <w:sz w:val="17"/>
          <w:szCs w:val="17"/>
          <w:color w:val="auto"/>
        </w:rPr>
        <w:t>”), or the Securities Exchange Act of 1934, as amended, or any other claim for which the federal courts have exclusive jurisdiction.</w:t>
      </w:r>
    </w:p>
    <w:p>
      <w:pPr>
        <w:spacing w:after="0" w:line="79" w:lineRule="exact"/>
        <w:rPr>
          <w:sz w:val="20"/>
          <w:szCs w:val="20"/>
          <w:color w:val="auto"/>
        </w:rPr>
      </w:pPr>
    </w:p>
    <w:p>
      <w:pPr>
        <w:ind w:right="300" w:firstLine="436"/>
        <w:spacing w:after="0" w:line="284"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Unless the Corporation consents in writing to the selection of an alternative forum, to the fullest extent permitted by law, the federal district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courts of the United States of America shall be the exclusive forum for the resolution of any complaint asserting a cause or causes of action arising under the 1933 Act, including all causes of action asserted against any defendant to such complaint.</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21" w:lineRule="exact"/>
        <w:rPr>
          <w:sz w:val="20"/>
          <w:szCs w:val="20"/>
          <w:color w:val="auto"/>
        </w:rPr>
      </w:pPr>
    </w:p>
    <w:p>
      <w:pPr>
        <w:ind w:right="100" w:firstLine="43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Any person or entity holding, owning, or otherwise acquiring any interest in any security of the Corporation shall be deemed to have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consented to the provisions of the Certificate of Incorporation.</w:t>
      </w:r>
    </w:p>
    <w:p>
      <w:pPr>
        <w:spacing w:after="0" w:line="61" w:lineRule="exact"/>
        <w:rPr>
          <w:sz w:val="20"/>
          <w:szCs w:val="20"/>
          <w:color w:val="auto"/>
        </w:rPr>
      </w:pPr>
    </w:p>
    <w:p>
      <w:pPr>
        <w:ind w:right="100" w:firstLine="436"/>
        <w:spacing w:after="0" w:line="257"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Corporation reserves the right to amend, alter, change or repeal, at any time and from time to time, any provision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in the manner now or hereafter prescribed by statute, except as provided in paragraph C. of this Article VIII, and all rights, preferences and privileges of whatsoever nature conferred upon the stockholders, directors or any other persons whomsoever by and pursuant to the Certificate of Incorporation are granted subject to this reservation.</w:t>
      </w:r>
    </w:p>
    <w:p>
      <w:pPr>
        <w:spacing w:after="0" w:line="76" w:lineRule="exact"/>
        <w:rPr>
          <w:sz w:val="20"/>
          <w:szCs w:val="20"/>
          <w:color w:val="auto"/>
        </w:rPr>
      </w:pPr>
    </w:p>
    <w:p>
      <w:pPr>
        <w:ind w:right="20" w:firstLine="436"/>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Notwithstanding any other provisions of the Certificate of Incorporation or any provision of law that might otherwise permit a lesser vote or no</w:t>
      </w:r>
      <w:r>
        <w:rPr>
          <w:rFonts w:ascii="Arial" w:cs="Arial" w:eastAsia="Arial" w:hAnsi="Arial"/>
          <w:sz w:val="18"/>
          <w:szCs w:val="18"/>
          <w:b w:val="1"/>
          <w:bCs w:val="1"/>
          <w:color w:val="auto"/>
        </w:rPr>
        <w:t xml:space="preserve"> </w:t>
      </w:r>
      <w:r>
        <w:rPr>
          <w:rFonts w:ascii="Arial" w:cs="Arial" w:eastAsia="Arial" w:hAnsi="Arial"/>
          <w:sz w:val="18"/>
          <w:szCs w:val="18"/>
          <w:color w:val="auto"/>
        </w:rPr>
        <w:t>vote, but in addition to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68" w:right="519" w:bottom="1440" w:gutter="0" w:footer="0" w:header="0"/>
        </w:sectPr>
      </w:pPr>
    </w:p>
    <w:bookmarkStart w:id="242" w:name="page243"/>
    <w:bookmarkEnd w:id="242"/>
    <w:p>
      <w:pPr>
        <w:ind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affirmative vote of the holders of any particular class or series of capital stock of the Corporation required by law or by the Certificate of Incorporation or any certificate of designation filed with respect to a series of Preferred Stock,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of the then-outstanding shares of capital stock of the Corporation entitled to vote in the election of directors, voting together as a single class, shall be required to alter, amend or repeal (whether by merger, consolidation or otherwise), or adopt any provision inconsistent with, Articles V, VI, VII and VIII.</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caused this Amended and Restated Certificate of Incorporation to be signed by a duly authorized officer of the Corporation 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this</w:t>
            </w:r>
          </w:p>
        </w:tc>
        <w:tc>
          <w:tcPr>
            <w:tcW w:w="1180" w:type="dxa"/>
            <w:vAlign w:val="bottom"/>
          </w:tcPr>
          <w:p>
            <w:pPr>
              <w:ind w:left="360"/>
              <w:spacing w:after="0"/>
              <w:rPr>
                <w:sz w:val="20"/>
                <w:szCs w:val="20"/>
                <w:color w:val="auto"/>
              </w:rPr>
            </w:pPr>
            <w:r>
              <w:rPr>
                <w:rFonts w:ascii="Arial" w:cs="Arial" w:eastAsia="Arial" w:hAnsi="Arial"/>
                <w:sz w:val="18"/>
                <w:szCs w:val="18"/>
                <w:color w:val="auto"/>
              </w:rPr>
              <w:t>day of</w:t>
            </w:r>
          </w:p>
        </w:tc>
        <w:tc>
          <w:tcPr>
            <w:tcW w:w="5120" w:type="dxa"/>
            <w:vAlign w:val="bottom"/>
          </w:tcPr>
          <w:p>
            <w:pPr>
              <w:jc w:val="right"/>
              <w:ind w:right="4151"/>
              <w:spacing w:after="0"/>
              <w:rPr>
                <w:sz w:val="20"/>
                <w:szCs w:val="20"/>
                <w:color w:val="auto"/>
              </w:rPr>
            </w:pPr>
            <w:r>
              <w:rPr>
                <w:rFonts w:ascii="Arial" w:cs="Arial" w:eastAsia="Arial" w:hAnsi="Arial"/>
                <w:sz w:val="18"/>
                <w:szCs w:val="18"/>
                <w:color w:val="auto"/>
              </w:rPr>
              <w:t>, 2021.</w:t>
            </w:r>
          </w:p>
        </w:tc>
        <w:tc>
          <w:tcPr>
            <w:tcW w:w="4000" w:type="dxa"/>
            <w:vAlign w:val="bottom"/>
          </w:tcPr>
          <w:p>
            <w:pPr>
              <w:spacing w:after="0"/>
              <w:rPr>
                <w:sz w:val="19"/>
                <w:szCs w:val="19"/>
                <w:color w:val="auto"/>
              </w:rPr>
            </w:pPr>
          </w:p>
        </w:tc>
      </w:tr>
      <w:tr>
        <w:trPr>
          <w:trHeight w:val="442"/>
        </w:trPr>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120" w:type="dxa"/>
            <w:vAlign w:val="bottom"/>
            <w:gridSpan w:val="2"/>
          </w:tcPr>
          <w:p>
            <w:pPr>
              <w:ind w:left="476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29"/>
        </w:trPr>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120" w:type="dxa"/>
            <w:vAlign w:val="bottom"/>
            <w:gridSpan w:val="2"/>
          </w:tcPr>
          <w:p>
            <w:pPr>
              <w:ind w:left="4760"/>
              <w:spacing w:after="0"/>
              <w:rPr>
                <w:sz w:val="20"/>
                <w:szCs w:val="20"/>
                <w:color w:val="auto"/>
              </w:rPr>
            </w:pPr>
            <w:r>
              <w:rPr>
                <w:rFonts w:ascii="Arial" w:cs="Arial" w:eastAsia="Arial" w:hAnsi="Arial"/>
                <w:sz w:val="18"/>
                <w:szCs w:val="18"/>
                <w:color w:val="auto"/>
              </w:rPr>
              <w:t>By:</w:t>
            </w:r>
          </w:p>
        </w:tc>
      </w:tr>
      <w:tr>
        <w:trPr>
          <w:trHeight w:val="203"/>
        </w:trPr>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40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Randolph Altschuler</w:t>
            </w:r>
          </w:p>
        </w:tc>
      </w:tr>
      <w:tr>
        <w:trPr>
          <w:trHeight w:val="231"/>
        </w:trPr>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361"/>
        </w:trPr>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120" w:type="dxa"/>
            <w:vAlign w:val="bottom"/>
          </w:tcPr>
          <w:p>
            <w:pPr>
              <w:jc w:val="right"/>
              <w:ind w:right="1271"/>
              <w:spacing w:after="0"/>
              <w:rPr>
                <w:sz w:val="20"/>
                <w:szCs w:val="20"/>
                <w:color w:val="auto"/>
              </w:rPr>
            </w:pPr>
            <w:r>
              <w:rPr>
                <w:rFonts w:ascii="Arial" w:cs="Arial" w:eastAsia="Arial" w:hAnsi="Arial"/>
                <w:sz w:val="18"/>
                <w:szCs w:val="18"/>
                <w:color w:val="auto"/>
              </w:rPr>
              <w:t>14</w:t>
            </w:r>
          </w:p>
        </w:tc>
        <w:tc>
          <w:tcPr>
            <w:tcW w:w="4000" w:type="dxa"/>
            <w:vAlign w:val="bottom"/>
          </w:tcPr>
          <w:p>
            <w:pPr>
              <w:spacing w:after="0"/>
              <w:rPr>
                <w:sz w:val="24"/>
                <w:szCs w:val="24"/>
                <w:color w:val="auto"/>
              </w:rPr>
            </w:pPr>
          </w:p>
        </w:tc>
      </w:tr>
    </w:tbl>
    <w:p>
      <w:pPr>
        <w:sectPr>
          <w:pgSz w:w="11900" w:h="16838" w:orient="portrait"/>
          <w:cols w:equalWidth="0" w:num="1">
            <w:col w:w="10920"/>
          </w:cols>
          <w:pgMar w:left="480" w:top="272" w:right="49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1" w:lineRule="exact"/>
        <w:rPr>
          <w:sz w:val="20"/>
          <w:szCs w:val="20"/>
          <w:color w:val="auto"/>
        </w:rPr>
      </w:pPr>
    </w:p>
    <w:p>
      <w:pPr>
        <w:ind w:right="160" w:firstLine="436"/>
        <w:spacing w:after="0" w:line="275" w:lineRule="auto"/>
        <w:rPr>
          <w:sz w:val="20"/>
          <w:szCs w:val="20"/>
          <w:color w:val="auto"/>
        </w:rPr>
      </w:pPr>
      <w:r>
        <w:rPr>
          <w:rFonts w:ascii="Arial" w:cs="Arial" w:eastAsia="Arial" w:hAnsi="Arial"/>
          <w:sz w:val="18"/>
          <w:szCs w:val="18"/>
          <w:b w:val="1"/>
          <w:bCs w:val="1"/>
          <w:color w:val="auto"/>
        </w:rPr>
        <w:t xml:space="preserve">Section 1. Registered Office. </w:t>
      </w:r>
      <w:r>
        <w:rPr>
          <w:rFonts w:ascii="Arial" w:cs="Arial" w:eastAsia="Arial" w:hAnsi="Arial"/>
          <w:sz w:val="18"/>
          <w:szCs w:val="18"/>
          <w:color w:val="auto"/>
        </w:rPr>
        <w:t>The registered office of the corporation in the State of Delaware shall be as set forth in the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w:t>
      </w:r>
    </w:p>
    <w:p>
      <w:pPr>
        <w:spacing w:after="0" w:line="168" w:lineRule="exact"/>
        <w:rPr>
          <w:sz w:val="20"/>
          <w:szCs w:val="20"/>
          <w:color w:val="auto"/>
        </w:rPr>
      </w:pPr>
    </w:p>
    <w:p>
      <w:pPr>
        <w:jc w:val="both"/>
        <w:ind w:right="180" w:firstLine="436"/>
        <w:spacing w:after="0" w:line="284" w:lineRule="auto"/>
        <w:rPr>
          <w:sz w:val="20"/>
          <w:szCs w:val="20"/>
          <w:color w:val="auto"/>
        </w:rPr>
      </w:pPr>
      <w:r>
        <w:rPr>
          <w:rFonts w:ascii="Arial" w:cs="Arial" w:eastAsia="Arial" w:hAnsi="Arial"/>
          <w:sz w:val="17"/>
          <w:szCs w:val="17"/>
          <w:b w:val="1"/>
          <w:bCs w:val="1"/>
          <w:color w:val="auto"/>
        </w:rPr>
        <w:t xml:space="preserve">Section 2. Other Offices. </w:t>
      </w:r>
      <w:r>
        <w:rPr>
          <w:rFonts w:ascii="Arial" w:cs="Arial" w:eastAsia="Arial" w:hAnsi="Arial"/>
          <w:sz w:val="17"/>
          <w:szCs w:val="17"/>
          <w:color w:val="auto"/>
        </w:rPr>
        <w:t>The corporation may also have and maintain an office or principal place of business at such place as may be fixed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and may also have offices at such other places, both within and without the State of Delaware as the Board of Directors may from time to time determine or the business of the corporation may require.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SEAL</w:t>
      </w:r>
    </w:p>
    <w:p>
      <w:pPr>
        <w:spacing w:after="0" w:line="221" w:lineRule="exact"/>
        <w:rPr>
          <w:sz w:val="20"/>
          <w:szCs w:val="20"/>
          <w:color w:val="auto"/>
        </w:rPr>
      </w:pPr>
    </w:p>
    <w:p>
      <w:pPr>
        <w:jc w:val="both"/>
        <w:ind w:right="380" w:firstLine="436"/>
        <w:spacing w:after="0" w:line="261"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If adopted, the corporate seal shall consist of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1" w:lineRule="exact"/>
        <w:rPr>
          <w:sz w:val="20"/>
          <w:szCs w:val="20"/>
          <w:color w:val="auto"/>
        </w:rPr>
      </w:pPr>
    </w:p>
    <w:p>
      <w:pPr>
        <w:ind w:right="80" w:firstLine="436"/>
        <w:spacing w:after="0" w:line="257"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if any, either within or without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Section 14 below.</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Meetings.</w:t>
      </w:r>
    </w:p>
    <w:p>
      <w:pPr>
        <w:spacing w:after="0" w:line="118" w:lineRule="exact"/>
        <w:rPr>
          <w:sz w:val="20"/>
          <w:szCs w:val="20"/>
          <w:color w:val="auto"/>
        </w:rPr>
      </w:pPr>
    </w:p>
    <w:p>
      <w:pPr>
        <w:ind w:right="140" w:firstLine="990"/>
        <w:spacing w:after="0" w:line="293" w:lineRule="auto"/>
        <w:tabs>
          <w:tab w:leader="none" w:pos="1234"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The corporation may postpone, reschedule or cancel any annual meeting of stockholders previously scheduled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by or at the direction of the Board of</w:t>
      </w:r>
    </w:p>
    <w:p>
      <w:pPr>
        <w:sectPr>
          <w:pgSz w:w="11900" w:h="16838" w:orient="portrait"/>
          <w:cols w:equalWidth="0" w:num="1">
            <w:col w:w="10920"/>
          </w:cols>
          <w:pgMar w:left="480" w:top="121" w:right="499" w:bottom="1440" w:gutter="0" w:footer="0" w:header="0"/>
        </w:sectPr>
      </w:pPr>
    </w:p>
    <w:bookmarkStart w:id="244" w:name="page245"/>
    <w:bookmarkEnd w:id="24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Directors or a duly authorized committee thereof; or (iii)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before an annual meeting of stockholders.</w:t>
      </w:r>
    </w:p>
    <w:p>
      <w:pPr>
        <w:spacing w:after="0" w:line="71" w:lineRule="exact"/>
        <w:rPr>
          <w:sz w:val="20"/>
          <w:szCs w:val="20"/>
          <w:color w:val="auto"/>
        </w:rPr>
      </w:pPr>
    </w:p>
    <w:p>
      <w:pPr>
        <w:ind w:right="20" w:firstLine="990"/>
        <w:spacing w:after="0" w:line="259" w:lineRule="auto"/>
        <w:tabs>
          <w:tab w:leader="none" w:pos="1244"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is a proper matter for stockholder action under Delaware law, the Certificate of Incorporation and these Bylaws, and only such nominations shall be made and such business shall be conducted as shall have been properly brought before the meeting in accordance with the procedures below.</w:t>
      </w:r>
    </w:p>
    <w:p>
      <w:pPr>
        <w:spacing w:after="0" w:line="78" w:lineRule="exact"/>
        <w:rPr>
          <w:rFonts w:ascii="Arial" w:cs="Arial" w:eastAsia="Arial" w:hAnsi="Arial"/>
          <w:sz w:val="18"/>
          <w:szCs w:val="18"/>
          <w:b w:val="1"/>
          <w:bCs w:val="1"/>
          <w:color w:val="auto"/>
        </w:rPr>
      </w:pPr>
    </w:p>
    <w:p>
      <w:pPr>
        <w:ind w:firstLine="1426"/>
        <w:spacing w:after="0" w:line="282" w:lineRule="auto"/>
        <w:tabs>
          <w:tab w:leader="none" w:pos="163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(4) the date or dates on which such shares were acquired and the investment intent of such acquisition, (5)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could be material to a reasonable stockholder’s understanding of the independence, or lack thereof, of such proposed nominee.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283" w:lineRule="exact"/>
        <w:rPr>
          <w:rFonts w:ascii="Arial" w:cs="Arial" w:eastAsia="Arial" w:hAnsi="Arial"/>
          <w:sz w:val="16"/>
          <w:szCs w:val="16"/>
          <w:color w:val="auto"/>
        </w:rPr>
      </w:pPr>
    </w:p>
    <w:p>
      <w:pPr>
        <w:ind w:right="60" w:firstLine="1426"/>
        <w:spacing w:after="0" w:line="251" w:lineRule="auto"/>
        <w:tabs>
          <w:tab w:leader="none" w:pos="168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245" w:name="page246"/>
    <w:bookmarkEnd w:id="245"/>
    <w:p>
      <w:pPr>
        <w:ind w:right="80"/>
        <w:spacing w:after="0" w:line="32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w:t>
      </w:r>
    </w:p>
    <w:p>
      <w:pPr>
        <w:spacing w:after="0" w:line="1" w:lineRule="exact"/>
        <w:rPr>
          <w:sz w:val="20"/>
          <w:szCs w:val="20"/>
          <w:color w:val="auto"/>
        </w:rPr>
      </w:pPr>
    </w:p>
    <w:p>
      <w:pPr>
        <w:ind w:left="280" w:hanging="273"/>
        <w:spacing w:after="0"/>
        <w:tabs>
          <w:tab w:leader="none" w:pos="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information required by Section 5(b)(iv).</w:t>
      </w:r>
    </w:p>
    <w:p>
      <w:pPr>
        <w:spacing w:after="0" w:line="101" w:lineRule="exact"/>
        <w:rPr>
          <w:rFonts w:ascii="Arial" w:cs="Arial" w:eastAsia="Arial" w:hAnsi="Arial"/>
          <w:sz w:val="18"/>
          <w:szCs w:val="18"/>
          <w:color w:val="auto"/>
        </w:rPr>
      </w:pPr>
    </w:p>
    <w:p>
      <w:pPr>
        <w:ind w:right="60" w:firstLine="1426"/>
        <w:spacing w:after="0" w:line="266" w:lineRule="auto"/>
        <w:tabs>
          <w:tab w:leader="none" w:pos="1731"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To be timely, the written notice required by Section 5(b)(i) or 5(b)(ii) must be received by the Secretary at the principal executive offices of the corporation not later than the close of business on the 90</w:t>
      </w:r>
      <w:r>
        <w:rPr>
          <w:rFonts w:ascii="Arial" w:cs="Arial" w:eastAsia="Arial" w:hAnsi="Arial"/>
          <w:sz w:val="14"/>
          <w:szCs w:val="14"/>
          <w:color w:val="auto"/>
        </w:rPr>
        <w:t>th</w:t>
      </w:r>
      <w:r>
        <w:rPr>
          <w:rFonts w:ascii="Arial" w:cs="Arial" w:eastAsia="Arial" w:hAnsi="Arial"/>
          <w:sz w:val="17"/>
          <w:szCs w:val="17"/>
          <w:color w:val="auto"/>
        </w:rPr>
        <w:t xml:space="preserve"> day, nor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immediately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subject to the last sentence of this Section 5(b)(iii), in the event that (A) the date of the annual meeting is advanced more than 30 days prior to or delayed by more than 30 days after the anniversary of the preceding year’s annual meeting, notice by the stockholder to be timely must be so received not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spacing w:after="0" w:line="77" w:lineRule="exact"/>
        <w:rPr>
          <w:rFonts w:ascii="Arial" w:cs="Arial" w:eastAsia="Arial" w:hAnsi="Arial"/>
          <w:sz w:val="17"/>
          <w:szCs w:val="17"/>
          <w:color w:val="auto"/>
        </w:rPr>
      </w:pPr>
    </w:p>
    <w:p>
      <w:pPr>
        <w:ind w:firstLine="1426"/>
        <w:spacing w:after="0" w:line="282" w:lineRule="auto"/>
        <w:tabs>
          <w:tab w:leader="none" w:pos="172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written notice required by Sections 5(b)(i) or 5(b)(ii) shall also set forth, as of the date of the notice and as to the stockholder giving the notice and the beneficial owner, if any, on whose behalf the nomination or proposal is made (each, a “</w:t>
      </w:r>
      <w:r>
        <w:rPr>
          <w:rFonts w:ascii="Arial" w:cs="Arial" w:eastAsia="Arial" w:hAnsi="Arial"/>
          <w:sz w:val="16"/>
          <w:szCs w:val="16"/>
          <w:b w:val="1"/>
          <w:bCs w:val="1"/>
          <w:i w:val="1"/>
          <w:iCs w:val="1"/>
          <w:color w:val="auto"/>
        </w:rPr>
        <w:t>Proponent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Proponents</w:t>
      </w:r>
      <w:r>
        <w:rPr>
          <w:rFonts w:ascii="Arial" w:cs="Arial" w:eastAsia="Arial" w:hAnsi="Arial"/>
          <w:sz w:val="16"/>
          <w:szCs w:val="16"/>
          <w:color w:val="auto"/>
        </w:rPr>
        <w:t>”):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12 month period, including the date of the transactions and the class, series and number of securities involved in, and the material economic terms of, such Derivative Transactions.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246" w:name="page247"/>
    <w:bookmarkEnd w:id="246"/>
    <w:p>
      <w:pPr>
        <w:ind w:right="60" w:firstLine="990"/>
        <w:spacing w:after="0" w:line="281" w:lineRule="auto"/>
        <w:tabs>
          <w:tab w:leader="none" w:pos="1224"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stockholder providing the written notice required by Section 5(b)(i) or (ii)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In the case of an update and supplement pursuant to clause (i) of this Section 5(c), such update and supplement shall be received by the Secretary at the principal executive offices of the corporation not later than five Business Days after the later of the record date for the determination of stockholders entitled to notice of the meeting or the public announcement of such record date. In the case of an update and supplement pursuant to clause (ii) of this</w:t>
      </w:r>
    </w:p>
    <w:p>
      <w:pPr>
        <w:spacing w:after="0" w:line="2" w:lineRule="exact"/>
        <w:rPr>
          <w:rFonts w:ascii="Arial" w:cs="Arial" w:eastAsia="Arial" w:hAnsi="Arial"/>
          <w:sz w:val="16"/>
          <w:szCs w:val="16"/>
          <w:b w:val="1"/>
          <w:bCs w:val="1"/>
          <w:color w:val="auto"/>
        </w:rPr>
      </w:pPr>
    </w:p>
    <w:p>
      <w:pPr>
        <w:ind w:right="50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84" w:lineRule="exact"/>
        <w:rPr>
          <w:rFonts w:ascii="Arial" w:cs="Arial" w:eastAsia="Arial" w:hAnsi="Arial"/>
          <w:sz w:val="16"/>
          <w:szCs w:val="16"/>
          <w:b w:val="1"/>
          <w:bCs w:val="1"/>
          <w:color w:val="auto"/>
        </w:rPr>
      </w:pPr>
    </w:p>
    <w:p>
      <w:pPr>
        <w:ind w:right="60" w:firstLine="990"/>
        <w:spacing w:after="0" w:line="287" w:lineRule="auto"/>
        <w:tabs>
          <w:tab w:leader="none" w:pos="1244"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Notwithstanding anything in Section 5(b)(iii) to the contrary, in the event that the number of directors in an Expiring Class (as defined below) to be elected to the Board of Directors at the next annual meeting is increased effective after the time period for which nominations would otherwise be due under Section 5(b)(iii) and there is no public announcement by the corporation naming the nominees for the additional directorships at least 100 days before the first anniversary of the preceding year’s annual meeting, a stockholder’s notice required by this Section 5 and that complies with the requirements in Section 5(b)(i), other than the timing requirements in Section 5(b)(iii), shall also be considered timely, but only with respect to nominees for the additional directorships in such Expiring Class, if it shall be received by the Secretary at the principal executive offices of the corporation not later than the close of business on the tenth day following the day on which such public announcement is first made by the corporation. For purposes of this section, an “</w:t>
      </w:r>
      <w:r>
        <w:rPr>
          <w:rFonts w:ascii="Arial" w:cs="Arial" w:eastAsia="Arial" w:hAnsi="Arial"/>
          <w:sz w:val="16"/>
          <w:szCs w:val="16"/>
          <w:b w:val="1"/>
          <w:bCs w:val="1"/>
          <w:i w:val="1"/>
          <w:iCs w:val="1"/>
          <w:color w:val="auto"/>
        </w:rPr>
        <w:t>Expiring Class</w:t>
      </w:r>
      <w:r>
        <w:rPr>
          <w:rFonts w:ascii="Arial" w:cs="Arial" w:eastAsia="Arial" w:hAnsi="Arial"/>
          <w:sz w:val="16"/>
          <w:szCs w:val="16"/>
          <w:color w:val="auto"/>
        </w:rPr>
        <w:t>” shall mean a class of directors whose term shall expire at the next annual meeting of stockholders.</w:t>
      </w:r>
    </w:p>
    <w:p>
      <w:pPr>
        <w:spacing w:after="0" w:line="58" w:lineRule="exact"/>
        <w:rPr>
          <w:rFonts w:ascii="Arial" w:cs="Arial" w:eastAsia="Arial" w:hAnsi="Arial"/>
          <w:sz w:val="16"/>
          <w:szCs w:val="16"/>
          <w:b w:val="1"/>
          <w:bCs w:val="1"/>
          <w:color w:val="auto"/>
        </w:rPr>
      </w:pPr>
    </w:p>
    <w:p>
      <w:pPr>
        <w:ind w:firstLine="990"/>
        <w:spacing w:after="0" w:line="265" w:lineRule="auto"/>
        <w:tabs>
          <w:tab w:leader="none" w:pos="1224" w:val="left"/>
        </w:tabs>
        <w:numPr>
          <w:ilvl w:val="0"/>
          <w:numId w:val="167"/>
        </w:numPr>
        <w:rPr>
          <w:rFonts w:ascii="Arial" w:cs="Arial" w:eastAsia="Arial" w:hAnsi="Arial"/>
          <w:sz w:val="17"/>
          <w:szCs w:val="17"/>
          <w:b w:val="1"/>
          <w:bCs w:val="1"/>
          <w:color w:val="auto"/>
        </w:rPr>
      </w:pPr>
      <w:r>
        <w:rPr>
          <w:rFonts w:ascii="Arial" w:cs="Arial" w:eastAsia="Arial" w:hAnsi="Arial"/>
          <w:sz w:val="17"/>
          <w:szCs w:val="17"/>
          <w:color w:val="auto"/>
        </w:rPr>
        <w:t>A person shall not be eligible for election or re-election as a director at an annual meeting, unless the person is nominated in accordance with either clause (ii) or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 accordance with the procedures set forth in Section 5(b) and Section 5(c), as applicable.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 Notwithstanding the foregoing provisions of this Section 5, unless otherwise required by law, if the stockholder (or a qualified representative of the stockholder) does not appear at the annual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72" w:right="519" w:bottom="1440" w:gutter="0" w:footer="0" w:header="0"/>
        </w:sectPr>
      </w:pPr>
    </w:p>
    <w:bookmarkStart w:id="247" w:name="page248"/>
    <w:bookmarkEnd w:id="247"/>
    <w:p>
      <w:pPr>
        <w:ind w:firstLine="990"/>
        <w:spacing w:after="0" w:line="269" w:lineRule="auto"/>
        <w:tabs>
          <w:tab w:leader="none" w:pos="1205"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Nothing in these Bylaws shall be deemed to affect any rights of stockholders to request inclusion of proposals in the corporation’s proxy statement pursuant to Rule 14a-8 under the 1934 Act;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these Bylaws to the 1934 Act are not intended to and shall not limit the requirements applicable to proposals and/or nominations to be considered pursuant to Section 5(a)(iii). Nothing in these Bylaws shall be deemed to affect any rights of holders of any class or series of preferred stock to nominate and elect directors pursuant to and to the extent provided in any applicable provision of the Certificate of Incorporation.</w:t>
      </w:r>
    </w:p>
    <w:p>
      <w:pPr>
        <w:spacing w:after="0" w:line="71" w:lineRule="exact"/>
        <w:rPr>
          <w:rFonts w:ascii="Arial" w:cs="Arial" w:eastAsia="Arial" w:hAnsi="Arial"/>
          <w:sz w:val="17"/>
          <w:szCs w:val="17"/>
          <w:b w:val="1"/>
          <w:bCs w:val="1"/>
          <w:color w:val="auto"/>
        </w:rPr>
      </w:pPr>
    </w:p>
    <w:p>
      <w:pPr>
        <w:ind w:left="1240" w:hanging="250"/>
        <w:spacing w:after="0"/>
        <w:tabs>
          <w:tab w:leader="none" w:pos="124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 “</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101" w:lineRule="exact"/>
        <w:rPr>
          <w:sz w:val="20"/>
          <w:szCs w:val="20"/>
          <w:color w:val="auto"/>
        </w:rPr>
      </w:pPr>
    </w:p>
    <w:p>
      <w:pPr>
        <w:ind w:left="1680" w:hanging="254"/>
        <w:spacing w:after="0"/>
        <w:tabs>
          <w:tab w:leader="none" w:pos="16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Saturday, Sunday or a day on which banks are closed in New York City, New York;</w:t>
      </w:r>
    </w:p>
    <w:p>
      <w:pPr>
        <w:spacing w:after="0" w:line="136" w:lineRule="exact"/>
        <w:rPr>
          <w:rFonts w:ascii="Arial" w:cs="Arial" w:eastAsia="Arial" w:hAnsi="Arial"/>
          <w:sz w:val="16"/>
          <w:szCs w:val="16"/>
          <w:color w:val="auto"/>
        </w:rPr>
      </w:pPr>
    </w:p>
    <w:p>
      <w:pPr>
        <w:ind w:firstLine="1426"/>
        <w:spacing w:after="0" w:line="271" w:lineRule="auto"/>
        <w:tabs>
          <w:tab w:leader="none" w:pos="17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6:00 p.m. local time at the principal executive offices of the corporation on any calendar day, whether or not the day is a Business Day;</w:t>
      </w:r>
    </w:p>
    <w:p>
      <w:pPr>
        <w:spacing w:after="0" w:line="67" w:lineRule="exact"/>
        <w:rPr>
          <w:rFonts w:ascii="Arial" w:cs="Arial" w:eastAsia="Arial" w:hAnsi="Arial"/>
          <w:sz w:val="18"/>
          <w:szCs w:val="18"/>
          <w:color w:val="auto"/>
        </w:rPr>
      </w:pPr>
    </w:p>
    <w:p>
      <w:pPr>
        <w:ind w:right="160" w:firstLine="1426"/>
        <w:spacing w:after="0" w:line="271" w:lineRule="auto"/>
        <w:tabs>
          <w:tab w:leader="none" w:pos="172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68" w:lineRule="exact"/>
        <w:rPr>
          <w:sz w:val="20"/>
          <w:szCs w:val="20"/>
          <w:color w:val="auto"/>
        </w:rPr>
      </w:pPr>
    </w:p>
    <w:p>
      <w:pPr>
        <w:ind w:left="1420" w:right="700" w:firstLine="6"/>
        <w:spacing w:after="0" w:line="271" w:lineRule="auto"/>
        <w:tabs>
          <w:tab w:leader="none" w:pos="171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value of which is derived in whole or in part from the value of any class or series of shares or other securities of the corporation;</w:t>
      </w:r>
    </w:p>
    <w:p>
      <w:pPr>
        <w:spacing w:after="0" w:line="67" w:lineRule="exact"/>
        <w:rPr>
          <w:rFonts w:ascii="Arial" w:cs="Arial" w:eastAsia="Arial" w:hAnsi="Arial"/>
          <w:sz w:val="18"/>
          <w:szCs w:val="18"/>
          <w:color w:val="auto"/>
        </w:rPr>
      </w:pPr>
    </w:p>
    <w:p>
      <w:pPr>
        <w:ind w:left="1420" w:right="440" w:firstLine="6"/>
        <w:spacing w:after="0" w:line="271" w:lineRule="auto"/>
        <w:tabs>
          <w:tab w:leader="none" w:pos="170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otherwise provides any direct or indirect opportunity to gain or share in any gain derived from a change in the value of securities of the corporation;</w:t>
      </w:r>
    </w:p>
    <w:p>
      <w:pPr>
        <w:spacing w:after="0" w:line="67" w:lineRule="exact"/>
        <w:rPr>
          <w:rFonts w:ascii="Arial" w:cs="Arial" w:eastAsia="Arial" w:hAnsi="Arial"/>
          <w:sz w:val="18"/>
          <w:szCs w:val="18"/>
          <w:color w:val="auto"/>
        </w:rPr>
      </w:pPr>
    </w:p>
    <w:p>
      <w:pPr>
        <w:ind w:left="1420" w:right="640" w:firstLine="6"/>
        <w:spacing w:after="0" w:line="271" w:lineRule="auto"/>
        <w:tabs>
          <w:tab w:leader="none" w:pos="170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from changes in value or price with respect to any securities of the corporation; or</w:t>
      </w:r>
    </w:p>
    <w:p>
      <w:pPr>
        <w:spacing w:after="0" w:line="67" w:lineRule="exact"/>
        <w:rPr>
          <w:rFonts w:ascii="Arial" w:cs="Arial" w:eastAsia="Arial" w:hAnsi="Arial"/>
          <w:sz w:val="18"/>
          <w:szCs w:val="18"/>
          <w:color w:val="auto"/>
        </w:rPr>
      </w:pPr>
    </w:p>
    <w:p>
      <w:pPr>
        <w:ind w:left="1420" w:right="180" w:firstLine="6"/>
        <w:spacing w:after="0" w:line="271" w:lineRule="auto"/>
        <w:tabs>
          <w:tab w:leader="none" w:pos="171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provides the right to vote or increase or decrease the voting power of, such Proponent, or any of its affiliates or associates, directly or indirectly, with respect to any securities of the corporation,</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69" w:lineRule="exact"/>
        <w:rPr>
          <w:sz w:val="20"/>
          <w:szCs w:val="20"/>
          <w:color w:val="auto"/>
        </w:rPr>
      </w:pPr>
    </w:p>
    <w:p>
      <w:pPr>
        <w:ind w:right="180" w:firstLine="1426"/>
        <w:spacing w:after="0" w:line="275" w:lineRule="auto"/>
        <w:tabs>
          <w:tab w:leader="none" w:pos="167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6. Special Meetings.</w:t>
      </w:r>
    </w:p>
    <w:p>
      <w:pPr>
        <w:spacing w:after="0" w:line="118" w:lineRule="exact"/>
        <w:rPr>
          <w:sz w:val="20"/>
          <w:szCs w:val="20"/>
          <w:color w:val="auto"/>
        </w:rPr>
      </w:pPr>
    </w:p>
    <w:p>
      <w:pPr>
        <w:ind w:right="240" w:firstLine="990"/>
        <w:spacing w:after="0" w:line="281" w:lineRule="auto"/>
        <w:tabs>
          <w:tab w:leader="none" w:pos="1234"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The corporation may postpone, reschedule or cancel any special meeting of stockholders previously scheduled by the Board of Directors.</w:t>
      </w:r>
    </w:p>
    <w:p>
      <w:pPr>
        <w:spacing w:after="0" w:line="62" w:lineRule="exact"/>
        <w:rPr>
          <w:rFonts w:ascii="Arial" w:cs="Arial" w:eastAsia="Arial" w:hAnsi="Arial"/>
          <w:sz w:val="17"/>
          <w:szCs w:val="17"/>
          <w:b w:val="1"/>
          <w:bCs w:val="1"/>
          <w:color w:val="auto"/>
        </w:rPr>
      </w:pPr>
    </w:p>
    <w:p>
      <w:pPr>
        <w:ind w:firstLine="990"/>
        <w:spacing w:after="0" w:line="281" w:lineRule="auto"/>
        <w:tabs>
          <w:tab w:leader="none" w:pos="1244"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spacing w:after="0" w:line="62" w:lineRule="exact"/>
        <w:rPr>
          <w:rFonts w:ascii="Arial" w:cs="Arial" w:eastAsia="Arial" w:hAnsi="Arial"/>
          <w:sz w:val="17"/>
          <w:szCs w:val="17"/>
          <w:b w:val="1"/>
          <w:bCs w:val="1"/>
          <w:color w:val="auto"/>
        </w:rPr>
      </w:pPr>
    </w:p>
    <w:p>
      <w:pPr>
        <w:ind w:firstLine="990"/>
        <w:spacing w:after="0" w:line="280" w:lineRule="auto"/>
        <w:tabs>
          <w:tab w:leader="none" w:pos="1224"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(i) by or at the direction of the Board of Directors or a duly authorized committee thereof or (ii) provided that the Board of Directors has determined that directors shall be elected at such meeting,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 meeting and who delivers written notice to the Secretary of the corporation setting forth the information required by Sections 5(b)(i) and 5(b)(iv).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w:t>
      </w:r>
    </w:p>
    <w:p>
      <w:pPr>
        <w:spacing w:after="0" w:line="4" w:lineRule="exact"/>
        <w:rPr>
          <w:rFonts w:ascii="Arial" w:cs="Arial" w:eastAsia="Arial" w:hAnsi="Arial"/>
          <w:sz w:val="16"/>
          <w:szCs w:val="16"/>
          <w:b w:val="1"/>
          <w:bCs w:val="1"/>
          <w:color w:val="auto"/>
        </w:rPr>
      </w:pPr>
    </w:p>
    <w:p>
      <w:pPr>
        <w:ind w:right="20" w:firstLine="7"/>
        <w:spacing w:after="0" w:line="267" w:lineRule="auto"/>
        <w:tabs>
          <w:tab w:leader="none" w:pos="30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shall be received by the Secretary at the principal executive offices of the corporation not earlier than 120 days prior to such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person shall not be eligible for election or re-election as a director at the special meeting unless the person is nominated either in accordance with clause (i) or clause (ii) of this Section 6(c). Except as otherwise required by applicable law, the chairperson of the meeting shall have the power and duty to determine whether a nomination was made in accordance with the procedures set forth in these Bylaws and, if any proposed nomination or business is not in compliance with these Bylaws, or if the Proponent does not act in accordance with the representations in Sections 5(b)(iv)(D) and 5(b)(iv)(E), to declare that such nomination shall not be presented for stockholder action at the meeting and shall be disregarded, notwithstanding that proxies in respect of such nomination may have been solicited or received. Notwithstanding the foregoing provisions of this Section 6, unless otherwise required by law, if the stockholder (or a qualified representative of the stockholder (meeting the requirements specified in Section 5(e))) does not appear at the special meeting of stockholders of the corporation to present a nomination, such nomination shall be disregarded, notwithstanding that proxies in respect of such vote may have been received by the corporation.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68" w:right="519" w:bottom="1440" w:gutter="0" w:footer="0" w:header="0"/>
        </w:sectPr>
      </w:pPr>
    </w:p>
    <w:bookmarkStart w:id="249" w:name="page250"/>
    <w:bookmarkEnd w:id="249"/>
    <w:p>
      <w:pPr>
        <w:ind w:right="40" w:firstLine="990"/>
        <w:spacing w:after="0" w:line="253" w:lineRule="auto"/>
        <w:tabs>
          <w:tab w:leader="none" w:pos="1244"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Notwithstanding the foregoing provisions of this Section 6, a stockholder must also comply with all applicable requirements of the 1934 Act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these Bylaws to the 1934 Act are not intended to and shall not limit the requirements applicable to nominations for the election to the Board of Directors to be considered pursuant to Section 6(c).</w:t>
      </w:r>
    </w:p>
    <w:p>
      <w:pPr>
        <w:spacing w:after="0" w:line="189"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b w:val="1"/>
          <w:bCs w:val="1"/>
          <w:color w:val="auto"/>
        </w:rPr>
        <w:t xml:space="preserve">Section 7. Notice of Meetings. </w:t>
      </w:r>
      <w:r>
        <w:rPr>
          <w:rFonts w:ascii="Arial" w:cs="Arial" w:eastAsia="Arial" w:hAnsi="Arial"/>
          <w:sz w:val="16"/>
          <w:szCs w:val="16"/>
          <w:color w:val="auto"/>
        </w:rPr>
        <w:t>Except as otherwise provided by applicable law, notice, given in writing or by electronic transmission,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stockholders shall be given not less than ten nor more than 60 days before the date of the meeting to each stockholder entitled to vote at such meeting.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delivered by courier service, the notice is given on the earlier of when the notice is received or left at the stockholder’s address. If sent via electronic mail, notice is given when directed to such stockholder’s electronic mail address in accordance with applicable law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69" w:lineRule="exact"/>
        <w:rPr>
          <w:sz w:val="20"/>
          <w:szCs w:val="20"/>
          <w:color w:val="auto"/>
        </w:rPr>
      </w:pPr>
    </w:p>
    <w:p>
      <w:pPr>
        <w:ind w:right="60" w:firstLine="436"/>
        <w:spacing w:after="0" w:line="289" w:lineRule="auto"/>
        <w:rPr>
          <w:sz w:val="20"/>
          <w:szCs w:val="20"/>
          <w:color w:val="auto"/>
        </w:rPr>
      </w:pPr>
      <w:r>
        <w:rPr>
          <w:rFonts w:ascii="Arial" w:cs="Arial" w:eastAsia="Arial" w:hAnsi="Arial"/>
          <w:sz w:val="16"/>
          <w:szCs w:val="16"/>
          <w:b w:val="1"/>
          <w:bCs w:val="1"/>
          <w:color w:val="auto"/>
        </w:rPr>
        <w:t xml:space="preserve">Section 8. Quorum and Vote Required. </w:t>
      </w:r>
      <w:r>
        <w:rPr>
          <w:rFonts w:ascii="Arial" w:cs="Arial" w:eastAsia="Arial" w:hAnsi="Arial"/>
          <w:sz w:val="16"/>
          <w:szCs w:val="16"/>
          <w:color w:val="auto"/>
        </w:rPr>
        <w:t>At all meetings of stockholders, except where otherwise provided by statute or by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or by 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250" w:name="page251"/>
    <w:bookmarkEnd w:id="250"/>
    <w:p>
      <w:pPr>
        <w:ind w:right="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in the election of directors. Where a separate vote by a class or classes or series is required, except where otherwise provided by statute or by the Certificate of Incorporation or these Bylaws or any applicable stock exchange rules, the holders of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175"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b w:val="1"/>
          <w:bCs w:val="1"/>
          <w:color w:val="auto"/>
        </w:rPr>
        <w:t xml:space="preserve">Section 9. Adjournment and Notice of Adjourned Meetings. </w:t>
      </w:r>
      <w:r>
        <w:rPr>
          <w:rFonts w:ascii="Arial" w:cs="Arial" w:eastAsia="Arial" w:hAnsi="Arial"/>
          <w:sz w:val="17"/>
          <w:szCs w:val="17"/>
          <w:color w:val="auto"/>
        </w:rPr>
        <w:t>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2" w:lineRule="exact"/>
        <w:rPr>
          <w:sz w:val="20"/>
          <w:szCs w:val="20"/>
          <w:color w:val="auto"/>
        </w:rPr>
      </w:pPr>
    </w:p>
    <w:p>
      <w:pPr>
        <w:ind w:right="60" w:firstLine="436"/>
        <w:spacing w:after="0" w:line="287"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or adjournment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166" w:lineRule="exact"/>
        <w:rPr>
          <w:sz w:val="20"/>
          <w:szCs w:val="20"/>
          <w:color w:val="auto"/>
        </w:rPr>
      </w:pPr>
    </w:p>
    <w:p>
      <w:pPr>
        <w:ind w:right="40" w:firstLine="436"/>
        <w:spacing w:after="0" w:line="294" w:lineRule="auto"/>
        <w:rPr>
          <w:sz w:val="20"/>
          <w:szCs w:val="20"/>
          <w:color w:val="auto"/>
        </w:rPr>
      </w:pPr>
      <w:r>
        <w:rPr>
          <w:rFonts w:ascii="Arial" w:cs="Arial" w:eastAsia="Arial" w:hAnsi="Arial"/>
          <w:sz w:val="16"/>
          <w:szCs w:val="16"/>
          <w:b w:val="1"/>
          <w:bCs w:val="1"/>
          <w:color w:val="auto"/>
        </w:rPr>
        <w:t xml:space="preserve">Section 11. Joint Owners of Stock. </w:t>
      </w:r>
      <w:r>
        <w:rPr>
          <w:rFonts w:ascii="Arial" w:cs="Arial" w:eastAsia="Arial" w:hAnsi="Arial"/>
          <w:sz w:val="16"/>
          <w:szCs w:val="16"/>
          <w:color w:val="auto"/>
        </w:rPr>
        <w:t>If shares or other securities having voting power stand of record in the names of two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(c) if more than one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72" w:right="519" w:bottom="1440" w:gutter="0" w:footer="0" w:header="0"/>
        </w:sectPr>
      </w:pPr>
    </w:p>
    <w:bookmarkStart w:id="251" w:name="page252"/>
    <w:bookmarkEnd w:id="251"/>
    <w:p>
      <w:pPr>
        <w:jc w:val="both"/>
        <w:ind w:right="2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165" w:lineRule="exact"/>
        <w:rPr>
          <w:sz w:val="20"/>
          <w:szCs w:val="20"/>
          <w:color w:val="auto"/>
        </w:rPr>
      </w:pPr>
    </w:p>
    <w:p>
      <w:pPr>
        <w:ind w:right="60" w:firstLine="436"/>
        <w:spacing w:after="0" w:line="268" w:lineRule="auto"/>
        <w:rPr>
          <w:sz w:val="20"/>
          <w:szCs w:val="20"/>
          <w:color w:val="auto"/>
        </w:rPr>
      </w:pPr>
      <w:r>
        <w:rPr>
          <w:rFonts w:ascii="Arial" w:cs="Arial" w:eastAsia="Arial" w:hAnsi="Arial"/>
          <w:sz w:val="17"/>
          <w:szCs w:val="17"/>
          <w:b w:val="1"/>
          <w:bCs w:val="1"/>
          <w:color w:val="auto"/>
        </w:rPr>
        <w:t xml:space="preserve">Section 12. List of Stockholders. </w:t>
      </w:r>
      <w:r>
        <w:rPr>
          <w:rFonts w:ascii="Arial" w:cs="Arial" w:eastAsia="Arial" w:hAnsi="Arial"/>
          <w:sz w:val="17"/>
          <w:szCs w:val="17"/>
          <w:color w:val="auto"/>
        </w:rPr>
        <w:t>The corporation shall prepare, at least ten days before every meeting of stockholders, a complete list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applicable law.</w:t>
      </w:r>
    </w:p>
    <w:p>
      <w:pPr>
        <w:spacing w:after="0" w:line="175"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8"/>
          <w:szCs w:val="18"/>
          <w:b w:val="1"/>
          <w:bCs w:val="1"/>
          <w:color w:val="auto"/>
        </w:rPr>
        <w:t xml:space="preserve">Section 13. Action without Meeting. </w:t>
      </w:r>
      <w:r>
        <w:rPr>
          <w:rFonts w:ascii="Arial" w:cs="Arial" w:eastAsia="Arial" w:hAnsi="Arial"/>
          <w:sz w:val="18"/>
          <w:szCs w:val="18"/>
          <w:color w:val="auto"/>
        </w:rPr>
        <w:t>Subject to the rights of the holders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an annual or special meeting of stockholders duly called in accordance with these Bylaws, and no action shall be taken by the stockholders by written consent.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 Remote Communication; Delivery to the Corporation.</w:t>
      </w:r>
    </w:p>
    <w:p>
      <w:pPr>
        <w:spacing w:after="0" w:line="118" w:lineRule="exact"/>
        <w:rPr>
          <w:sz w:val="20"/>
          <w:szCs w:val="20"/>
          <w:color w:val="auto"/>
        </w:rPr>
      </w:pPr>
    </w:p>
    <w:p>
      <w:pPr>
        <w:ind w:right="440" w:firstLine="990"/>
        <w:spacing w:after="0" w:line="301" w:lineRule="auto"/>
        <w:tabs>
          <w:tab w:leader="none" w:pos="1234" w:val="left"/>
        </w:tabs>
        <w:numPr>
          <w:ilvl w:val="0"/>
          <w:numId w:val="175"/>
        </w:numPr>
        <w:rPr>
          <w:rFonts w:ascii="Arial" w:cs="Arial" w:eastAsia="Arial" w:hAnsi="Arial"/>
          <w:sz w:val="17"/>
          <w:szCs w:val="17"/>
          <w:b w:val="1"/>
          <w:bCs w:val="1"/>
          <w:color w:val="auto"/>
        </w:rPr>
      </w:pPr>
      <w:r>
        <w:rPr>
          <w:rFonts w:ascii="Arial" w:cs="Arial" w:eastAsia="Arial" w:hAnsi="Arial"/>
          <w:sz w:val="17"/>
          <w:szCs w:val="17"/>
          <w:color w:val="auto"/>
        </w:rPr>
        <w:t>For the purposes of these Bylaws, if authorized by the Board of Directors in its sole discretion, and subject to such guidelines and procedures as the Board of Directors may adopt, stockholders and proxyholders may, by means of remote communication:</w:t>
      </w:r>
    </w:p>
    <w:p>
      <w:pPr>
        <w:spacing w:after="0" w:line="44" w:lineRule="exact"/>
        <w:rPr>
          <w:rFonts w:ascii="Arial" w:cs="Arial" w:eastAsia="Arial" w:hAnsi="Arial"/>
          <w:sz w:val="17"/>
          <w:szCs w:val="17"/>
          <w:b w:val="1"/>
          <w:bCs w:val="1"/>
          <w:color w:val="auto"/>
        </w:rPr>
      </w:pPr>
    </w:p>
    <w:p>
      <w:pPr>
        <w:ind w:left="1640" w:hanging="214"/>
        <w:spacing w:after="0"/>
        <w:tabs>
          <w:tab w:leader="none" w:pos="16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3" w:lineRule="exact"/>
        <w:rPr>
          <w:rFonts w:ascii="Arial" w:cs="Arial" w:eastAsia="Arial" w:hAnsi="Arial"/>
          <w:sz w:val="18"/>
          <w:szCs w:val="18"/>
          <w:color w:val="auto"/>
        </w:rPr>
      </w:pPr>
    </w:p>
    <w:p>
      <w:pPr>
        <w:ind w:right="80" w:firstLine="1426"/>
        <w:spacing w:after="0" w:line="269" w:lineRule="auto"/>
        <w:tabs>
          <w:tab w:leader="none" w:pos="1681" w:val="left"/>
        </w:tabs>
        <w:numPr>
          <w:ilvl w:val="1"/>
          <w:numId w:val="175"/>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(1) the corporation shall implement reasonable measures to verify that each person deemed present and permitted to vote at the meeting by means of remote communication is a stockholder or proxyholder, (2)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(3) if any stockholder or proxyholder votes or takes other action at the meeting by means of remote communication, a record of such vote or other action shall be maintained by the corporation.</w:t>
      </w:r>
    </w:p>
    <w:p>
      <w:pPr>
        <w:spacing w:after="0" w:line="71" w:lineRule="exact"/>
        <w:rPr>
          <w:rFonts w:ascii="Arial" w:cs="Arial" w:eastAsia="Arial" w:hAnsi="Arial"/>
          <w:sz w:val="17"/>
          <w:szCs w:val="17"/>
          <w:color w:val="auto"/>
        </w:rPr>
      </w:pPr>
    </w:p>
    <w:p>
      <w:pPr>
        <w:ind w:right="40" w:firstLine="990"/>
        <w:spacing w:after="0" w:line="255" w:lineRule="auto"/>
        <w:tabs>
          <w:tab w:leader="none" w:pos="1244"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Whenever this Article III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252" w:name="page253"/>
    <w:bookmarkEnd w:id="252"/>
    <w:p>
      <w:pPr>
        <w:ind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under the Certificate of Incorporation, these Bylaws or the DGCL, to the fullest extent permitted by law, the corporation expressly opts out of Section 116 of the DGCL.</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15. Organization.</w:t>
      </w:r>
    </w:p>
    <w:p>
      <w:pPr>
        <w:spacing w:after="0" w:line="118" w:lineRule="exact"/>
        <w:rPr>
          <w:sz w:val="20"/>
          <w:szCs w:val="20"/>
          <w:color w:val="auto"/>
        </w:rPr>
      </w:pPr>
    </w:p>
    <w:p>
      <w:pPr>
        <w:ind w:firstLine="990"/>
        <w:spacing w:after="0" w:line="288" w:lineRule="auto"/>
        <w:tabs>
          <w:tab w:leader="none" w:pos="1234"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59" w:lineRule="exact"/>
        <w:rPr>
          <w:rFonts w:ascii="Arial" w:cs="Arial" w:eastAsia="Arial" w:hAnsi="Arial"/>
          <w:sz w:val="16"/>
          <w:szCs w:val="16"/>
          <w:b w:val="1"/>
          <w:bCs w:val="1"/>
          <w:color w:val="auto"/>
        </w:rPr>
      </w:pPr>
    </w:p>
    <w:p>
      <w:pPr>
        <w:ind w:firstLine="990"/>
        <w:spacing w:after="0" w:line="284" w:lineRule="auto"/>
        <w:tabs>
          <w:tab w:leader="none" w:pos="1244" w:val="left"/>
        </w:tabs>
        <w:numPr>
          <w:ilvl w:val="0"/>
          <w:numId w:val="176"/>
        </w:numPr>
        <w:rPr>
          <w:rFonts w:ascii="Arial" w:cs="Arial" w:eastAsia="Arial" w:hAnsi="Arial"/>
          <w:sz w:val="16"/>
          <w:szCs w:val="16"/>
          <w:b w:val="1"/>
          <w:bCs w:val="1"/>
          <w:color w:val="auto"/>
        </w:rPr>
      </w:pPr>
      <w:r>
        <w:rPr>
          <w:rFonts w:ascii="Arial" w:cs="Arial" w:eastAsia="Arial" w:hAnsi="Arial"/>
          <w:sz w:val="16"/>
          <w:szCs w:val="16"/>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p>
      <w:pPr>
        <w:jc w:val="both"/>
        <w:ind w:right="80" w:firstLine="436"/>
        <w:spacing w:after="0" w:line="257" w:lineRule="auto"/>
        <w:rPr>
          <w:sz w:val="20"/>
          <w:szCs w:val="20"/>
          <w:color w:val="auto"/>
        </w:rPr>
      </w:pPr>
      <w:r>
        <w:rPr>
          <w:rFonts w:ascii="Arial" w:cs="Arial" w:eastAsia="Arial" w:hAnsi="Arial"/>
          <w:sz w:val="18"/>
          <w:szCs w:val="18"/>
          <w:b w:val="1"/>
          <w:bCs w:val="1"/>
          <w:color w:val="auto"/>
        </w:rPr>
        <w:t xml:space="preserve">Section 16. Number and Term of Office. </w:t>
      </w:r>
      <w:r>
        <w:rPr>
          <w:rFonts w:ascii="Arial" w:cs="Arial" w:eastAsia="Arial" w:hAnsi="Arial"/>
          <w:sz w:val="18"/>
          <w:szCs w:val="18"/>
          <w:color w:val="auto"/>
        </w:rPr>
        <w:t>The authorized number of directors of the corporation shall be fixed in accordance with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3" w:lineRule="exact"/>
        <w:rPr>
          <w:sz w:val="20"/>
          <w:szCs w:val="20"/>
          <w:color w:val="auto"/>
        </w:rPr>
      </w:pPr>
    </w:p>
    <w:p>
      <w:pPr>
        <w:ind w:right="220" w:firstLine="436"/>
        <w:spacing w:after="0" w:line="275" w:lineRule="auto"/>
        <w:rPr>
          <w:sz w:val="20"/>
          <w:szCs w:val="20"/>
          <w:color w:val="auto"/>
        </w:rPr>
      </w:pPr>
      <w:r>
        <w:rPr>
          <w:rFonts w:ascii="Arial" w:cs="Arial" w:eastAsia="Arial" w:hAnsi="Arial"/>
          <w:sz w:val="18"/>
          <w:szCs w:val="18"/>
          <w:b w:val="1"/>
          <w:bCs w:val="1"/>
          <w:color w:val="auto"/>
        </w:rPr>
        <w:t xml:space="preserve">Section 17. Powers. </w:t>
      </w:r>
      <w:r>
        <w:rPr>
          <w:rFonts w:ascii="Arial" w:cs="Arial" w:eastAsia="Arial" w:hAnsi="Arial"/>
          <w:sz w:val="18"/>
          <w:szCs w:val="18"/>
          <w:color w:val="auto"/>
        </w:rPr>
        <w:t>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the Certificate of Incorporation or the DGCL.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72" w:right="519" w:bottom="1440" w:gutter="0" w:footer="0" w:header="0"/>
        </w:sectPr>
      </w:pPr>
    </w:p>
    <w:bookmarkStart w:id="253" w:name="page254"/>
    <w:bookmarkEnd w:id="25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18. Terms of Directors. </w:t>
      </w:r>
      <w:r>
        <w:rPr>
          <w:rFonts w:ascii="Arial" w:cs="Arial" w:eastAsia="Arial" w:hAnsi="Arial"/>
          <w:sz w:val="18"/>
          <w:szCs w:val="18"/>
          <w:color w:val="auto"/>
        </w:rPr>
        <w:t>The terms of directors shall be as set forth in the Certificate of Incorporation.</w:t>
      </w:r>
    </w:p>
    <w:p>
      <w:pPr>
        <w:spacing w:after="0" w:line="221" w:lineRule="exact"/>
        <w:rPr>
          <w:sz w:val="20"/>
          <w:szCs w:val="20"/>
          <w:color w:val="auto"/>
        </w:rPr>
      </w:pPr>
    </w:p>
    <w:p>
      <w:pPr>
        <w:ind w:right="600" w:firstLine="436"/>
        <w:spacing w:after="0" w:line="257" w:lineRule="auto"/>
        <w:rPr>
          <w:sz w:val="20"/>
          <w:szCs w:val="20"/>
          <w:color w:val="auto"/>
        </w:rPr>
      </w:pPr>
      <w:r>
        <w:rPr>
          <w:rFonts w:ascii="Arial" w:cs="Arial" w:eastAsia="Arial" w:hAnsi="Arial"/>
          <w:sz w:val="18"/>
          <w:szCs w:val="18"/>
          <w:b w:val="1"/>
          <w:bCs w:val="1"/>
          <w:color w:val="auto"/>
        </w:rPr>
        <w:t xml:space="preserve">Section 19. Vacancies. </w:t>
      </w:r>
      <w:r>
        <w:rPr>
          <w:rFonts w:ascii="Arial" w:cs="Arial" w:eastAsia="Arial" w:hAnsi="Arial"/>
          <w:sz w:val="18"/>
          <w:szCs w:val="18"/>
          <w:color w:val="auto"/>
        </w:rPr>
        <w:t>Vacancies and newly created directorships on the Board of Directors shall be filled as set forth in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spacing w:after="0" w:line="2" w:lineRule="exact"/>
        <w:rPr>
          <w:sz w:val="20"/>
          <w:szCs w:val="20"/>
          <w:color w:val="auto"/>
        </w:rPr>
      </w:pPr>
    </w:p>
    <w:p>
      <w:pPr>
        <w:ind w:firstLine="436"/>
        <w:spacing w:after="0" w:line="249" w:lineRule="auto"/>
        <w:rPr>
          <w:sz w:val="20"/>
          <w:szCs w:val="20"/>
          <w:color w:val="auto"/>
        </w:rPr>
      </w:pPr>
      <w:r>
        <w:rPr>
          <w:rFonts w:ascii="Arial" w:cs="Arial" w:eastAsia="Arial" w:hAnsi="Arial"/>
          <w:sz w:val="18"/>
          <w:szCs w:val="18"/>
          <w:b w:val="1"/>
          <w:bCs w:val="1"/>
          <w:color w:val="auto"/>
        </w:rPr>
        <w:t xml:space="preserve">Section 20. Resignation. </w:t>
      </w:r>
      <w:r>
        <w:rPr>
          <w:rFonts w:ascii="Arial" w:cs="Arial" w:eastAsia="Arial" w:hAnsi="Arial"/>
          <w:sz w:val="18"/>
          <w:szCs w:val="18"/>
          <w:color w:val="auto"/>
        </w:rPr>
        <w:t>Any director may resign at any time by delivering his or her notice in writing or by electronic transmission to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even if less than a quorum,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21. Removal. </w:t>
      </w:r>
      <w:r>
        <w:rPr>
          <w:rFonts w:ascii="Arial" w:cs="Arial" w:eastAsia="Arial" w:hAnsi="Arial"/>
          <w:sz w:val="18"/>
          <w:szCs w:val="18"/>
          <w:color w:val="auto"/>
        </w:rPr>
        <w:t>Directors shall be removed as set forth in the Certificate of Incorporation.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Meetings.</w:t>
      </w:r>
    </w:p>
    <w:p>
      <w:pPr>
        <w:spacing w:after="0" w:line="114" w:lineRule="exact"/>
        <w:rPr>
          <w:sz w:val="20"/>
          <w:szCs w:val="20"/>
          <w:color w:val="auto"/>
        </w:rPr>
      </w:pPr>
    </w:p>
    <w:p>
      <w:pPr>
        <w:ind w:right="120" w:firstLine="990"/>
        <w:spacing w:after="0" w:line="299" w:lineRule="auto"/>
        <w:tabs>
          <w:tab w:leader="none" w:pos="1234"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Regular Meetings. </w:t>
      </w:r>
      <w:r>
        <w:rPr>
          <w:rFonts w:ascii="Arial" w:cs="Arial" w:eastAsia="Arial" w:hAnsi="Arial"/>
          <w:sz w:val="16"/>
          <w:szCs w:val="16"/>
          <w:color w:val="auto"/>
        </w:rPr>
        <w:t>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46" w:lineRule="exact"/>
        <w:rPr>
          <w:rFonts w:ascii="Arial" w:cs="Arial" w:eastAsia="Arial" w:hAnsi="Arial"/>
          <w:sz w:val="16"/>
          <w:szCs w:val="16"/>
          <w:b w:val="1"/>
          <w:bCs w:val="1"/>
          <w:color w:val="auto"/>
        </w:rPr>
      </w:pPr>
    </w:p>
    <w:p>
      <w:pPr>
        <w:ind w:right="180" w:firstLine="990"/>
        <w:spacing w:after="0" w:line="261" w:lineRule="auto"/>
        <w:tabs>
          <w:tab w:leader="none" w:pos="1244"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as designated and called by the Chairperson of the Board of Directors, the Chief Executive Officer or the Board of Directors.</w:t>
      </w:r>
    </w:p>
    <w:p>
      <w:pPr>
        <w:spacing w:after="0" w:line="73" w:lineRule="exact"/>
        <w:rPr>
          <w:rFonts w:ascii="Arial" w:cs="Arial" w:eastAsia="Arial" w:hAnsi="Arial"/>
          <w:sz w:val="18"/>
          <w:szCs w:val="18"/>
          <w:b w:val="1"/>
          <w:bCs w:val="1"/>
          <w:color w:val="auto"/>
        </w:rPr>
      </w:pPr>
    </w:p>
    <w:p>
      <w:pPr>
        <w:ind w:right="340" w:firstLine="990"/>
        <w:spacing w:after="0" w:line="309" w:lineRule="auto"/>
        <w:tabs>
          <w:tab w:leader="none" w:pos="1224"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38" w:lineRule="exact"/>
        <w:rPr>
          <w:rFonts w:ascii="Arial" w:cs="Arial" w:eastAsia="Arial" w:hAnsi="Arial"/>
          <w:sz w:val="16"/>
          <w:szCs w:val="16"/>
          <w:b w:val="1"/>
          <w:bCs w:val="1"/>
          <w:color w:val="auto"/>
        </w:rPr>
      </w:pPr>
    </w:p>
    <w:p>
      <w:pPr>
        <w:jc w:val="both"/>
        <w:ind w:right="20" w:firstLine="990"/>
        <w:spacing w:after="0" w:line="277" w:lineRule="auto"/>
        <w:tabs>
          <w:tab w:leader="none" w:pos="1244"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if any, of all special meetings of the Board of Directors shall be transmitted</w:t>
      </w:r>
      <w:r>
        <w:rPr>
          <w:rFonts w:ascii="Arial" w:cs="Arial" w:eastAsia="Arial" w:hAnsi="Arial"/>
          <w:sz w:val="17"/>
          <w:szCs w:val="17"/>
          <w:b w:val="1"/>
          <w:bCs w:val="1"/>
          <w:color w:val="auto"/>
        </w:rPr>
        <w:t xml:space="preserve"> </w:t>
      </w:r>
      <w:r>
        <w:rPr>
          <w:rFonts w:ascii="Arial" w:cs="Arial" w:eastAsia="Arial" w:hAnsi="Arial"/>
          <w:sz w:val="17"/>
          <w:szCs w:val="17"/>
          <w:color w:val="auto"/>
        </w:rPr>
        <w:t>orally or in writing, by telephone, including a voice messaging system or other system or technology designed to record and communicate messages, or by electronic mail or other electronic means, during normal business hours, at least 24 hours before the meeting. If notice is sent by U.S. mail, it shall be sent by first class mail, postage prepaid, at least three days before the date of the meeting.</w:t>
      </w:r>
    </w:p>
    <w:p>
      <w:pPr>
        <w:spacing w:after="0" w:line="60" w:lineRule="exact"/>
        <w:rPr>
          <w:rFonts w:ascii="Arial" w:cs="Arial" w:eastAsia="Arial" w:hAnsi="Arial"/>
          <w:sz w:val="17"/>
          <w:szCs w:val="17"/>
          <w:b w:val="1"/>
          <w:bCs w:val="1"/>
          <w:color w:val="auto"/>
        </w:rPr>
      </w:pPr>
    </w:p>
    <w:p>
      <w:pPr>
        <w:ind w:right="160" w:firstLine="990"/>
        <w:spacing w:after="0" w:line="289" w:lineRule="auto"/>
        <w:tabs>
          <w:tab w:leader="none" w:pos="1224"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Notice of any meeting of the Board of Directors may be waived in writing, or by electronic transmission,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80" w:top="268" w:right="519" w:bottom="1440" w:gutter="0" w:footer="0" w:header="0"/>
        </w:sectPr>
      </w:pPr>
    </w:p>
    <w:bookmarkStart w:id="254" w:name="page255"/>
    <w:bookmarkEnd w:id="25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23. Quorum and Voting.</w:t>
      </w:r>
    </w:p>
    <w:p>
      <w:pPr>
        <w:spacing w:after="0" w:line="118" w:lineRule="exact"/>
        <w:rPr>
          <w:sz w:val="20"/>
          <w:szCs w:val="20"/>
          <w:color w:val="auto"/>
        </w:rPr>
      </w:pPr>
    </w:p>
    <w:p>
      <w:pPr>
        <w:ind w:right="160" w:firstLine="990"/>
        <w:spacing w:after="0" w:line="270" w:lineRule="auto"/>
        <w:tabs>
          <w:tab w:leader="none" w:pos="1234"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Unless the Certificate of Incorporation requires a greater number, and except with respect to questions related to indemnification arising under Section 46 for which a quorum shall be one-third of the authorized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authorized number of directors fixed from time to time by the Board of Directors in accordance with the Certificate of Incorporation. At any meeting whether a quorum be present or otherwise, a majority of the directors present may adjourn from time to time, without notice other than by announcement at the meeting.</w:t>
      </w:r>
    </w:p>
    <w:p>
      <w:pPr>
        <w:spacing w:after="0" w:line="71" w:lineRule="exact"/>
        <w:rPr>
          <w:rFonts w:ascii="Arial" w:cs="Arial" w:eastAsia="Arial" w:hAnsi="Arial"/>
          <w:sz w:val="17"/>
          <w:szCs w:val="17"/>
          <w:b w:val="1"/>
          <w:bCs w:val="1"/>
          <w:color w:val="auto"/>
        </w:rPr>
      </w:pPr>
    </w:p>
    <w:p>
      <w:pPr>
        <w:ind w:right="400" w:firstLine="990"/>
        <w:spacing w:after="0" w:line="259" w:lineRule="auto"/>
        <w:tabs>
          <w:tab w:leader="none" w:pos="1244"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At each meeting of the Board of Directors at which a quorum is present, all questions and business shall be determined by the affirmative vote of a majority of the directors present, unless a different vote be required by applicable law, the Certificate of Incorporation or these Bylaws.</w:t>
      </w:r>
    </w:p>
    <w:p>
      <w:pPr>
        <w:spacing w:after="0" w:line="182" w:lineRule="exact"/>
        <w:rPr>
          <w:sz w:val="20"/>
          <w:szCs w:val="20"/>
          <w:color w:val="auto"/>
        </w:rPr>
      </w:pPr>
    </w:p>
    <w:p>
      <w:pPr>
        <w:ind w:right="20" w:firstLine="436"/>
        <w:spacing w:after="0" w:line="273" w:lineRule="auto"/>
        <w:rPr>
          <w:sz w:val="20"/>
          <w:szCs w:val="20"/>
          <w:color w:val="auto"/>
        </w:rPr>
      </w:pPr>
      <w:r>
        <w:rPr>
          <w:rFonts w:ascii="Arial" w:cs="Arial" w:eastAsia="Arial" w:hAnsi="Arial"/>
          <w:sz w:val="17"/>
          <w:szCs w:val="17"/>
          <w:b w:val="1"/>
          <w:bCs w:val="1"/>
          <w:color w:val="auto"/>
        </w:rPr>
        <w:t xml:space="preserve">Section 24.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After an action is taken,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172"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b w:val="1"/>
          <w:bCs w:val="1"/>
          <w:color w:val="auto"/>
        </w:rPr>
        <w:t xml:space="preserve">Section 25. Fees and Compensation. </w:t>
      </w:r>
      <w:r>
        <w:rPr>
          <w:rFonts w:ascii="Arial" w:cs="Arial" w:eastAsia="Arial" w:hAnsi="Arial"/>
          <w:sz w:val="18"/>
          <w:szCs w:val="18"/>
          <w:color w:val="auto"/>
        </w:rPr>
        <w:t>Directors shall be entitled to such compensation for their services on the Board of Directors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thereof as may be approved by the Board of 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including, without limitation, a fixed sum and reimbursement of expenses incurred,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26. Committees.</w:t>
      </w:r>
    </w:p>
    <w:p>
      <w:pPr>
        <w:spacing w:after="0" w:line="114" w:lineRule="exact"/>
        <w:rPr>
          <w:sz w:val="20"/>
          <w:szCs w:val="20"/>
          <w:color w:val="auto"/>
        </w:rPr>
      </w:pPr>
    </w:p>
    <w:p>
      <w:pPr>
        <w:ind w:right="20" w:firstLine="990"/>
        <w:spacing w:after="0" w:line="284" w:lineRule="auto"/>
        <w:tabs>
          <w:tab w:leader="none" w:pos="1234" w:val="left"/>
        </w:tabs>
        <w:numPr>
          <w:ilvl w:val="1"/>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or more members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1" w:lineRule="exact"/>
        <w:rPr>
          <w:rFonts w:ascii="Arial" w:cs="Arial" w:eastAsia="Arial" w:hAnsi="Arial"/>
          <w:sz w:val="16"/>
          <w:szCs w:val="16"/>
          <w:b w:val="1"/>
          <w:bCs w:val="1"/>
          <w:color w:val="auto"/>
        </w:rPr>
      </w:pPr>
    </w:p>
    <w:p>
      <w:pPr>
        <w:ind w:right="60" w:firstLine="7"/>
        <w:spacing w:after="0" w:line="285" w:lineRule="auto"/>
        <w:tabs>
          <w:tab w:leader="none" w:pos="213"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68" w:right="499" w:bottom="1440" w:gutter="0" w:footer="0" w:header="0"/>
        </w:sectPr>
      </w:pPr>
    </w:p>
    <w:bookmarkStart w:id="255" w:name="page256"/>
    <w:bookmarkEnd w:id="255"/>
    <w:p>
      <w:pPr>
        <w:ind w:right="80" w:firstLine="990"/>
        <w:spacing w:after="0" w:line="257" w:lineRule="auto"/>
        <w:tabs>
          <w:tab w:leader="none" w:pos="1244"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Other Committees. </w:t>
      </w:r>
      <w:r>
        <w:rPr>
          <w:rFonts w:ascii="Arial" w:cs="Arial" w:eastAsia="Arial" w:hAnsi="Arial"/>
          <w:sz w:val="18"/>
          <w:szCs w:val="18"/>
          <w:color w:val="auto"/>
        </w:rPr>
        <w:t>The Board of Directors may, from time to time, appoint such other committees as may be permitted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6" w:lineRule="exact"/>
        <w:rPr>
          <w:rFonts w:ascii="Arial" w:cs="Arial" w:eastAsia="Arial" w:hAnsi="Arial"/>
          <w:sz w:val="18"/>
          <w:szCs w:val="18"/>
          <w:b w:val="1"/>
          <w:bCs w:val="1"/>
          <w:color w:val="auto"/>
        </w:rPr>
      </w:pPr>
    </w:p>
    <w:p>
      <w:pPr>
        <w:ind w:right="40" w:firstLine="990"/>
        <w:spacing w:after="0" w:line="286" w:lineRule="auto"/>
        <w:tabs>
          <w:tab w:leader="none" w:pos="1224"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Board of Directors, subject to any requirements of any outstanding series of preferred stock and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subsections (a) or (b) of this Section 26,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59" w:lineRule="exact"/>
        <w:rPr>
          <w:rFonts w:ascii="Arial" w:cs="Arial" w:eastAsia="Arial" w:hAnsi="Arial"/>
          <w:sz w:val="16"/>
          <w:szCs w:val="16"/>
          <w:b w:val="1"/>
          <w:bCs w:val="1"/>
          <w:color w:val="auto"/>
        </w:rPr>
      </w:pPr>
    </w:p>
    <w:p>
      <w:pPr>
        <w:ind w:firstLine="990"/>
        <w:spacing w:after="0" w:line="266" w:lineRule="auto"/>
        <w:tabs>
          <w:tab w:leader="none" w:pos="1245"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Unless the Board of Directors shall otherwise provide, regular meetings of the Executive Committee or any other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pursuant to this Section 26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27. Duties of Chairperson of the Board of Directors.</w:t>
      </w:r>
    </w:p>
    <w:p>
      <w:pPr>
        <w:spacing w:after="0" w:line="118" w:lineRule="exact"/>
        <w:rPr>
          <w:sz w:val="20"/>
          <w:szCs w:val="20"/>
          <w:color w:val="auto"/>
        </w:rPr>
      </w:pPr>
    </w:p>
    <w:p>
      <w:pPr>
        <w:ind w:firstLine="990"/>
        <w:spacing w:after="0" w:line="259" w:lineRule="auto"/>
        <w:tabs>
          <w:tab w:leader="none" w:pos="1234"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pacing w:after="0" w:line="78" w:lineRule="exact"/>
        <w:rPr>
          <w:rFonts w:ascii="Arial" w:cs="Arial" w:eastAsia="Arial" w:hAnsi="Arial"/>
          <w:sz w:val="18"/>
          <w:szCs w:val="18"/>
          <w:b w:val="1"/>
          <w:bCs w:val="1"/>
          <w:color w:val="auto"/>
        </w:rPr>
      </w:pPr>
    </w:p>
    <w:p>
      <w:pPr>
        <w:ind w:right="20" w:firstLine="990"/>
        <w:spacing w:after="0" w:line="297" w:lineRule="auto"/>
        <w:tabs>
          <w:tab w:leader="none" w:pos="1244" w:val="left"/>
        </w:tabs>
        <w:numPr>
          <w:ilvl w:val="0"/>
          <w:numId w:val="182"/>
        </w:numPr>
        <w:rPr>
          <w:rFonts w:ascii="Arial" w:cs="Arial" w:eastAsia="Arial" w:hAnsi="Arial"/>
          <w:sz w:val="16"/>
          <w:szCs w:val="16"/>
          <w:b w:val="1"/>
          <w:bCs w:val="1"/>
          <w:color w:val="auto"/>
        </w:rPr>
      </w:pPr>
      <w:r>
        <w:rPr>
          <w:rFonts w:ascii="Arial" w:cs="Arial" w:eastAsia="Arial" w:hAnsi="Arial"/>
          <w:sz w:val="16"/>
          <w:szCs w:val="16"/>
          <w:color w:val="auto"/>
        </w:rPr>
        <w:t>The Chairperson of the Board of Directors, or if the Chairperson is not an independent director, one of 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68" w:right="499" w:bottom="1440" w:gutter="0" w:footer="0" w:header="0"/>
        </w:sectPr>
      </w:pPr>
    </w:p>
    <w:bookmarkStart w:id="256" w:name="page257"/>
    <w:bookmarkEnd w:id="256"/>
    <w:p>
      <w:pPr>
        <w:ind w:firstLine="436"/>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28. Organization. </w:t>
      </w:r>
      <w:r>
        <w:rPr>
          <w:rFonts w:ascii="Arial" w:cs="Arial" w:eastAsia="Arial" w:hAnsi="Arial"/>
          <w:sz w:val="18"/>
          <w:szCs w:val="18"/>
          <w:color w:val="auto"/>
        </w:rPr>
        <w:t>At every meeting of the directors, the Chairperson of the Board of Directors, or, if a Chairperson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or is absent, the Lead Independent Director, or if a Lead Independent Director has not been appointed or is absent</w:t>
      </w:r>
      <w:r>
        <w:rPr>
          <w:rFonts w:ascii="Arial" w:cs="Arial" w:eastAsia="Arial" w:hAnsi="Arial"/>
          <w:sz w:val="18"/>
          <w:szCs w:val="18"/>
          <w:b w:val="1"/>
          <w:bCs w:val="1"/>
          <w:color w:val="auto"/>
        </w:rPr>
        <w:t>,</w:t>
      </w:r>
      <w:r>
        <w:rPr>
          <w:rFonts w:ascii="Arial" w:cs="Arial" w:eastAsia="Arial" w:hAnsi="Arial"/>
          <w:sz w:val="18"/>
          <w:szCs w:val="18"/>
          <w:color w:val="auto"/>
        </w:rPr>
        <w:t xml:space="preserve">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1" w:lineRule="exact"/>
        <w:rPr>
          <w:sz w:val="20"/>
          <w:szCs w:val="20"/>
          <w:color w:val="auto"/>
        </w:rPr>
      </w:pPr>
    </w:p>
    <w:p>
      <w:pPr>
        <w:ind w:right="140" w:firstLine="436"/>
        <w:spacing w:after="0" w:line="289" w:lineRule="auto"/>
        <w:rPr>
          <w:sz w:val="20"/>
          <w:szCs w:val="20"/>
          <w:color w:val="auto"/>
        </w:rPr>
      </w:pPr>
      <w:r>
        <w:rPr>
          <w:rFonts w:ascii="Arial" w:cs="Arial" w:eastAsia="Arial" w:hAnsi="Arial"/>
          <w:sz w:val="16"/>
          <w:szCs w:val="16"/>
          <w:b w:val="1"/>
          <w:bCs w:val="1"/>
          <w:color w:val="auto"/>
        </w:rPr>
        <w:t xml:space="preserve">Section 29. Officers Designated. </w:t>
      </w:r>
      <w:r>
        <w:rPr>
          <w:rFonts w:ascii="Arial" w:cs="Arial" w:eastAsia="Arial" w:hAnsi="Arial"/>
          <w:sz w:val="16"/>
          <w:szCs w:val="16"/>
          <w:color w:val="auto"/>
        </w:rPr>
        <w:t>The officers of the corporation shall include, if and when designated by the Board of Directors,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these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 Tenure and Duties of Officers.</w:t>
      </w:r>
    </w:p>
    <w:p>
      <w:pPr>
        <w:spacing w:after="0" w:line="114" w:lineRule="exact"/>
        <w:rPr>
          <w:sz w:val="20"/>
          <w:szCs w:val="20"/>
          <w:color w:val="auto"/>
        </w:rPr>
      </w:pPr>
    </w:p>
    <w:p>
      <w:pPr>
        <w:ind w:firstLine="990"/>
        <w:spacing w:after="0" w:line="257" w:lineRule="auto"/>
        <w:tabs>
          <w:tab w:leader="none" w:pos="123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subject to such officer’s earlier death, resignation or removal.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76" w:lineRule="exact"/>
        <w:rPr>
          <w:rFonts w:ascii="Arial" w:cs="Arial" w:eastAsia="Arial" w:hAnsi="Arial"/>
          <w:sz w:val="18"/>
          <w:szCs w:val="18"/>
          <w:b w:val="1"/>
          <w:bCs w:val="1"/>
          <w:color w:val="auto"/>
        </w:rPr>
      </w:pPr>
    </w:p>
    <w:p>
      <w:pPr>
        <w:ind w:right="140" w:firstLine="990"/>
        <w:spacing w:after="0" w:line="291" w:lineRule="auto"/>
        <w:tabs>
          <w:tab w:leader="none" w:pos="1244"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Executive Officer. </w:t>
      </w:r>
      <w:r>
        <w:rPr>
          <w:rFonts w:ascii="Arial" w:cs="Arial" w:eastAsia="Arial" w:hAnsi="Arial"/>
          <w:sz w:val="16"/>
          <w:szCs w:val="16"/>
          <w:color w:val="auto"/>
        </w:rPr>
        <w:t>The Chief Executive Officer shall be the chief executive officer of the corporation and,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52" w:lineRule="exact"/>
        <w:rPr>
          <w:rFonts w:ascii="Arial" w:cs="Arial" w:eastAsia="Arial" w:hAnsi="Arial"/>
          <w:sz w:val="16"/>
          <w:szCs w:val="16"/>
          <w:b w:val="1"/>
          <w:bCs w:val="1"/>
          <w:color w:val="auto"/>
        </w:rPr>
      </w:pPr>
    </w:p>
    <w:p>
      <w:pPr>
        <w:jc w:val="both"/>
        <w:ind w:right="180" w:firstLine="990"/>
        <w:spacing w:after="0" w:line="257" w:lineRule="auto"/>
        <w:tabs>
          <w:tab w:leader="none" w:pos="122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Unless another officer has been appointed Chief Executive Officer of the corporation, the President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68" w:right="499" w:bottom="1440" w:gutter="0" w:footer="0" w:header="0"/>
        </w:sectPr>
      </w:pPr>
    </w:p>
    <w:bookmarkStart w:id="257" w:name="page258"/>
    <w:bookmarkEnd w:id="25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75" w:lineRule="exact"/>
        <w:rPr>
          <w:sz w:val="20"/>
          <w:szCs w:val="20"/>
          <w:color w:val="auto"/>
        </w:rPr>
      </w:pPr>
    </w:p>
    <w:p>
      <w:pPr>
        <w:ind w:right="260" w:firstLine="990"/>
        <w:spacing w:after="0" w:line="255" w:lineRule="auto"/>
        <w:tabs>
          <w:tab w:leader="none" w:pos="124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A Vice President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77" w:lineRule="exact"/>
        <w:rPr>
          <w:rFonts w:ascii="Arial" w:cs="Arial" w:eastAsia="Arial" w:hAnsi="Arial"/>
          <w:sz w:val="18"/>
          <w:szCs w:val="18"/>
          <w:b w:val="1"/>
          <w:bCs w:val="1"/>
          <w:color w:val="auto"/>
        </w:rPr>
      </w:pPr>
    </w:p>
    <w:p>
      <w:pPr>
        <w:ind w:firstLine="990"/>
        <w:spacing w:after="0" w:line="286" w:lineRule="auto"/>
        <w:tabs>
          <w:tab w:leader="none" w:pos="1224"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Secretary and Assistant Secretary. </w:t>
      </w:r>
      <w:r>
        <w:rPr>
          <w:rFonts w:ascii="Arial" w:cs="Arial" w:eastAsia="Arial" w:hAnsi="Arial"/>
          <w:sz w:val="16"/>
          <w:szCs w:val="16"/>
          <w:color w:val="auto"/>
        </w:rPr>
        <w:t>The Secretary shall attend all meetings of the stockholders and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record all acts, votes and proceedings thereof in the minute books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59" w:lineRule="exact"/>
        <w:rPr>
          <w:rFonts w:ascii="Arial" w:cs="Arial" w:eastAsia="Arial" w:hAnsi="Arial"/>
          <w:sz w:val="16"/>
          <w:szCs w:val="16"/>
          <w:b w:val="1"/>
          <w:bCs w:val="1"/>
          <w:color w:val="auto"/>
        </w:rPr>
      </w:pPr>
    </w:p>
    <w:p>
      <w:pPr>
        <w:ind w:firstLine="990"/>
        <w:spacing w:after="0" w:line="289" w:lineRule="auto"/>
        <w:tabs>
          <w:tab w:leader="none" w:pos="1205"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Financial Officer. </w:t>
      </w:r>
      <w:r>
        <w:rPr>
          <w:rFonts w:ascii="Arial" w:cs="Arial" w:eastAsia="Arial" w:hAnsi="Arial"/>
          <w:sz w:val="16"/>
          <w:szCs w:val="16"/>
          <w:color w:val="auto"/>
        </w:rPr>
        <w:t>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w:t>
      </w:r>
    </w:p>
    <w:p>
      <w:pPr>
        <w:spacing w:after="0" w:line="54" w:lineRule="exact"/>
        <w:rPr>
          <w:rFonts w:ascii="Arial" w:cs="Arial" w:eastAsia="Arial" w:hAnsi="Arial"/>
          <w:sz w:val="16"/>
          <w:szCs w:val="16"/>
          <w:b w:val="1"/>
          <w:bCs w:val="1"/>
          <w:color w:val="auto"/>
        </w:rPr>
      </w:pPr>
    </w:p>
    <w:p>
      <w:pPr>
        <w:ind w:right="20" w:firstLine="990"/>
        <w:spacing w:after="0" w:line="252" w:lineRule="auto"/>
        <w:tabs>
          <w:tab w:leader="none" w:pos="123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Treasurer and Assistant Treasurer. </w:t>
      </w:r>
      <w:r>
        <w:rPr>
          <w:rFonts w:ascii="Arial" w:cs="Arial" w:eastAsia="Arial" w:hAnsi="Arial"/>
          <w:sz w:val="18"/>
          <w:szCs w:val="18"/>
          <w:color w:val="auto"/>
        </w:rPr>
        <w:t>Unless another officer has been appointed Chief Financial Officer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Treasurer shall be the chief financial officer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7" w:lineRule="exact"/>
        <w:rPr>
          <w:sz w:val="20"/>
          <w:szCs w:val="20"/>
          <w:color w:val="auto"/>
        </w:rPr>
      </w:pPr>
    </w:p>
    <w:p>
      <w:pPr>
        <w:ind w:right="400" w:firstLine="436"/>
        <w:spacing w:after="0" w:line="275" w:lineRule="auto"/>
        <w:rPr>
          <w:sz w:val="20"/>
          <w:szCs w:val="20"/>
          <w:color w:val="auto"/>
        </w:rPr>
      </w:pPr>
      <w:r>
        <w:rPr>
          <w:rFonts w:ascii="Arial" w:cs="Arial" w:eastAsia="Arial" w:hAnsi="Arial"/>
          <w:sz w:val="18"/>
          <w:szCs w:val="18"/>
          <w:b w:val="1"/>
          <w:bCs w:val="1"/>
          <w:color w:val="auto"/>
        </w:rPr>
        <w:t xml:space="preserve">Section 31.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80" w:top="272" w:right="499" w:bottom="1440" w:gutter="0" w:footer="0" w:header="0"/>
        </w:sectPr>
      </w:pPr>
    </w:p>
    <w:bookmarkStart w:id="258" w:name="page259"/>
    <w:bookmarkEnd w:id="258"/>
    <w:p>
      <w:pPr>
        <w:ind w:right="80" w:firstLine="436"/>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32. Resignations. </w:t>
      </w:r>
      <w:r>
        <w:rPr>
          <w:rFonts w:ascii="Arial" w:cs="Arial" w:eastAsia="Arial" w:hAnsi="Arial"/>
          <w:sz w:val="16"/>
          <w:szCs w:val="16"/>
          <w:color w:val="auto"/>
        </w:rPr>
        <w:t>Any officer may resign at any time by giving notice in writing or by electronic transmission to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57" w:lineRule="exact"/>
        <w:rPr>
          <w:sz w:val="20"/>
          <w:szCs w:val="20"/>
          <w:color w:val="auto"/>
        </w:rPr>
      </w:pPr>
    </w:p>
    <w:p>
      <w:pPr>
        <w:ind w:right="360" w:firstLine="436"/>
        <w:spacing w:after="0" w:line="340" w:lineRule="auto"/>
        <w:rPr>
          <w:sz w:val="20"/>
          <w:szCs w:val="20"/>
          <w:color w:val="auto"/>
        </w:rPr>
      </w:pPr>
      <w:r>
        <w:rPr>
          <w:rFonts w:ascii="Arial" w:cs="Arial" w:eastAsia="Arial" w:hAnsi="Arial"/>
          <w:sz w:val="16"/>
          <w:szCs w:val="16"/>
          <w:b w:val="1"/>
          <w:bCs w:val="1"/>
          <w:color w:val="auto"/>
        </w:rPr>
        <w:t xml:space="preserve">Section 33. Removal. </w:t>
      </w:r>
      <w:r>
        <w:rPr>
          <w:rFonts w:ascii="Arial" w:cs="Arial" w:eastAsia="Arial" w:hAnsi="Arial"/>
          <w:sz w:val="16"/>
          <w:szCs w:val="16"/>
          <w:color w:val="auto"/>
        </w:rPr>
        <w:t>Any officer may be removed from office at any time, either with or without cause, by the Board of Directors, or by any</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committee thereof or any superior officer upon whom such power of removal may have been conferred by the Board of Directors.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1" w:lineRule="exact"/>
        <w:rPr>
          <w:sz w:val="20"/>
          <w:szCs w:val="20"/>
          <w:color w:val="auto"/>
        </w:rPr>
      </w:pPr>
    </w:p>
    <w:p>
      <w:pPr>
        <w:ind w:right="160" w:firstLine="436"/>
        <w:spacing w:after="0" w:line="299" w:lineRule="auto"/>
        <w:rPr>
          <w:sz w:val="20"/>
          <w:szCs w:val="20"/>
          <w:color w:val="auto"/>
        </w:rPr>
      </w:pPr>
      <w:r>
        <w:rPr>
          <w:rFonts w:ascii="Arial" w:cs="Arial" w:eastAsia="Arial" w:hAnsi="Arial"/>
          <w:sz w:val="16"/>
          <w:szCs w:val="16"/>
          <w:b w:val="1"/>
          <w:bCs w:val="1"/>
          <w:color w:val="auto"/>
        </w:rPr>
        <w:t xml:space="preserve">Section 34. Execution of Corporate Instruments. </w:t>
      </w:r>
      <w:r>
        <w:rPr>
          <w:rFonts w:ascii="Arial" w:cs="Arial" w:eastAsia="Arial" w:hAnsi="Arial"/>
          <w:sz w:val="16"/>
          <w:szCs w:val="16"/>
          <w:color w:val="auto"/>
        </w:rPr>
        <w:t>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w:t>
      </w:r>
    </w:p>
    <w:p>
      <w:pPr>
        <w:spacing w:after="0" w:line="157"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75" w:lineRule="exact"/>
        <w:rPr>
          <w:sz w:val="20"/>
          <w:szCs w:val="20"/>
          <w:color w:val="auto"/>
        </w:rPr>
      </w:pPr>
    </w:p>
    <w:p>
      <w:pPr>
        <w:ind w:firstLine="436"/>
        <w:spacing w:after="0" w:line="307" w:lineRule="auto"/>
        <w:rPr>
          <w:sz w:val="20"/>
          <w:szCs w:val="20"/>
          <w:color w:val="auto"/>
        </w:rPr>
      </w:pPr>
      <w:r>
        <w:rPr>
          <w:rFonts w:ascii="Arial" w:cs="Arial" w:eastAsia="Arial" w:hAnsi="Arial"/>
          <w:sz w:val="16"/>
          <w:szCs w:val="16"/>
          <w:color w:val="auto"/>
        </w:rPr>
        <w:t>Unless otherwise specifically determined by the Board of Directors or otherwise required by applicable law, the execution, signing or endorsement of any corporate instrument or document by or on behalf of the corporation may be effected manually, by facsimile or (to the extent permitted by applicable law and subject to such policies and procedures as the corporation may have in effect from time to time) by electronic signature.</w:t>
      </w:r>
    </w:p>
    <w:p>
      <w:pPr>
        <w:spacing w:after="0" w:line="150" w:lineRule="exact"/>
        <w:rPr>
          <w:sz w:val="20"/>
          <w:szCs w:val="20"/>
          <w:color w:val="auto"/>
        </w:rPr>
      </w:pPr>
    </w:p>
    <w:p>
      <w:pPr>
        <w:ind w:right="120" w:firstLine="436"/>
        <w:spacing w:after="0" w:line="335"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4" w:lineRule="exact"/>
        <w:rPr>
          <w:sz w:val="20"/>
          <w:szCs w:val="20"/>
          <w:color w:val="auto"/>
        </w:rPr>
      </w:pPr>
    </w:p>
    <w:p>
      <w:pPr>
        <w:ind w:firstLine="436"/>
        <w:spacing w:after="0" w:line="257" w:lineRule="auto"/>
        <w:rPr>
          <w:sz w:val="20"/>
          <w:szCs w:val="20"/>
          <w:color w:val="auto"/>
        </w:rPr>
      </w:pPr>
      <w:r>
        <w:rPr>
          <w:rFonts w:ascii="Arial" w:cs="Arial" w:eastAsia="Arial" w:hAnsi="Arial"/>
          <w:sz w:val="18"/>
          <w:szCs w:val="18"/>
          <w:b w:val="1"/>
          <w:bCs w:val="1"/>
          <w:color w:val="auto"/>
        </w:rPr>
        <w:t xml:space="preserve">Section 35. Voting of Securities Owned by the Corporation. </w:t>
      </w:r>
      <w:r>
        <w:rPr>
          <w:rFonts w:ascii="Arial" w:cs="Arial" w:eastAsia="Arial" w:hAnsi="Arial"/>
          <w:sz w:val="18"/>
          <w:szCs w:val="18"/>
          <w:color w:val="auto"/>
        </w:rPr>
        <w:t>All stock and other securities of or interests in other corporations or entities owned</w:t>
      </w:r>
      <w:r>
        <w:rPr>
          <w:rFonts w:ascii="Arial" w:cs="Arial" w:eastAsia="Arial" w:hAnsi="Arial"/>
          <w:sz w:val="18"/>
          <w:szCs w:val="18"/>
          <w:b w:val="1"/>
          <w:bCs w:val="1"/>
          <w:color w:val="auto"/>
        </w:rPr>
        <w:t xml:space="preserve"> </w:t>
      </w:r>
      <w:r>
        <w:rPr>
          <w:rFonts w:ascii="Arial" w:cs="Arial" w:eastAsia="Arial" w:hAnsi="Arial"/>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68" w:right="49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1"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b w:val="1"/>
          <w:bCs w:val="1"/>
          <w:color w:val="auto"/>
        </w:rPr>
        <w:t xml:space="preserve">Section 36. Form and Execution of Certificates. </w:t>
      </w:r>
      <w:r>
        <w:rPr>
          <w:rFonts w:ascii="Arial" w:cs="Arial" w:eastAsia="Arial" w:hAnsi="Arial"/>
          <w:sz w:val="16"/>
          <w:szCs w:val="16"/>
          <w:color w:val="auto"/>
        </w:rPr>
        <w:t>The shares of the corporation shall be represented by certificates, or shall be uncertificated if so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(it being understood that each of the Chairperson of the Board of Directors, the Chief Executive Officer, the President, any Vice President, the Treasurer, any Assistant Treasurer, the Secretary and any Assistant Secretary shall be an authorized officer for such purpose),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7" w:lineRule="exact"/>
        <w:rPr>
          <w:sz w:val="20"/>
          <w:szCs w:val="20"/>
          <w:color w:val="auto"/>
        </w:rPr>
      </w:pPr>
    </w:p>
    <w:p>
      <w:pPr>
        <w:ind w:right="100" w:firstLine="436"/>
        <w:spacing w:after="0" w:line="271" w:lineRule="auto"/>
        <w:rPr>
          <w:sz w:val="20"/>
          <w:szCs w:val="20"/>
          <w:color w:val="auto"/>
        </w:rPr>
      </w:pPr>
      <w:r>
        <w:rPr>
          <w:rFonts w:ascii="Arial" w:cs="Arial" w:eastAsia="Arial" w:hAnsi="Arial"/>
          <w:sz w:val="17"/>
          <w:szCs w:val="17"/>
          <w:b w:val="1"/>
          <w:bCs w:val="1"/>
          <w:color w:val="auto"/>
        </w:rPr>
        <w:t xml:space="preserve">Section 37. Lost Certificates. </w:t>
      </w:r>
      <w:r>
        <w:rPr>
          <w:rFonts w:ascii="Arial" w:cs="Arial" w:eastAsia="Arial" w:hAnsi="Arial"/>
          <w:sz w:val="17"/>
          <w:szCs w:val="17"/>
          <w:color w:val="auto"/>
        </w:rPr>
        <w:t>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38. Transfers.</w:t>
      </w:r>
    </w:p>
    <w:p>
      <w:pPr>
        <w:spacing w:after="0" w:line="118" w:lineRule="exact"/>
        <w:rPr>
          <w:sz w:val="20"/>
          <w:szCs w:val="20"/>
          <w:color w:val="auto"/>
        </w:rPr>
      </w:pPr>
    </w:p>
    <w:p>
      <w:pPr>
        <w:ind w:right="280" w:firstLine="990"/>
        <w:spacing w:after="0" w:line="259" w:lineRule="auto"/>
        <w:tabs>
          <w:tab w:leader="none" w:pos="1234"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8" w:lineRule="exact"/>
        <w:rPr>
          <w:rFonts w:ascii="Arial" w:cs="Arial" w:eastAsia="Arial" w:hAnsi="Arial"/>
          <w:sz w:val="18"/>
          <w:szCs w:val="18"/>
          <w:b w:val="1"/>
          <w:bCs w:val="1"/>
          <w:color w:val="auto"/>
        </w:rPr>
      </w:pPr>
    </w:p>
    <w:p>
      <w:pPr>
        <w:ind w:firstLine="990"/>
        <w:spacing w:after="0" w:line="259" w:lineRule="auto"/>
        <w:tabs>
          <w:tab w:leader="none" w:pos="1244"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39. Fixing Record Dates.</w:t>
      </w:r>
    </w:p>
    <w:p>
      <w:pPr>
        <w:spacing w:after="0" w:line="118" w:lineRule="exact"/>
        <w:rPr>
          <w:sz w:val="20"/>
          <w:szCs w:val="20"/>
          <w:color w:val="auto"/>
        </w:rPr>
      </w:pPr>
    </w:p>
    <w:p>
      <w:pPr>
        <w:ind w:firstLine="990"/>
        <w:spacing w:after="0" w:line="266" w:lineRule="auto"/>
        <w:tabs>
          <w:tab w:leader="none" w:pos="1234" w:val="left"/>
        </w:tabs>
        <w:numPr>
          <w:ilvl w:val="0"/>
          <w:numId w:val="186"/>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 in accordance with the provisions of this Section 39(a).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68" w:right="519" w:bottom="1440" w:gutter="0" w:footer="0" w:header="0"/>
        </w:sectPr>
      </w:pPr>
    </w:p>
    <w:bookmarkStart w:id="260" w:name="page261"/>
    <w:bookmarkEnd w:id="260"/>
    <w:p>
      <w:pPr>
        <w:ind w:right="20" w:firstLine="990"/>
        <w:spacing w:after="0" w:line="252" w:lineRule="auto"/>
        <w:tabs>
          <w:tab w:leader="none" w:pos="1244"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0" w:lineRule="exact"/>
        <w:rPr>
          <w:sz w:val="20"/>
          <w:szCs w:val="20"/>
          <w:color w:val="auto"/>
        </w:rPr>
      </w:pPr>
    </w:p>
    <w:p>
      <w:pPr>
        <w:jc w:val="both"/>
        <w:ind w:right="140" w:firstLine="436"/>
        <w:spacing w:after="0" w:line="257" w:lineRule="auto"/>
        <w:rPr>
          <w:sz w:val="20"/>
          <w:szCs w:val="20"/>
          <w:color w:val="auto"/>
        </w:rPr>
      </w:pPr>
      <w:r>
        <w:rPr>
          <w:rFonts w:ascii="Arial" w:cs="Arial" w:eastAsia="Arial" w:hAnsi="Arial"/>
          <w:sz w:val="18"/>
          <w:szCs w:val="18"/>
          <w:b w:val="1"/>
          <w:bCs w:val="1"/>
          <w:color w:val="auto"/>
        </w:rPr>
        <w:t xml:space="preserve">Section 40.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3" w:lineRule="exact"/>
        <w:rPr>
          <w:sz w:val="20"/>
          <w:szCs w:val="20"/>
          <w:color w:val="auto"/>
        </w:rPr>
      </w:pPr>
    </w:p>
    <w:p>
      <w:pPr>
        <w:ind w:right="240" w:firstLine="436"/>
        <w:spacing w:after="0" w:line="294" w:lineRule="auto"/>
        <w:rPr>
          <w:sz w:val="20"/>
          <w:szCs w:val="20"/>
          <w:color w:val="auto"/>
        </w:rPr>
      </w:pPr>
      <w:r>
        <w:rPr>
          <w:rFonts w:ascii="Arial" w:cs="Arial" w:eastAsia="Arial" w:hAnsi="Arial"/>
          <w:sz w:val="16"/>
          <w:szCs w:val="16"/>
          <w:b w:val="1"/>
          <w:bCs w:val="1"/>
          <w:color w:val="auto"/>
        </w:rPr>
        <w:t xml:space="preserve">Section 41. Additional Powers of the Board. </w:t>
      </w:r>
      <w:r>
        <w:rPr>
          <w:rFonts w:ascii="Arial" w:cs="Arial" w:eastAsia="Arial" w:hAnsi="Arial"/>
          <w:sz w:val="16"/>
          <w:szCs w:val="16"/>
          <w:color w:val="auto"/>
        </w:rPr>
        <w:t>In addition to, and without limiting, the powers set forth in these Bylaws,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these Bylaws. The Board of Directors may appoint and remove transfer agents and registrars of transfers, and may require all stock certificates to bear the signature of any such transfer agent and/or any such registrar of transfers.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1"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b w:val="1"/>
          <w:bCs w:val="1"/>
          <w:color w:val="auto"/>
        </w:rPr>
        <w:t xml:space="preserve">Section 42.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36), may be signed by the Chairperson of the Board of Directors, the Chief Executive Officer, the President or any Vice President, or such other person as may be authorized by the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2" w:right="49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1" w:lineRule="exact"/>
        <w:rPr>
          <w:sz w:val="20"/>
          <w:szCs w:val="20"/>
          <w:color w:val="auto"/>
        </w:rPr>
      </w:pPr>
    </w:p>
    <w:p>
      <w:pPr>
        <w:ind w:right="440" w:firstLine="436"/>
        <w:spacing w:after="0" w:line="261" w:lineRule="auto"/>
        <w:rPr>
          <w:sz w:val="20"/>
          <w:szCs w:val="20"/>
          <w:color w:val="auto"/>
        </w:rPr>
      </w:pPr>
      <w:r>
        <w:rPr>
          <w:rFonts w:ascii="Arial" w:cs="Arial" w:eastAsia="Arial" w:hAnsi="Arial"/>
          <w:sz w:val="18"/>
          <w:szCs w:val="18"/>
          <w:b w:val="1"/>
          <w:bCs w:val="1"/>
          <w:color w:val="auto"/>
        </w:rPr>
        <w:t xml:space="preserve">Section 43. Declaration of Dividends. </w:t>
      </w:r>
      <w:r>
        <w:rPr>
          <w:rFonts w:ascii="Arial" w:cs="Arial" w:eastAsia="Arial" w:hAnsi="Arial"/>
          <w:sz w:val="18"/>
          <w:szCs w:val="18"/>
          <w:color w:val="auto"/>
        </w:rPr>
        <w:t>Dividends upon the capital stock of the corporation, subject to the provisions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applicable law, if any, may be declared by the Board of Directors. Dividends may be paid in cash, in property, or in shares of the capital stock, subject to the provisions of the Certificate of Incorporation and applicable law.</w:t>
      </w:r>
    </w:p>
    <w:p>
      <w:pPr>
        <w:spacing w:after="0" w:line="18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b w:val="1"/>
          <w:bCs w:val="1"/>
          <w:color w:val="auto"/>
        </w:rPr>
        <w:t xml:space="preserve">Section 44. Dividend Reserve. </w:t>
      </w:r>
      <w:r>
        <w:rPr>
          <w:rFonts w:ascii="Arial" w:cs="Arial" w:eastAsia="Arial" w:hAnsi="Arial"/>
          <w:sz w:val="18"/>
          <w:szCs w:val="18"/>
          <w:color w:val="auto"/>
        </w:rPr>
        <w:t>Before payment of any dividend, there may be set aside out of any funds of the corporation available for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45. Fiscal Year. </w:t>
      </w:r>
      <w:r>
        <w:rPr>
          <w:rFonts w:ascii="Arial" w:cs="Arial" w:eastAsia="Arial" w:hAnsi="Arial"/>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46. Indemnification of Directors, Executive Officers, Employees and Other Agents.</w:t>
      </w:r>
    </w:p>
    <w:p>
      <w:pPr>
        <w:spacing w:after="0" w:line="114" w:lineRule="exact"/>
        <w:rPr>
          <w:sz w:val="20"/>
          <w:szCs w:val="20"/>
          <w:color w:val="auto"/>
        </w:rPr>
      </w:pPr>
    </w:p>
    <w:p>
      <w:pPr>
        <w:ind w:firstLine="990"/>
        <w:spacing w:after="0" w:line="283" w:lineRule="auto"/>
        <w:tabs>
          <w:tab w:leader="none" w:pos="1234"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Directors and Executive Officers. </w:t>
      </w:r>
      <w:r>
        <w:rPr>
          <w:rFonts w:ascii="Arial" w:cs="Arial" w:eastAsia="Arial" w:hAnsi="Arial"/>
          <w:sz w:val="16"/>
          <w:szCs w:val="16"/>
          <w:color w:val="auto"/>
        </w:rPr>
        <w:t>The corporation shall indemnify to the full extent permitted under and in any manner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DGCL or any other applicable law, any person who is made or threatened to be made a party to or is otherwise involved (as a witness or otherwise)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is or was a director or executive officer (for the purposes of this Article XI, “</w:t>
      </w:r>
      <w:r>
        <w:rPr>
          <w:rFonts w:ascii="Arial" w:cs="Arial" w:eastAsia="Arial" w:hAnsi="Arial"/>
          <w:sz w:val="16"/>
          <w:szCs w:val="16"/>
          <w:i w:val="1"/>
          <w:iCs w:val="1"/>
          <w:color w:val="auto"/>
        </w:rPr>
        <w:t>executive officers</w:t>
      </w:r>
      <w:r>
        <w:rPr>
          <w:rFonts w:ascii="Arial" w:cs="Arial" w:eastAsia="Arial" w:hAnsi="Arial"/>
          <w:sz w:val="16"/>
          <w:szCs w:val="16"/>
          <w:color w:val="auto"/>
        </w:rPr>
        <w:t>”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Arial" w:cs="Arial" w:eastAsia="Arial" w:hAnsi="Arial"/>
          <w:sz w:val="16"/>
          <w:szCs w:val="16"/>
          <w:b w:val="1"/>
          <w:bCs w:val="1"/>
          <w:i w:val="1"/>
          <w:iCs w:val="1"/>
          <w:color w:val="auto"/>
        </w:rPr>
        <w:t>Another Enterprise</w:t>
      </w:r>
      <w:r>
        <w:rPr>
          <w:rFonts w:ascii="Arial" w:cs="Arial" w:eastAsia="Arial" w:hAnsi="Arial"/>
          <w:sz w:val="16"/>
          <w:szCs w:val="16"/>
          <w:color w:val="auto"/>
        </w:rPr>
        <w:t xml:space="preserve">”), against expenses (including attorneys’ fees), judgments, fines (including ERISA excise taxes or penalties) and amounts paid in settlement actually and reasonably incurred by him or her in connection with such Proceeding,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in the specific case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this Section 46.</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68" w:right="499" w:bottom="1440" w:gutter="0" w:footer="0" w:header="0"/>
        </w:sectPr>
      </w:pPr>
    </w:p>
    <w:bookmarkStart w:id="262" w:name="page263"/>
    <w:bookmarkEnd w:id="262"/>
    <w:p>
      <w:pPr>
        <w:jc w:val="both"/>
        <w:ind w:right="40" w:firstLine="990"/>
        <w:spacing w:after="0" w:line="257" w:lineRule="auto"/>
        <w:tabs>
          <w:tab w:leader="none" w:pos="1244"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Other Officers, Employees and Agents. </w:t>
      </w:r>
      <w:r>
        <w:rPr>
          <w:rFonts w:ascii="Arial" w:cs="Arial" w:eastAsia="Arial" w:hAnsi="Arial"/>
          <w:sz w:val="18"/>
          <w:szCs w:val="18"/>
          <w:color w:val="auto"/>
        </w:rPr>
        <w:t>The corporation shall have power to indemnify (including the power to advance expenses in</w:t>
      </w:r>
      <w:r>
        <w:rPr>
          <w:rFonts w:ascii="Arial" w:cs="Arial" w:eastAsia="Arial" w:hAnsi="Arial"/>
          <w:sz w:val="18"/>
          <w:szCs w:val="18"/>
          <w:b w:val="1"/>
          <w:bCs w:val="1"/>
          <w:color w:val="auto"/>
        </w:rPr>
        <w:t xml:space="preserve"> </w:t>
      </w:r>
      <w:r>
        <w:rPr>
          <w:rFonts w:ascii="Arial" w:cs="Arial" w:eastAsia="Arial" w:hAnsi="Arial"/>
          <w:sz w:val="18"/>
          <w:szCs w:val="18"/>
          <w:color w:val="auto"/>
        </w:rPr>
        <w:t>a manner consistent with subsection (c) of this Section 46) its other officers, employees and 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76" w:lineRule="exact"/>
        <w:rPr>
          <w:rFonts w:ascii="Arial" w:cs="Arial" w:eastAsia="Arial" w:hAnsi="Arial"/>
          <w:sz w:val="18"/>
          <w:szCs w:val="18"/>
          <w:b w:val="1"/>
          <w:bCs w:val="1"/>
          <w:color w:val="auto"/>
        </w:rPr>
      </w:pPr>
    </w:p>
    <w:p>
      <w:pPr>
        <w:ind w:right="40" w:firstLine="990"/>
        <w:spacing w:after="0" w:line="286" w:lineRule="auto"/>
        <w:tabs>
          <w:tab w:leader="none" w:pos="1224"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6"/>
          <w:szCs w:val="16"/>
          <w:b w:val="1"/>
          <w:bCs w:val="1"/>
          <w:i w:val="1"/>
          <w:iCs w:val="1"/>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that such indemnitee is not entitled to be indemnified for such expenses under this Section 46 or otherwise.</w:t>
      </w:r>
    </w:p>
    <w:p>
      <w:pPr>
        <w:spacing w:after="0" w:line="171" w:lineRule="exact"/>
        <w:rPr>
          <w:sz w:val="20"/>
          <w:szCs w:val="20"/>
          <w:color w:val="auto"/>
        </w:rPr>
      </w:pPr>
    </w:p>
    <w:p>
      <w:pPr>
        <w:ind w:right="40" w:firstLine="436"/>
        <w:spacing w:after="0" w:line="288" w:lineRule="auto"/>
        <w:rPr>
          <w:sz w:val="20"/>
          <w:szCs w:val="20"/>
          <w:color w:val="auto"/>
        </w:rPr>
      </w:pPr>
      <w:r>
        <w:rPr>
          <w:rFonts w:ascii="Arial" w:cs="Arial" w:eastAsia="Arial" w:hAnsi="Arial"/>
          <w:sz w:val="16"/>
          <w:szCs w:val="16"/>
          <w:color w:val="auto"/>
        </w:rPr>
        <w:t>Notwithstanding the foregoing, unless otherwise determined pursuant to paragraph (d) of this Section 46,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55" w:lineRule="exact"/>
        <w:rPr>
          <w:sz w:val="20"/>
          <w:szCs w:val="20"/>
          <w:color w:val="auto"/>
        </w:rPr>
      </w:pPr>
    </w:p>
    <w:p>
      <w:pPr>
        <w:ind w:firstLine="990"/>
        <w:spacing w:after="0" w:line="283" w:lineRule="auto"/>
        <w:tabs>
          <w:tab w:leader="none" w:pos="1244"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Section 46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46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68" w:right="519" w:bottom="1440" w:gutter="0" w:footer="0" w:header="0"/>
        </w:sectPr>
      </w:pPr>
    </w:p>
    <w:bookmarkStart w:id="263" w:name="page264"/>
    <w:bookmarkEnd w:id="26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46 or otherwise shall be on the corporation.</w:t>
      </w:r>
    </w:p>
    <w:p>
      <w:pPr>
        <w:spacing w:after="0" w:line="67" w:lineRule="exact"/>
        <w:rPr>
          <w:sz w:val="20"/>
          <w:szCs w:val="20"/>
          <w:color w:val="auto"/>
        </w:rPr>
      </w:pPr>
    </w:p>
    <w:p>
      <w:pPr>
        <w:ind w:right="20" w:firstLine="990"/>
        <w:spacing w:after="0" w:line="273" w:lineRule="auto"/>
        <w:tabs>
          <w:tab w:leader="none" w:pos="1224"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Section 46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65" w:lineRule="exact"/>
        <w:rPr>
          <w:rFonts w:ascii="Arial" w:cs="Arial" w:eastAsia="Arial" w:hAnsi="Arial"/>
          <w:sz w:val="17"/>
          <w:szCs w:val="17"/>
          <w:b w:val="1"/>
          <w:bCs w:val="1"/>
          <w:color w:val="auto"/>
        </w:rPr>
      </w:pPr>
    </w:p>
    <w:p>
      <w:pPr>
        <w:ind w:right="40" w:firstLine="990"/>
        <w:spacing w:after="0" w:line="306" w:lineRule="auto"/>
        <w:tabs>
          <w:tab w:leader="none" w:pos="1205"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Survival of Rights. </w:t>
      </w:r>
      <w:r>
        <w:rPr>
          <w:rFonts w:ascii="Arial" w:cs="Arial" w:eastAsia="Arial" w:hAnsi="Arial"/>
          <w:sz w:val="17"/>
          <w:szCs w:val="17"/>
          <w:color w:val="auto"/>
        </w:rPr>
        <w:t>The rights conferred on any person by this Section 46 shall continue as to a person who has ceased to be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employee or agent and shall inure to the benefit of the heirs, executors and administrators of such a person.</w:t>
      </w:r>
    </w:p>
    <w:p>
      <w:pPr>
        <w:spacing w:after="0" w:line="36" w:lineRule="exact"/>
        <w:rPr>
          <w:rFonts w:ascii="Arial" w:cs="Arial" w:eastAsia="Arial" w:hAnsi="Arial"/>
          <w:sz w:val="17"/>
          <w:szCs w:val="17"/>
          <w:b w:val="1"/>
          <w:bCs w:val="1"/>
          <w:color w:val="auto"/>
        </w:rPr>
      </w:pPr>
    </w:p>
    <w:p>
      <w:pPr>
        <w:ind w:right="240" w:firstLine="990"/>
        <w:spacing w:after="0" w:line="340" w:lineRule="auto"/>
        <w:tabs>
          <w:tab w:leader="none" w:pos="1234"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To the fullest extent permitted by the DGCL or any other applicable law, the corporation, upon approval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purchase and maintain insurance on behalf of any person required or permitted to be indemnified pursuant to this Section 46.</w:t>
      </w:r>
    </w:p>
    <w:p>
      <w:pPr>
        <w:spacing w:after="0" w:line="13" w:lineRule="exact"/>
        <w:rPr>
          <w:rFonts w:ascii="Arial" w:cs="Arial" w:eastAsia="Arial" w:hAnsi="Arial"/>
          <w:sz w:val="16"/>
          <w:szCs w:val="16"/>
          <w:b w:val="1"/>
          <w:bCs w:val="1"/>
          <w:color w:val="auto"/>
        </w:rPr>
      </w:pPr>
    </w:p>
    <w:p>
      <w:pPr>
        <w:ind w:left="1260" w:hanging="270"/>
        <w:spacing w:after="0"/>
        <w:tabs>
          <w:tab w:leader="none" w:pos="126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Any repeal or modification of this Section 46 shall only be prospective and shall not affect the rights under this</w:t>
      </w:r>
    </w:p>
    <w:p>
      <w:pPr>
        <w:spacing w:after="0" w:line="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Section 46 as in effect at the time of the alleged occurrence of any action or omission to act that is the cause of any Proceeding against any agent of the corporation.</w:t>
      </w:r>
    </w:p>
    <w:p>
      <w:pPr>
        <w:spacing w:after="0" w:line="77" w:lineRule="exact"/>
        <w:rPr>
          <w:sz w:val="20"/>
          <w:szCs w:val="20"/>
          <w:color w:val="auto"/>
        </w:rPr>
      </w:pPr>
    </w:p>
    <w:p>
      <w:pPr>
        <w:ind w:right="60" w:firstLine="990"/>
        <w:spacing w:after="0" w:line="255" w:lineRule="auto"/>
        <w:tabs>
          <w:tab w:leader="none" w:pos="1195"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Saving Clause. </w:t>
      </w:r>
      <w:r>
        <w:rPr>
          <w:rFonts w:ascii="Arial" w:cs="Arial" w:eastAsia="Arial" w:hAnsi="Arial"/>
          <w:sz w:val="18"/>
          <w:szCs w:val="18"/>
          <w:color w:val="auto"/>
        </w:rPr>
        <w:t>If this Article XI or any portion hereof shall be invalidated on any ground by any court of competent jurisdiction, then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permitted under any other applicable law.</w:t>
      </w:r>
    </w:p>
    <w:p>
      <w:pPr>
        <w:spacing w:after="0" w:line="77" w:lineRule="exact"/>
        <w:rPr>
          <w:rFonts w:ascii="Arial" w:cs="Arial" w:eastAsia="Arial" w:hAnsi="Arial"/>
          <w:sz w:val="18"/>
          <w:szCs w:val="18"/>
          <w:b w:val="1"/>
          <w:bCs w:val="1"/>
          <w:color w:val="auto"/>
        </w:rPr>
      </w:pPr>
    </w:p>
    <w:p>
      <w:pPr>
        <w:ind w:right="180" w:firstLine="990"/>
        <w:spacing w:after="0" w:line="275" w:lineRule="auto"/>
        <w:tabs>
          <w:tab w:leader="none" w:pos="1205"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and Construction of Terms. </w:t>
      </w:r>
      <w:r>
        <w:rPr>
          <w:rFonts w:ascii="Arial" w:cs="Arial" w:eastAsia="Arial" w:hAnsi="Arial"/>
          <w:sz w:val="18"/>
          <w:szCs w:val="18"/>
          <w:color w:val="auto"/>
        </w:rPr>
        <w:t>For the purposes of Article XI of these Bylaws, the following definitions and rules</w:t>
      </w:r>
      <w:r>
        <w:rPr>
          <w:rFonts w:ascii="Arial" w:cs="Arial" w:eastAsia="Arial" w:hAnsi="Arial"/>
          <w:sz w:val="18"/>
          <w:szCs w:val="18"/>
          <w:b w:val="1"/>
          <w:bCs w:val="1"/>
          <w:color w:val="auto"/>
        </w:rPr>
        <w:t xml:space="preserve"> </w:t>
      </w:r>
      <w:r>
        <w:rPr>
          <w:rFonts w:ascii="Arial" w:cs="Arial" w:eastAsia="Arial" w:hAnsi="Arial"/>
          <w:sz w:val="18"/>
          <w:szCs w:val="18"/>
          <w:color w:val="auto"/>
        </w:rPr>
        <w:t>of construction shall apply:</w:t>
      </w:r>
    </w:p>
    <w:p>
      <w:pPr>
        <w:spacing w:after="0" w:line="64" w:lineRule="exact"/>
        <w:rPr>
          <w:rFonts w:ascii="Arial" w:cs="Arial" w:eastAsia="Arial" w:hAnsi="Arial"/>
          <w:sz w:val="18"/>
          <w:szCs w:val="18"/>
          <w:b w:val="1"/>
          <w:bCs w:val="1"/>
          <w:color w:val="auto"/>
        </w:rPr>
      </w:pPr>
    </w:p>
    <w:p>
      <w:pPr>
        <w:ind w:right="760" w:firstLine="1426"/>
        <w:spacing w:after="0" w:line="259" w:lineRule="auto"/>
        <w:tabs>
          <w:tab w:leader="none" w:pos="163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8" w:lineRule="exact"/>
        <w:rPr>
          <w:rFonts w:ascii="Arial" w:cs="Arial" w:eastAsia="Arial" w:hAnsi="Arial"/>
          <w:sz w:val="18"/>
          <w:szCs w:val="18"/>
          <w:color w:val="auto"/>
        </w:rPr>
      </w:pPr>
    </w:p>
    <w:p>
      <w:pPr>
        <w:ind w:right="200" w:firstLine="1426"/>
        <w:spacing w:after="0" w:line="335" w:lineRule="auto"/>
        <w:tabs>
          <w:tab w:leader="none" w:pos="168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80" w:top="272" w:right="499" w:bottom="1440" w:gutter="0" w:footer="0" w:header="0"/>
        </w:sectPr>
      </w:pPr>
    </w:p>
    <w:bookmarkStart w:id="264" w:name="page265"/>
    <w:bookmarkEnd w:id="264"/>
    <w:p>
      <w:pPr>
        <w:ind w:right="20" w:firstLine="1426"/>
        <w:spacing w:after="0" w:line="290" w:lineRule="auto"/>
        <w:tabs>
          <w:tab w:leader="none" w:pos="1731"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term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46 with respect to the resulting or surviving corporation as he would have with respect to such constituent corporation if its separate existence had continued.</w:t>
      </w:r>
    </w:p>
    <w:p>
      <w:pPr>
        <w:spacing w:after="0" w:line="56" w:lineRule="exact"/>
        <w:rPr>
          <w:rFonts w:ascii="Arial" w:cs="Arial" w:eastAsia="Arial" w:hAnsi="Arial"/>
          <w:sz w:val="16"/>
          <w:szCs w:val="16"/>
          <w:color w:val="auto"/>
        </w:rPr>
      </w:pPr>
    </w:p>
    <w:p>
      <w:pPr>
        <w:jc w:val="both"/>
        <w:ind w:right="440" w:firstLine="1426"/>
        <w:spacing w:after="0" w:line="259" w:lineRule="auto"/>
        <w:tabs>
          <w:tab w:leader="none" w:pos="172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References to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or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78" w:lineRule="exact"/>
        <w:rPr>
          <w:rFonts w:ascii="Arial" w:cs="Arial" w:eastAsia="Arial" w:hAnsi="Arial"/>
          <w:sz w:val="18"/>
          <w:szCs w:val="18"/>
          <w:color w:val="auto"/>
        </w:rPr>
      </w:pPr>
    </w:p>
    <w:p>
      <w:pPr>
        <w:ind w:right="20" w:firstLine="1426"/>
        <w:spacing w:after="0" w:line="270" w:lineRule="auto"/>
        <w:tabs>
          <w:tab w:leader="none" w:pos="167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Another Enterprise</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i w:val="1"/>
          <w:iCs w:val="1"/>
          <w:color w:val="auto"/>
        </w:rPr>
        <w:t>serving at the request of the corporation</w:t>
      </w:r>
      <w:r>
        <w:rPr>
          <w:rFonts w:ascii="Arial" w:cs="Arial" w:eastAsia="Arial" w:hAnsi="Arial"/>
          <w:sz w:val="17"/>
          <w:szCs w:val="17"/>
          <w:color w:val="auto"/>
        </w:rPr>
        <w:t>”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 best interests of the corporation</w:t>
      </w:r>
      <w:r>
        <w:rPr>
          <w:rFonts w:ascii="Arial" w:cs="Arial" w:eastAsia="Arial" w:hAnsi="Arial"/>
          <w:sz w:val="17"/>
          <w:szCs w:val="17"/>
          <w:color w:val="auto"/>
        </w:rPr>
        <w:t>” as referred to in this Section 46.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47. Notices.</w:t>
      </w:r>
    </w:p>
    <w:p>
      <w:pPr>
        <w:spacing w:after="0" w:line="114" w:lineRule="exact"/>
        <w:rPr>
          <w:sz w:val="20"/>
          <w:szCs w:val="20"/>
          <w:color w:val="auto"/>
        </w:rPr>
      </w:pPr>
    </w:p>
    <w:p>
      <w:pPr>
        <w:ind w:right="40" w:firstLine="990"/>
        <w:spacing w:after="0" w:line="257" w:lineRule="auto"/>
        <w:tabs>
          <w:tab w:leader="none" w:pos="123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w:t>
      </w:r>
      <w:r>
        <w:rPr>
          <w:rFonts w:ascii="Arial" w:cs="Arial" w:eastAsia="Arial" w:hAnsi="Arial"/>
          <w:sz w:val="18"/>
          <w:szCs w:val="18"/>
          <w:color w:val="auto"/>
        </w:rPr>
        <w:t>Notice to stockholders of stockholder meetings shall be given as provided in Section 7. Without limiting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w:t>
      </w:r>
    </w:p>
    <w:p>
      <w:pPr>
        <w:spacing w:after="0" w:line="76" w:lineRule="exact"/>
        <w:rPr>
          <w:rFonts w:ascii="Arial" w:cs="Arial" w:eastAsia="Arial" w:hAnsi="Arial"/>
          <w:sz w:val="18"/>
          <w:szCs w:val="18"/>
          <w:b w:val="1"/>
          <w:bCs w:val="1"/>
          <w:color w:val="auto"/>
        </w:rPr>
      </w:pPr>
    </w:p>
    <w:p>
      <w:pPr>
        <w:ind w:right="60" w:firstLine="990"/>
        <w:spacing w:after="0" w:line="257" w:lineRule="auto"/>
        <w:tabs>
          <w:tab w:leader="none" w:pos="124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the method stated in subsection (a),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post office address of such director.</w:t>
      </w:r>
    </w:p>
    <w:p>
      <w:pPr>
        <w:spacing w:after="0" w:line="76" w:lineRule="exact"/>
        <w:rPr>
          <w:rFonts w:ascii="Arial" w:cs="Arial" w:eastAsia="Arial" w:hAnsi="Arial"/>
          <w:sz w:val="18"/>
          <w:szCs w:val="18"/>
          <w:b w:val="1"/>
          <w:bCs w:val="1"/>
          <w:color w:val="auto"/>
        </w:rPr>
      </w:pPr>
    </w:p>
    <w:p>
      <w:pPr>
        <w:ind w:firstLine="990"/>
        <w:spacing w:after="0" w:line="257" w:lineRule="auto"/>
        <w:tabs>
          <w:tab w:leader="none" w:pos="122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2" w:right="499" w:bottom="1440" w:gutter="0" w:footer="0" w:header="0"/>
        </w:sectPr>
      </w:pPr>
    </w:p>
    <w:bookmarkStart w:id="265" w:name="page266"/>
    <w:bookmarkEnd w:id="265"/>
    <w:p>
      <w:pPr>
        <w:ind w:right="100" w:firstLine="990"/>
        <w:spacing w:after="0" w:line="261" w:lineRule="auto"/>
        <w:tabs>
          <w:tab w:leader="none" w:pos="1244"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73" w:lineRule="exact"/>
        <w:rPr>
          <w:rFonts w:ascii="Arial" w:cs="Arial" w:eastAsia="Arial" w:hAnsi="Arial"/>
          <w:sz w:val="18"/>
          <w:szCs w:val="18"/>
          <w:b w:val="1"/>
          <w:bCs w:val="1"/>
          <w:color w:val="auto"/>
        </w:rPr>
      </w:pPr>
    </w:p>
    <w:p>
      <w:pPr>
        <w:ind w:firstLine="990"/>
        <w:spacing w:after="0" w:line="269" w:lineRule="auto"/>
        <w:tabs>
          <w:tab w:leader="none" w:pos="1224"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applicable law or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8" w:lineRule="exact"/>
        <w:rPr>
          <w:rFonts w:ascii="Arial" w:cs="Arial" w:eastAsia="Arial" w:hAnsi="Arial"/>
          <w:sz w:val="17"/>
          <w:szCs w:val="17"/>
          <w:b w:val="1"/>
          <w:bCs w:val="1"/>
          <w:color w:val="auto"/>
        </w:rPr>
      </w:pPr>
    </w:p>
    <w:p>
      <w:pPr>
        <w:ind w:right="80" w:firstLine="990"/>
        <w:spacing w:after="0" w:line="273" w:lineRule="auto"/>
        <w:tabs>
          <w:tab w:leader="none" w:pos="1205"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Sharing an Address. </w:t>
      </w:r>
      <w:r>
        <w:rPr>
          <w:rFonts w:ascii="Arial" w:cs="Arial" w:eastAsia="Arial" w:hAnsi="Arial"/>
          <w:sz w:val="17"/>
          <w:szCs w:val="17"/>
          <w:color w:val="auto"/>
        </w:rPr>
        <w:t>Except as otherwise prohibited under the DGCL, any notice given under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1" w:lineRule="exact"/>
        <w:rPr>
          <w:sz w:val="20"/>
          <w:szCs w:val="20"/>
          <w:color w:val="auto"/>
        </w:rPr>
      </w:pPr>
    </w:p>
    <w:p>
      <w:pPr>
        <w:ind w:right="180" w:firstLine="436"/>
        <w:spacing w:after="0" w:line="291" w:lineRule="auto"/>
        <w:rPr>
          <w:sz w:val="20"/>
          <w:szCs w:val="20"/>
          <w:color w:val="auto"/>
        </w:rPr>
      </w:pPr>
      <w:r>
        <w:rPr>
          <w:rFonts w:ascii="Arial" w:cs="Arial" w:eastAsia="Arial" w:hAnsi="Arial"/>
          <w:sz w:val="16"/>
          <w:szCs w:val="16"/>
          <w:b w:val="1"/>
          <w:bCs w:val="1"/>
          <w:color w:val="auto"/>
        </w:rPr>
        <w:t xml:space="preserve">Section 48. Amendments. </w:t>
      </w:r>
      <w:r>
        <w:rPr>
          <w:rFonts w:ascii="Arial" w:cs="Arial" w:eastAsia="Arial" w:hAnsi="Arial"/>
          <w:sz w:val="16"/>
          <w:szCs w:val="16"/>
          <w:color w:val="auto"/>
        </w:rPr>
        <w:t>The Board of Directors is expressly empowered to adopt, amend or repeal the Bylaws of the corporation.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applicable law or by the Certificate of Incorporation, such action by stockholders shall require the affirmative vote of the holders of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all of the then-outstanding shares of the capital stock of the corporation entitled to vote generally in the election of directors, voting together as a single class.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LOANS TO OFFICERS</w:t>
      </w:r>
    </w:p>
    <w:p>
      <w:pPr>
        <w:spacing w:after="0" w:line="221" w:lineRule="exact"/>
        <w:rPr>
          <w:sz w:val="20"/>
          <w:szCs w:val="20"/>
          <w:color w:val="auto"/>
        </w:rPr>
      </w:pPr>
    </w:p>
    <w:p>
      <w:pPr>
        <w:ind w:right="80" w:firstLine="436"/>
        <w:spacing w:after="0" w:line="291" w:lineRule="auto"/>
        <w:rPr>
          <w:sz w:val="20"/>
          <w:szCs w:val="20"/>
          <w:color w:val="auto"/>
        </w:rPr>
      </w:pPr>
      <w:r>
        <w:rPr>
          <w:rFonts w:ascii="Arial" w:cs="Arial" w:eastAsia="Arial" w:hAnsi="Arial"/>
          <w:sz w:val="16"/>
          <w:szCs w:val="16"/>
          <w:b w:val="1"/>
          <w:bCs w:val="1"/>
          <w:color w:val="auto"/>
        </w:rPr>
        <w:t xml:space="preserve">Section 49. Loans to Officers. </w:t>
      </w:r>
      <w:r>
        <w:rPr>
          <w:rFonts w:ascii="Arial" w:cs="Arial" w:eastAsia="Arial" w:hAnsi="Arial"/>
          <w:sz w:val="16"/>
          <w:szCs w:val="16"/>
          <w:color w:val="auto"/>
        </w:rPr>
        <w:t>Except as otherwise prohibited by applicable law, the corporation may lend money to, or guarantee any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80" w:top="268" w:right="49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10.9</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4"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4" w:lineRule="exact"/>
        <w:rPr>
          <w:sz w:val="20"/>
          <w:szCs w:val="20"/>
          <w:color w:val="auto"/>
        </w:rPr>
      </w:pPr>
    </w:p>
    <w:tbl>
      <w:tblPr>
        <w:tblLayout w:type="fixed"/>
        <w:tblInd w:w="2140" w:type="dxa"/>
        <w:tblCellMar>
          <w:top w:w="0" w:type="dxa"/>
          <w:left w:w="0" w:type="dxa"/>
          <w:bottom w:w="0" w:type="dxa"/>
          <w:right w:w="0" w:type="dxa"/>
        </w:tblCellMar>
      </w:tblPr>
      <w:tr>
        <w:trPr>
          <w:trHeight w:val="214"/>
        </w:trPr>
        <w:tc>
          <w:tcPr>
            <w:tcW w:w="3680" w:type="dxa"/>
            <w:vAlign w:val="bottom"/>
          </w:tcPr>
          <w:p>
            <w:pPr>
              <w:jc w:val="center"/>
              <w:ind w:right="271"/>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r>
        <w:trPr>
          <w:trHeight w:val="231"/>
        </w:trPr>
        <w:tc>
          <w:tcPr>
            <w:tcW w:w="3680" w:type="dxa"/>
            <w:vAlign w:val="bottom"/>
          </w:tcPr>
          <w:p>
            <w:pPr>
              <w:jc w:val="center"/>
              <w:ind w:right="271"/>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9960"/>
          </w:cols>
          <w:pgMar w:left="1440" w:top="121" w:right="499" w:bottom="1440" w:gutter="0" w:footer="0" w:header="0"/>
        </w:sectPr>
      </w:pPr>
    </w:p>
    <w:bookmarkStart w:id="267" w:name="page268"/>
    <w:bookmarkEnd w:id="2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p>
        </w:tc>
        <w:tc>
          <w:tcPr>
            <w:tcW w:w="8340" w:type="dxa"/>
            <w:vAlign w:val="bottom"/>
          </w:tcPr>
          <w:p>
            <w:pPr>
              <w:ind w:left="43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200" w:type="dxa"/>
            <w:vAlign w:val="bottom"/>
          </w:tcPr>
          <w:p>
            <w:pPr>
              <w:spacing w:after="0"/>
              <w:rPr>
                <w:sz w:val="20"/>
                <w:szCs w:val="20"/>
                <w:color w:val="auto"/>
              </w:rPr>
            </w:pPr>
          </w:p>
        </w:tc>
      </w:tr>
      <w:tr>
        <w:trPr>
          <w:trHeight w:val="405"/>
        </w:trPr>
        <w:tc>
          <w:tcPr>
            <w:tcW w:w="3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3.</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5.</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6.</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7.</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8.</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tc>
        <w:tc>
          <w:tcPr>
            <w:tcW w:w="2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9.</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1"/>
        </w:trPr>
        <w:tc>
          <w:tcPr>
            <w:tcW w:w="3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1"/>
        </w:trPr>
        <w:tc>
          <w:tcPr>
            <w:tcW w:w="320" w:type="dxa"/>
            <w:vAlign w:val="bottom"/>
          </w:tcPr>
          <w:p>
            <w:pPr>
              <w:spacing w:after="0"/>
              <w:rPr>
                <w:sz w:val="24"/>
                <w:szCs w:val="24"/>
                <w:color w:val="auto"/>
              </w:rPr>
            </w:pPr>
          </w:p>
        </w:tc>
        <w:tc>
          <w:tcPr>
            <w:tcW w:w="8340" w:type="dxa"/>
            <w:vAlign w:val="bottom"/>
          </w:tcPr>
          <w:p>
            <w:pPr>
              <w:ind w:left="5120"/>
              <w:spacing w:after="0"/>
              <w:rPr>
                <w:sz w:val="20"/>
                <w:szCs w:val="20"/>
                <w:color w:val="auto"/>
              </w:rPr>
            </w:pPr>
            <w:r>
              <w:rPr>
                <w:rFonts w:ascii="Arial" w:cs="Arial" w:eastAsia="Arial" w:hAnsi="Arial"/>
                <w:sz w:val="18"/>
                <w:szCs w:val="18"/>
                <w:color w:val="auto"/>
              </w:rPr>
              <w:t>i</w:t>
            </w:r>
          </w:p>
        </w:tc>
        <w:tc>
          <w:tcPr>
            <w:tcW w:w="2200" w:type="dxa"/>
            <w:vAlign w:val="bottom"/>
          </w:tcPr>
          <w:p>
            <w:pPr>
              <w:spacing w:after="0"/>
              <w:rPr>
                <w:sz w:val="24"/>
                <w:szCs w:val="24"/>
                <w:color w:val="auto"/>
              </w:rPr>
            </w:pPr>
          </w:p>
        </w:tc>
      </w:tr>
    </w:tbl>
    <w:p>
      <w:pPr>
        <w:sectPr>
          <w:pgSz w:w="11900" w:h="16838" w:orient="portrait"/>
          <w:cols w:equalWidth="0" w:num="1">
            <w:col w:w="10860"/>
          </w:cols>
          <w:pgMar w:left="480" w:top="268" w:right="559" w:bottom="1440" w:gutter="0" w:footer="0" w:header="0"/>
        </w:sectPr>
      </w:pPr>
    </w:p>
    <w:bookmarkStart w:id="268" w:name="page269"/>
    <w:bookmarkEnd w:id="268"/>
    <w:p>
      <w:pPr>
        <w:ind w:left="440" w:hanging="433"/>
        <w:spacing w:after="0"/>
        <w:tabs>
          <w:tab w:leader="none" w:pos="4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right="180" w:firstLine="444"/>
        <w:spacing w:after="0" w:line="309" w:lineRule="auto"/>
        <w:tabs>
          <w:tab w:leader="none" w:pos="689" w:val="left"/>
        </w:tabs>
        <w:numPr>
          <w:ilvl w:val="1"/>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45" w:lineRule="exact"/>
        <w:rPr>
          <w:rFonts w:ascii="Arial" w:cs="Arial" w:eastAsia="Arial" w:hAnsi="Arial"/>
          <w:sz w:val="16"/>
          <w:szCs w:val="16"/>
          <w:b w:val="1"/>
          <w:bCs w:val="1"/>
          <w:color w:val="auto"/>
        </w:rPr>
      </w:pPr>
    </w:p>
    <w:p>
      <w:pPr>
        <w:ind w:right="320" w:firstLine="444"/>
        <w:spacing w:after="0" w:line="275" w:lineRule="auto"/>
        <w:tabs>
          <w:tab w:leader="none" w:pos="699"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SARs; (iv) Restricted Stock Awards; (v) RSU Awards; (vi) Performance Awards; and (vii) Other Awards.</w:t>
      </w:r>
    </w:p>
    <w:p>
      <w:pPr>
        <w:spacing w:after="0" w:line="167" w:lineRule="exact"/>
        <w:rPr>
          <w:rFonts w:ascii="Arial" w:cs="Arial" w:eastAsia="Arial" w:hAnsi="Arial"/>
          <w:sz w:val="18"/>
          <w:szCs w:val="18"/>
          <w:b w:val="1"/>
          <w:bCs w:val="1"/>
          <w:color w:val="auto"/>
        </w:rPr>
      </w:pPr>
    </w:p>
    <w:p>
      <w:pPr>
        <w:ind w:left="680" w:hanging="236"/>
        <w:spacing w:after="0"/>
        <w:tabs>
          <w:tab w:leader="none" w:pos="680" w:val="left"/>
        </w:tabs>
        <w:numPr>
          <w:ilvl w:val="1"/>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 Effective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351" w:lineRule="exact"/>
        <w:rPr>
          <w:rFonts w:ascii="Arial" w:cs="Arial" w:eastAsia="Arial" w:hAnsi="Arial"/>
          <w:sz w:val="16"/>
          <w:szCs w:val="16"/>
          <w:b w:val="1"/>
          <w:bCs w:val="1"/>
          <w:color w:val="auto"/>
        </w:rPr>
      </w:pPr>
    </w:p>
    <w:p>
      <w:pPr>
        <w:ind w:left="440" w:hanging="433"/>
        <w:spacing w:after="0"/>
        <w:tabs>
          <w:tab w:leader="none" w:pos="4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right="80" w:firstLine="444"/>
        <w:spacing w:after="0" w:line="269" w:lineRule="auto"/>
        <w:tabs>
          <w:tab w:leader="none" w:pos="689" w:val="left"/>
        </w:tabs>
        <w:numPr>
          <w:ilvl w:val="1"/>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Reserve. </w:t>
      </w:r>
      <w:r>
        <w:rPr>
          <w:rFonts w:ascii="Arial" w:cs="Arial" w:eastAsia="Arial" w:hAnsi="Arial"/>
          <w:sz w:val="17"/>
          <w:szCs w:val="17"/>
          <w:color w:val="auto"/>
        </w:rPr>
        <w:t>Subject to adjustment in accordance with Section 2(c) and any adjustments as necessary to implement any 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the aggregate number of shares of Common Stock that may be issued pursuant to Awards will not exceed 4,026,588 shares of Common Stock.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Common Stock outstanding on December 31 of the preceding calendar year; provided, however that the Board may act prior to January 1</w:t>
      </w:r>
      <w:r>
        <w:rPr>
          <w:rFonts w:ascii="Arial" w:cs="Arial" w:eastAsia="Arial" w:hAnsi="Arial"/>
          <w:sz w:val="14"/>
          <w:szCs w:val="14"/>
          <w:color w:val="auto"/>
        </w:rPr>
        <w:t>st</w:t>
      </w:r>
      <w:r>
        <w:rPr>
          <w:rFonts w:ascii="Arial" w:cs="Arial" w:eastAsia="Arial" w:hAnsi="Arial"/>
          <w:sz w:val="17"/>
          <w:szCs w:val="17"/>
          <w:color w:val="auto"/>
        </w:rPr>
        <w:t xml:space="preserve"> of a given year to provide that the increase for such year will be a lesser number of shares of Common Stock.</w:t>
      </w:r>
    </w:p>
    <w:p>
      <w:pPr>
        <w:spacing w:after="0" w:line="178" w:lineRule="exact"/>
        <w:rPr>
          <w:rFonts w:ascii="Arial" w:cs="Arial" w:eastAsia="Arial" w:hAnsi="Arial"/>
          <w:sz w:val="17"/>
          <w:szCs w:val="17"/>
          <w:b w:val="1"/>
          <w:bCs w:val="1"/>
          <w:color w:val="auto"/>
        </w:rPr>
      </w:pPr>
    </w:p>
    <w:p>
      <w:pPr>
        <w:ind w:firstLine="444"/>
        <w:spacing w:after="0" w:line="261" w:lineRule="auto"/>
        <w:tabs>
          <w:tab w:leader="none" w:pos="699"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is 4,026,588 shares.</w:t>
      </w:r>
    </w:p>
    <w:p>
      <w:pPr>
        <w:spacing w:after="0" w:line="180" w:lineRule="exact"/>
        <w:rPr>
          <w:rFonts w:ascii="Arial" w:cs="Arial" w:eastAsia="Arial" w:hAnsi="Arial"/>
          <w:sz w:val="18"/>
          <w:szCs w:val="18"/>
          <w:b w:val="1"/>
          <w:bCs w:val="1"/>
          <w:color w:val="auto"/>
        </w:rPr>
      </w:pPr>
    </w:p>
    <w:p>
      <w:pPr>
        <w:ind w:left="680" w:hanging="236"/>
        <w:spacing w:after="0"/>
        <w:tabs>
          <w:tab w:leader="none" w:pos="680"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220" w:lineRule="exact"/>
        <w:rPr>
          <w:rFonts w:ascii="Arial" w:cs="Arial" w:eastAsia="Arial" w:hAnsi="Arial"/>
          <w:sz w:val="18"/>
          <w:szCs w:val="18"/>
          <w:b w:val="1"/>
          <w:bCs w:val="1"/>
          <w:color w:val="auto"/>
        </w:rPr>
      </w:pPr>
    </w:p>
    <w:p>
      <w:pPr>
        <w:ind w:right="300" w:firstLine="990"/>
        <w:spacing w:after="0" w:line="253" w:lineRule="auto"/>
        <w:tabs>
          <w:tab w:leader="none" w:pos="1195" w:val="left"/>
        </w:tabs>
        <w:numPr>
          <w:ilvl w:val="2"/>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 Applies to Common Stock Issued Pursuant to Awards. </w:t>
      </w:r>
      <w:r>
        <w:rPr>
          <w:rFonts w:ascii="Arial" w:cs="Arial" w:eastAsia="Arial" w:hAnsi="Arial"/>
          <w:sz w:val="18"/>
          <w:szCs w:val="18"/>
          <w:color w:val="auto"/>
        </w:rPr>
        <w:t>For clarity, the Share Reserve is a limit on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8" w:lineRule="exact"/>
        <w:rPr>
          <w:rFonts w:ascii="Arial" w:cs="Arial" w:eastAsia="Arial" w:hAnsi="Arial"/>
          <w:sz w:val="18"/>
          <w:szCs w:val="18"/>
          <w:b w:val="1"/>
          <w:bCs w:val="1"/>
          <w:color w:val="auto"/>
        </w:rPr>
      </w:pPr>
    </w:p>
    <w:p>
      <w:pPr>
        <w:ind w:right="360" w:firstLine="990"/>
        <w:spacing w:after="0" w:line="340" w:lineRule="auto"/>
        <w:tabs>
          <w:tab w:leader="none" w:pos="1244" w:val="left"/>
        </w:tabs>
        <w:numPr>
          <w:ilvl w:val="2"/>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Actions that Do Not Constitute Issuance of Common Stock and Do Not Reduce Share Reserve. </w:t>
      </w:r>
      <w:r>
        <w:rPr>
          <w:rFonts w:ascii="Arial" w:cs="Arial" w:eastAsia="Arial" w:hAnsi="Arial"/>
          <w:sz w:val="16"/>
          <w:szCs w:val="16"/>
          <w:color w:val="auto"/>
        </w:rPr>
        <w:t>The following actions do not</w:t>
      </w:r>
      <w:r>
        <w:rPr>
          <w:rFonts w:ascii="Arial" w:cs="Arial" w:eastAsia="Arial" w:hAnsi="Arial"/>
          <w:sz w:val="16"/>
          <w:szCs w:val="16"/>
          <w:b w:val="1"/>
          <w:bCs w:val="1"/>
          <w:color w:val="auto"/>
        </w:rPr>
        <w:t xml:space="preserve"> </w:t>
      </w:r>
      <w:r>
        <w:rPr>
          <w:rFonts w:ascii="Arial" w:cs="Arial" w:eastAsia="Arial" w:hAnsi="Arial"/>
          <w:sz w:val="16"/>
          <w:szCs w:val="16"/>
          <w:color w:val="auto"/>
        </w:rPr>
        <w:t>result in an issuance of shares under the Plan and accordingly do not reduce the number of shares subject to the Share Reserve and</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480" w:top="268" w:right="539" w:bottom="1440" w:gutter="0" w:footer="0" w:header="0"/>
        </w:sectPr>
      </w:pPr>
    </w:p>
    <w:bookmarkStart w:id="269" w:name="page270"/>
    <w:bookmarkEnd w:id="269"/>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55" w:lineRule="exact"/>
        <w:rPr>
          <w:sz w:val="20"/>
          <w:szCs w:val="20"/>
          <w:color w:val="auto"/>
        </w:rPr>
      </w:pPr>
    </w:p>
    <w:p>
      <w:pPr>
        <w:ind w:firstLine="990"/>
        <w:spacing w:after="0" w:line="294" w:lineRule="auto"/>
        <w:tabs>
          <w:tab w:leader="none" w:pos="1294" w:val="left"/>
        </w:tabs>
        <w:numPr>
          <w:ilvl w:val="2"/>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 shares of Common Stock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304" w:lineRule="exact"/>
        <w:rPr>
          <w:rFonts w:ascii="Arial" w:cs="Arial" w:eastAsia="Arial" w:hAnsi="Arial"/>
          <w:sz w:val="16"/>
          <w:szCs w:val="16"/>
          <w:b w:val="1"/>
          <w:bCs w:val="1"/>
          <w:color w:val="auto"/>
        </w:rPr>
      </w:pPr>
    </w:p>
    <w:p>
      <w:pPr>
        <w:ind w:left="440" w:hanging="433"/>
        <w:spacing w:after="0"/>
        <w:tabs>
          <w:tab w:leader="none" w:pos="4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700" w:hanging="256"/>
        <w:spacing w:after="0"/>
        <w:tabs>
          <w:tab w:leader="none" w:pos="700" w:val="left"/>
        </w:tabs>
        <w:numPr>
          <w:ilvl w:val="1"/>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232" w:lineRule="exact"/>
        <w:rPr>
          <w:rFonts w:ascii="Arial" w:cs="Arial" w:eastAsia="Arial" w:hAnsi="Arial"/>
          <w:sz w:val="17"/>
          <w:szCs w:val="17"/>
          <w:b w:val="1"/>
          <w:bCs w:val="1"/>
          <w:color w:val="auto"/>
        </w:rPr>
      </w:pPr>
    </w:p>
    <w:p>
      <w:pPr>
        <w:ind w:left="700" w:hanging="256"/>
        <w:spacing w:after="0"/>
        <w:tabs>
          <w:tab w:leader="none" w:pos="70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220" w:lineRule="exact"/>
        <w:rPr>
          <w:rFonts w:ascii="Arial" w:cs="Arial" w:eastAsia="Arial" w:hAnsi="Arial"/>
          <w:sz w:val="18"/>
          <w:szCs w:val="18"/>
          <w:b w:val="1"/>
          <w:bCs w:val="1"/>
          <w:color w:val="auto"/>
        </w:rPr>
      </w:pPr>
    </w:p>
    <w:p>
      <w:pPr>
        <w:ind w:right="80" w:firstLine="990"/>
        <w:spacing w:after="0" w:line="306" w:lineRule="auto"/>
        <w:tabs>
          <w:tab w:leader="none" w:pos="1195" w:val="left"/>
        </w:tabs>
        <w:numPr>
          <w:ilvl w:val="2"/>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Incentive Stock Option Recipients. </w:t>
      </w:r>
      <w:r>
        <w:rPr>
          <w:rFonts w:ascii="Arial" w:cs="Arial" w:eastAsia="Arial" w:hAnsi="Arial"/>
          <w:sz w:val="17"/>
          <w:szCs w:val="17"/>
          <w:color w:val="auto"/>
        </w:rPr>
        <w:t>Incentive Stock Options may be granted only to Employees of the Company or a</w:t>
      </w:r>
      <w:r>
        <w:rPr>
          <w:rFonts w:ascii="Arial" w:cs="Arial" w:eastAsia="Arial" w:hAnsi="Arial"/>
          <w:sz w:val="17"/>
          <w:szCs w:val="17"/>
          <w:b w:val="1"/>
          <w:bCs w:val="1"/>
          <w:color w:val="auto"/>
        </w:rPr>
        <w:t xml:space="preserve"> </w:t>
      </w:r>
      <w:r>
        <w:rPr>
          <w:rFonts w:ascii="Arial" w:cs="Arial" w:eastAsia="Arial" w:hAnsi="Arial"/>
          <w:sz w:val="17"/>
          <w:szCs w:val="17"/>
          <w:color w:val="auto"/>
        </w:rPr>
        <w:t>“parent corporation” or “subsidiary corporation” thereof (as such terms are defined in Sections 424(e) and (f) of the Code).</w:t>
      </w:r>
    </w:p>
    <w:p>
      <w:pPr>
        <w:spacing w:after="0" w:line="143" w:lineRule="exact"/>
        <w:rPr>
          <w:sz w:val="20"/>
          <w:szCs w:val="20"/>
          <w:color w:val="auto"/>
        </w:rPr>
      </w:pPr>
    </w:p>
    <w:p>
      <w:pPr>
        <w:ind w:right="20" w:firstLine="990"/>
        <w:spacing w:after="0" w:line="253" w:lineRule="auto"/>
        <w:tabs>
          <w:tab w:leader="none" w:pos="1244"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8" w:lineRule="exact"/>
        <w:rPr>
          <w:rFonts w:ascii="Arial" w:cs="Arial" w:eastAsia="Arial" w:hAnsi="Arial"/>
          <w:sz w:val="18"/>
          <w:szCs w:val="18"/>
          <w:b w:val="1"/>
          <w:bCs w:val="1"/>
          <w:color w:val="auto"/>
        </w:rPr>
      </w:pPr>
    </w:p>
    <w:p>
      <w:pPr>
        <w:ind w:right="100" w:firstLine="990"/>
        <w:spacing w:after="0" w:line="290" w:lineRule="auto"/>
        <w:tabs>
          <w:tab w:leader="none" w:pos="1294" w:val="left"/>
        </w:tabs>
        <w:numPr>
          <w:ilvl w:val="1"/>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Options Granted to Ten Percent Stockholders. </w:t>
      </w:r>
      <w:r>
        <w:rPr>
          <w:rFonts w:ascii="Arial" w:cs="Arial" w:eastAsia="Arial" w:hAnsi="Arial"/>
          <w:sz w:val="16"/>
          <w:szCs w:val="16"/>
          <w:color w:val="auto"/>
        </w:rPr>
        <w:t>A Ten Percent Stockholder may not be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unless (i) the exercise price of such Option is at least 110% of the Fair Market Value on the date of grant of such Option and</w:t>
      </w:r>
    </w:p>
    <w:p>
      <w:pPr>
        <w:ind w:left="260" w:hanging="253"/>
        <w:spacing w:after="0"/>
        <w:tabs>
          <w:tab w:leader="none" w:pos="2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Option is not exercisable after the expiration of five years from the date of grant of such Option.</w:t>
      </w:r>
    </w:p>
    <w:p>
      <w:pPr>
        <w:spacing w:after="0" w:line="204" w:lineRule="exact"/>
        <w:rPr>
          <w:rFonts w:ascii="Arial" w:cs="Arial" w:eastAsia="Arial" w:hAnsi="Arial"/>
          <w:sz w:val="18"/>
          <w:szCs w:val="18"/>
          <w:color w:val="auto"/>
        </w:rPr>
      </w:pPr>
    </w:p>
    <w:p>
      <w:pPr>
        <w:ind w:right="180" w:firstLine="990"/>
        <w:spacing w:after="0" w:line="261" w:lineRule="auto"/>
        <w:tabs>
          <w:tab w:leader="none" w:pos="1284"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Nonstatutory Stock Options and SARs. </w:t>
      </w:r>
      <w:r>
        <w:rPr>
          <w:rFonts w:ascii="Arial" w:cs="Arial" w:eastAsia="Arial" w:hAnsi="Arial"/>
          <w:sz w:val="18"/>
          <w:szCs w:val="18"/>
          <w:color w:val="auto"/>
        </w:rPr>
        <w:t>Nonstatutory Stock Options and SARs may not be granted to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80" w:top="272" w:right="539" w:bottom="1440" w:gutter="0" w:footer="0" w:header="0"/>
        </w:sectPr>
      </w:pPr>
    </w:p>
    <w:bookmarkStart w:id="270" w:name="page271"/>
    <w:bookmarkEnd w:id="270"/>
    <w:p>
      <w:pPr>
        <w:ind w:right="160" w:firstLine="444"/>
        <w:spacing w:after="0" w:line="275" w:lineRule="auto"/>
        <w:tabs>
          <w:tab w:leader="none" w:pos="67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Aggregate Incentive Stock Option Limit. </w:t>
      </w:r>
      <w:r>
        <w:rPr>
          <w:rFonts w:ascii="Arial" w:cs="Arial" w:eastAsia="Arial" w:hAnsi="Arial"/>
          <w:sz w:val="18"/>
          <w:szCs w:val="18"/>
          <w:color w:val="auto"/>
        </w:rPr>
        <w:t>The aggregate maximum number of shares of Common Stock that may be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is the number of shares specified in Section 2(b).</w:t>
      </w:r>
    </w:p>
    <w:p>
      <w:pPr>
        <w:spacing w:after="0" w:line="167" w:lineRule="exact"/>
        <w:rPr>
          <w:rFonts w:ascii="Arial" w:cs="Arial" w:eastAsia="Arial" w:hAnsi="Arial"/>
          <w:sz w:val="18"/>
          <w:szCs w:val="18"/>
          <w:b w:val="1"/>
          <w:bCs w:val="1"/>
          <w:color w:val="auto"/>
        </w:rPr>
      </w:pPr>
    </w:p>
    <w:p>
      <w:pPr>
        <w:ind w:right="60" w:firstLine="444"/>
        <w:spacing w:after="0" w:line="253" w:lineRule="auto"/>
        <w:tabs>
          <w:tab w:leader="none" w:pos="69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 to any individual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following the Effective Date.</w:t>
      </w:r>
    </w:p>
    <w:p>
      <w:pPr>
        <w:spacing w:after="0" w:line="336" w:lineRule="exact"/>
        <w:rPr>
          <w:sz w:val="20"/>
          <w:szCs w:val="20"/>
          <w:color w:val="auto"/>
        </w:rPr>
      </w:pPr>
    </w:p>
    <w:p>
      <w:pPr>
        <w:ind w:left="440" w:hanging="433"/>
        <w:spacing w:after="0"/>
        <w:tabs>
          <w:tab w:leader="none" w:pos="4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8"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93" w:lineRule="exact"/>
        <w:rPr>
          <w:sz w:val="20"/>
          <w:szCs w:val="20"/>
          <w:color w:val="auto"/>
        </w:rPr>
      </w:pPr>
    </w:p>
    <w:p>
      <w:pPr>
        <w:ind w:firstLine="444"/>
        <w:spacing w:after="0" w:line="275" w:lineRule="auto"/>
        <w:tabs>
          <w:tab w:leader="none" w:pos="68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Section 3(b) regarding Ten Percent Stockholders, no Option or SAR will be exercisable after the expiration of ten years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such Award or such shorter period specified in the Award Agreement.</w:t>
      </w:r>
    </w:p>
    <w:p>
      <w:pPr>
        <w:spacing w:after="0" w:line="167" w:lineRule="exact"/>
        <w:rPr>
          <w:rFonts w:ascii="Arial" w:cs="Arial" w:eastAsia="Arial" w:hAnsi="Arial"/>
          <w:sz w:val="18"/>
          <w:szCs w:val="18"/>
          <w:b w:val="1"/>
          <w:bCs w:val="1"/>
          <w:color w:val="auto"/>
        </w:rPr>
      </w:pPr>
    </w:p>
    <w:p>
      <w:pPr>
        <w:ind w:right="60" w:firstLine="444"/>
        <w:spacing w:after="0" w:line="255" w:lineRule="auto"/>
        <w:tabs>
          <w:tab w:leader="none" w:pos="69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 SAR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4" w:lineRule="exact"/>
        <w:rPr>
          <w:rFonts w:ascii="Arial" w:cs="Arial" w:eastAsia="Arial" w:hAnsi="Arial"/>
          <w:sz w:val="18"/>
          <w:szCs w:val="18"/>
          <w:b w:val="1"/>
          <w:bCs w:val="1"/>
          <w:color w:val="auto"/>
        </w:rPr>
      </w:pPr>
    </w:p>
    <w:p>
      <w:pPr>
        <w:ind w:right="120" w:firstLine="444"/>
        <w:spacing w:after="0" w:line="253" w:lineRule="auto"/>
        <w:tabs>
          <w:tab w:leader="none" w:pos="67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93" w:lineRule="exact"/>
        <w:rPr>
          <w:sz w:val="20"/>
          <w:szCs w:val="20"/>
          <w:color w:val="auto"/>
        </w:rPr>
      </w:pPr>
    </w:p>
    <w:p>
      <w:pPr>
        <w:ind w:left="5420" w:right="4680" w:hanging="4430"/>
        <w:spacing w:after="0" w:line="526" w:lineRule="auto"/>
        <w:tabs>
          <w:tab w:leader="none" w:pos="1203"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by cash or check, bank draft or money order payable to the Company; 3</w:t>
      </w:r>
    </w:p>
    <w:p>
      <w:pPr>
        <w:sectPr>
          <w:pgSz w:w="11900" w:h="16838" w:orient="portrait"/>
          <w:cols w:equalWidth="0" w:num="1">
            <w:col w:w="10860"/>
          </w:cols>
          <w:pgMar w:left="480" w:top="268" w:right="559" w:bottom="1440" w:gutter="0" w:footer="0" w:header="0"/>
        </w:sectPr>
      </w:pPr>
    </w:p>
    <w:bookmarkStart w:id="271" w:name="page272"/>
    <w:bookmarkEnd w:id="271"/>
    <w:p>
      <w:pPr>
        <w:ind w:left="-20" w:right="220" w:firstLine="990"/>
        <w:spacing w:after="0" w:line="259" w:lineRule="auto"/>
        <w:tabs>
          <w:tab w:leader="none" w:pos="1225" w:val="left"/>
        </w:tabs>
        <w:numPr>
          <w:ilvl w:val="1"/>
          <w:numId w:val="20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5" w:lineRule="exact"/>
        <w:rPr>
          <w:rFonts w:ascii="Arial" w:cs="Arial" w:eastAsia="Arial" w:hAnsi="Arial"/>
          <w:sz w:val="18"/>
          <w:szCs w:val="18"/>
          <w:b w:val="1"/>
          <w:bCs w:val="1"/>
          <w:color w:val="auto"/>
        </w:rPr>
      </w:pPr>
    </w:p>
    <w:p>
      <w:pPr>
        <w:ind w:left="-20" w:firstLine="990"/>
        <w:spacing w:after="0" w:line="251" w:lineRule="auto"/>
        <w:tabs>
          <w:tab w:leader="none" w:pos="1274" w:val="left"/>
        </w:tabs>
        <w:numPr>
          <w:ilvl w:val="1"/>
          <w:numId w:val="205"/>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96" w:lineRule="exact"/>
        <w:rPr>
          <w:rFonts w:ascii="Arial" w:cs="Arial" w:eastAsia="Arial" w:hAnsi="Arial"/>
          <w:sz w:val="18"/>
          <w:szCs w:val="18"/>
          <w:b w:val="1"/>
          <w:bCs w:val="1"/>
          <w:color w:val="auto"/>
        </w:rPr>
      </w:pPr>
    </w:p>
    <w:p>
      <w:pPr>
        <w:jc w:val="both"/>
        <w:ind w:left="-20" w:right="20" w:firstLine="990"/>
        <w:spacing w:after="0" w:line="297" w:lineRule="auto"/>
        <w:tabs>
          <w:tab w:leader="none" w:pos="1264" w:val="left"/>
        </w:tabs>
        <w:numPr>
          <w:ilvl w:val="1"/>
          <w:numId w:val="205"/>
        </w:numPr>
        <w:rPr>
          <w:rFonts w:ascii="Arial" w:cs="Arial" w:eastAsia="Arial" w:hAnsi="Arial"/>
          <w:sz w:val="16"/>
          <w:szCs w:val="16"/>
          <w:b w:val="1"/>
          <w:bCs w:val="1"/>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59" w:lineRule="exact"/>
        <w:rPr>
          <w:rFonts w:ascii="Arial" w:cs="Arial" w:eastAsia="Arial" w:hAnsi="Arial"/>
          <w:sz w:val="16"/>
          <w:szCs w:val="16"/>
          <w:b w:val="1"/>
          <w:bCs w:val="1"/>
          <w:color w:val="auto"/>
        </w:rPr>
      </w:pPr>
    </w:p>
    <w:p>
      <w:pPr>
        <w:ind w:left="1220" w:hanging="250"/>
        <w:spacing w:after="0"/>
        <w:tabs>
          <w:tab w:leader="none" w:pos="1220" w:val="left"/>
        </w:tabs>
        <w:numPr>
          <w:ilvl w:val="1"/>
          <w:numId w:val="205"/>
        </w:numPr>
        <w:rPr>
          <w:rFonts w:ascii="Arial" w:cs="Arial" w:eastAsia="Arial" w:hAnsi="Arial"/>
          <w:sz w:val="18"/>
          <w:szCs w:val="18"/>
          <w:b w:val="1"/>
          <w:bCs w:val="1"/>
          <w:color w:val="auto"/>
        </w:rPr>
      </w:pPr>
      <w:r>
        <w:rPr>
          <w:rFonts w:ascii="Arial" w:cs="Arial" w:eastAsia="Arial" w:hAnsi="Arial"/>
          <w:sz w:val="18"/>
          <w:szCs w:val="18"/>
          <w:color w:val="auto"/>
        </w:rPr>
        <w:t>in any other form of consideration that may be acceptable to the Board and permissible under Applicable Law.</w:t>
      </w:r>
    </w:p>
    <w:p>
      <w:pPr>
        <w:spacing w:after="0" w:line="216" w:lineRule="exact"/>
        <w:rPr>
          <w:rFonts w:ascii="Arial" w:cs="Arial" w:eastAsia="Arial" w:hAnsi="Arial"/>
          <w:sz w:val="18"/>
          <w:szCs w:val="18"/>
          <w:b w:val="1"/>
          <w:bCs w:val="1"/>
          <w:color w:val="auto"/>
        </w:rPr>
      </w:pPr>
    </w:p>
    <w:p>
      <w:pPr>
        <w:ind w:left="-20" w:right="40" w:firstLine="444"/>
        <w:spacing w:after="0" w:line="291" w:lineRule="auto"/>
        <w:tabs>
          <w:tab w:leader="none" w:pos="679"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Procedure and Payment of Appreciation Distribution for SARs. </w:t>
      </w:r>
      <w:r>
        <w:rPr>
          <w:rFonts w:ascii="Arial" w:cs="Arial" w:eastAsia="Arial" w:hAnsi="Arial"/>
          <w:sz w:val="16"/>
          <w:szCs w:val="16"/>
          <w:color w:val="auto"/>
        </w:rPr>
        <w:t>In order to exercise any SAR, the Participant must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59" w:lineRule="exact"/>
        <w:rPr>
          <w:rFonts w:ascii="Arial" w:cs="Arial" w:eastAsia="Arial" w:hAnsi="Arial"/>
          <w:sz w:val="16"/>
          <w:szCs w:val="16"/>
          <w:b w:val="1"/>
          <w:bCs w:val="1"/>
          <w:color w:val="auto"/>
        </w:rPr>
      </w:pPr>
    </w:p>
    <w:p>
      <w:pPr>
        <w:ind w:left="-20" w:right="720" w:firstLine="444"/>
        <w:spacing w:after="0" w:line="340" w:lineRule="auto"/>
        <w:tabs>
          <w:tab w:leader="none" w:pos="659"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Options and SARs may not be transferred to third party financial institutions for value. The Board may impose such</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limitations on the transferability of an Option or SAR as it determines. In the absence of any such determination by the Board, the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72" w:right="519" w:bottom="1440" w:gutter="0" w:footer="0" w:header="0"/>
        </w:sectPr>
      </w:pPr>
    </w:p>
    <w:bookmarkStart w:id="272" w:name="page273"/>
    <w:bookmarkEnd w:id="27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182" w:lineRule="exact"/>
        <w:rPr>
          <w:sz w:val="20"/>
          <w:szCs w:val="20"/>
          <w:color w:val="auto"/>
        </w:rPr>
      </w:pPr>
    </w:p>
    <w:p>
      <w:pPr>
        <w:ind w:firstLine="990"/>
        <w:spacing w:after="0" w:line="294" w:lineRule="auto"/>
        <w:tabs>
          <w:tab w:leader="none" w:pos="1195" w:val="left"/>
        </w:tabs>
        <w:numPr>
          <w:ilvl w:val="1"/>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56" w:lineRule="exact"/>
        <w:rPr>
          <w:rFonts w:ascii="Arial" w:cs="Arial" w:eastAsia="Arial" w:hAnsi="Arial"/>
          <w:sz w:val="16"/>
          <w:szCs w:val="16"/>
          <w:b w:val="1"/>
          <w:bCs w:val="1"/>
          <w:color w:val="auto"/>
        </w:rPr>
      </w:pPr>
    </w:p>
    <w:p>
      <w:pPr>
        <w:ind w:right="60" w:firstLine="990"/>
        <w:spacing w:after="0" w:line="261" w:lineRule="auto"/>
        <w:tabs>
          <w:tab w:leader="none" w:pos="1244"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 subject to the approval of the Board or a duly authorized Officer, an Option or SAR may be transferred pursuant to a domestic relations order.</w:t>
      </w:r>
    </w:p>
    <w:p>
      <w:pPr>
        <w:spacing w:after="0" w:line="180" w:lineRule="exact"/>
        <w:rPr>
          <w:rFonts w:ascii="Arial" w:cs="Arial" w:eastAsia="Arial" w:hAnsi="Arial"/>
          <w:sz w:val="18"/>
          <w:szCs w:val="18"/>
          <w:b w:val="1"/>
          <w:bCs w:val="1"/>
          <w:color w:val="auto"/>
        </w:rPr>
      </w:pPr>
    </w:p>
    <w:p>
      <w:pPr>
        <w:ind w:right="220" w:firstLine="444"/>
        <w:spacing w:after="0" w:line="261" w:lineRule="auto"/>
        <w:tabs>
          <w:tab w:leader="none" w:pos="65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80" w:lineRule="exact"/>
        <w:rPr>
          <w:rFonts w:ascii="Arial" w:cs="Arial" w:eastAsia="Arial" w:hAnsi="Arial"/>
          <w:sz w:val="18"/>
          <w:szCs w:val="18"/>
          <w:b w:val="1"/>
          <w:bCs w:val="1"/>
          <w:color w:val="auto"/>
        </w:rPr>
      </w:pPr>
    </w:p>
    <w:p>
      <w:pPr>
        <w:ind w:firstLine="444"/>
        <w:spacing w:after="0" w:line="253" w:lineRule="auto"/>
        <w:tabs>
          <w:tab w:leader="none" w:pos="68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for Cause. </w:t>
      </w:r>
      <w:r>
        <w:rPr>
          <w:rFonts w:ascii="Arial" w:cs="Arial" w:eastAsia="Arial" w:hAnsi="Arial"/>
          <w:sz w:val="18"/>
          <w:szCs w:val="18"/>
          <w:color w:val="auto"/>
        </w:rPr>
        <w:t>Except as explicitly otherwise provided in the Award Agreement or other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8" w:lineRule="exact"/>
        <w:rPr>
          <w:rFonts w:ascii="Arial" w:cs="Arial" w:eastAsia="Arial" w:hAnsi="Arial"/>
          <w:sz w:val="18"/>
          <w:szCs w:val="18"/>
          <w:b w:val="1"/>
          <w:bCs w:val="1"/>
          <w:color w:val="auto"/>
        </w:rPr>
      </w:pPr>
    </w:p>
    <w:p>
      <w:pPr>
        <w:ind w:right="60" w:firstLine="444"/>
        <w:spacing w:after="0" w:line="255" w:lineRule="auto"/>
        <w:tabs>
          <w:tab w:leader="none" w:pos="69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 4(i),</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8" w:lineRule="exact"/>
        <w:rPr>
          <w:rFonts w:ascii="Arial" w:cs="Arial" w:eastAsia="Arial" w:hAnsi="Arial"/>
          <w:sz w:val="18"/>
          <w:szCs w:val="18"/>
          <w:b w:val="1"/>
          <w:bCs w:val="1"/>
          <w:color w:val="auto"/>
        </w:rPr>
      </w:pPr>
    </w:p>
    <w:p>
      <w:pPr>
        <w:ind w:right="120" w:firstLine="990"/>
        <w:spacing w:after="0" w:line="271" w:lineRule="auto"/>
        <w:tabs>
          <w:tab w:leader="none" w:pos="1195"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273" w:name="page274"/>
    <w:bookmarkEnd w:id="273"/>
    <w:p>
      <w:pPr>
        <w:ind w:left="1260" w:hanging="270"/>
        <w:spacing w:after="0"/>
        <w:tabs>
          <w:tab w:leader="none" w:pos="126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 months following the date of such termination if such termination is due to the Participant’s Disability;</w:t>
      </w:r>
    </w:p>
    <w:p>
      <w:pPr>
        <w:spacing w:after="0" w:line="220" w:lineRule="exact"/>
        <w:rPr>
          <w:rFonts w:ascii="Arial" w:cs="Arial" w:eastAsia="Arial" w:hAnsi="Arial"/>
          <w:sz w:val="18"/>
          <w:szCs w:val="18"/>
          <w:b w:val="1"/>
          <w:bCs w:val="1"/>
          <w:color w:val="auto"/>
        </w:rPr>
      </w:pPr>
    </w:p>
    <w:p>
      <w:pPr>
        <w:ind w:left="1300" w:hanging="310"/>
        <w:spacing w:after="0"/>
        <w:tabs>
          <w:tab w:leader="none" w:pos="130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220" w:lineRule="exact"/>
        <w:rPr>
          <w:rFonts w:ascii="Arial" w:cs="Arial" w:eastAsia="Arial" w:hAnsi="Arial"/>
          <w:sz w:val="18"/>
          <w:szCs w:val="18"/>
          <w:b w:val="1"/>
          <w:bCs w:val="1"/>
          <w:color w:val="auto"/>
        </w:rPr>
      </w:pPr>
    </w:p>
    <w:p>
      <w:pPr>
        <w:ind w:right="440" w:firstLine="990"/>
        <w:spacing w:after="0" w:line="271" w:lineRule="auto"/>
        <w:tabs>
          <w:tab w:leader="none" w:pos="1284"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6" w:lineRule="exact"/>
        <w:rPr>
          <w:sz w:val="20"/>
          <w:szCs w:val="20"/>
          <w:color w:val="auto"/>
        </w:rPr>
      </w:pPr>
    </w:p>
    <w:p>
      <w:pPr>
        <w:ind w:firstLine="444"/>
        <w:spacing w:after="0" w:line="285" w:lineRule="auto"/>
        <w:tabs>
          <w:tab w:leader="none" w:pos="649"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68" w:lineRule="exact"/>
        <w:rPr>
          <w:rFonts w:ascii="Arial" w:cs="Arial" w:eastAsia="Arial" w:hAnsi="Arial"/>
          <w:sz w:val="16"/>
          <w:szCs w:val="16"/>
          <w:b w:val="1"/>
          <w:bCs w:val="1"/>
          <w:color w:val="auto"/>
        </w:rPr>
      </w:pPr>
    </w:p>
    <w:p>
      <w:pPr>
        <w:ind w:firstLine="444"/>
        <w:spacing w:after="0" w:line="287" w:lineRule="auto"/>
        <w:tabs>
          <w:tab w:leader="none" w:pos="659"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No Option or SAR, whether or not vested,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274" w:name="page275"/>
    <w:bookmarkEnd w:id="274"/>
    <w:p>
      <w:pPr>
        <w:ind w:left="693" w:hanging="256"/>
        <w:spacing w:after="0"/>
        <w:tabs>
          <w:tab w:leader="none" w:pos="693"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Whole Shares. </w:t>
      </w:r>
      <w:r>
        <w:rPr>
          <w:rFonts w:ascii="Arial" w:cs="Arial" w:eastAsia="Arial" w:hAnsi="Arial"/>
          <w:sz w:val="18"/>
          <w:szCs w:val="18"/>
          <w:color w:val="auto"/>
        </w:rPr>
        <w:t>Options and SARs may be exercised only with respect to whole shares of Common Stock or their equivalents.</w:t>
      </w:r>
    </w:p>
    <w:p>
      <w:pPr>
        <w:spacing w:after="0" w:line="368" w:lineRule="exact"/>
        <w:rPr>
          <w:rFonts w:ascii="Arial" w:cs="Arial" w:eastAsia="Arial" w:hAnsi="Arial"/>
          <w:sz w:val="18"/>
          <w:szCs w:val="18"/>
          <w:b w:val="1"/>
          <w:bCs w:val="1"/>
          <w:color w:val="auto"/>
        </w:rPr>
      </w:pPr>
    </w:p>
    <w:p>
      <w:pPr>
        <w:ind w:left="433" w:hanging="433"/>
        <w:spacing w:after="0"/>
        <w:tabs>
          <w:tab w:leader="none" w:pos="43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jc w:val="both"/>
        <w:ind w:left="-7" w:right="720" w:firstLine="444"/>
        <w:spacing w:after="0" w:line="309" w:lineRule="auto"/>
        <w:tabs>
          <w:tab w:leader="none" w:pos="681" w:val="left"/>
        </w:tabs>
        <w:numPr>
          <w:ilvl w:val="1"/>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and RSU Awards. </w:t>
      </w:r>
      <w:r>
        <w:rPr>
          <w:rFonts w:ascii="Arial" w:cs="Arial" w:eastAsia="Arial" w:hAnsi="Arial"/>
          <w:sz w:val="16"/>
          <w:szCs w:val="16"/>
          <w:color w:val="auto"/>
        </w:rPr>
        <w:t>Each Restricted Stock Award and RSU Award will have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45" w:lineRule="exact"/>
        <w:rPr>
          <w:rFonts w:ascii="Arial" w:cs="Arial" w:eastAsia="Arial" w:hAnsi="Arial"/>
          <w:sz w:val="16"/>
          <w:szCs w:val="16"/>
          <w:b w:val="1"/>
          <w:bCs w:val="1"/>
          <w:color w:val="auto"/>
        </w:rPr>
      </w:pPr>
    </w:p>
    <w:p>
      <w:pPr>
        <w:ind w:left="1193" w:hanging="210"/>
        <w:spacing w:after="0"/>
        <w:tabs>
          <w:tab w:leader="none" w:pos="1193" w:val="left"/>
        </w:tabs>
        <w:numPr>
          <w:ilvl w:val="2"/>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224" w:lineRule="exact"/>
        <w:rPr>
          <w:rFonts w:ascii="Arial" w:cs="Arial" w:eastAsia="Arial" w:hAnsi="Arial"/>
          <w:sz w:val="18"/>
          <w:szCs w:val="18"/>
          <w:b w:val="1"/>
          <w:bCs w:val="1"/>
          <w:color w:val="auto"/>
        </w:rPr>
      </w:pPr>
    </w:p>
    <w:p>
      <w:pPr>
        <w:ind w:left="-7" w:right="60" w:firstLine="1426"/>
        <w:spacing w:after="0" w:line="253" w:lineRule="auto"/>
        <w:tabs>
          <w:tab w:leader="none" w:pos="1664" w:val="left"/>
        </w:tabs>
        <w:numPr>
          <w:ilvl w:val="3"/>
          <w:numId w:val="212"/>
        </w:numPr>
        <w:rPr>
          <w:rFonts w:ascii="Arial" w:cs="Arial" w:eastAsia="Arial" w:hAnsi="Arial"/>
          <w:sz w:val="18"/>
          <w:szCs w:val="18"/>
          <w:b w:val="1"/>
          <w:bCs w:val="1"/>
          <w:color w:val="auto"/>
        </w:rPr>
      </w:pPr>
      <w:r>
        <w:rPr>
          <w:rFonts w:ascii="Arial" w:cs="Arial" w:eastAsia="Arial" w:hAnsi="Arial"/>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92" w:lineRule="exact"/>
        <w:rPr>
          <w:rFonts w:ascii="Arial" w:cs="Arial" w:eastAsia="Arial" w:hAnsi="Arial"/>
          <w:sz w:val="18"/>
          <w:szCs w:val="18"/>
          <w:b w:val="1"/>
          <w:bCs w:val="1"/>
          <w:color w:val="auto"/>
        </w:rPr>
      </w:pPr>
    </w:p>
    <w:p>
      <w:pPr>
        <w:ind w:left="-7" w:firstLine="1426"/>
        <w:spacing w:after="0" w:line="290" w:lineRule="auto"/>
        <w:tabs>
          <w:tab w:leader="none" w:pos="1664" w:val="left"/>
        </w:tabs>
        <w:numPr>
          <w:ilvl w:val="3"/>
          <w:numId w:val="212"/>
        </w:numPr>
        <w:rPr>
          <w:rFonts w:ascii="Arial" w:cs="Arial" w:eastAsia="Arial" w:hAnsi="Arial"/>
          <w:sz w:val="16"/>
          <w:szCs w:val="16"/>
          <w:b w:val="1"/>
          <w:bCs w:val="1"/>
          <w:color w:val="auto"/>
        </w:rPr>
      </w:pPr>
      <w:r>
        <w:rPr>
          <w:rFonts w:ascii="Arial" w:cs="Arial" w:eastAsia="Arial" w:hAnsi="Arial"/>
          <w:sz w:val="16"/>
          <w:szCs w:val="16"/>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59" w:lineRule="exact"/>
        <w:rPr>
          <w:rFonts w:ascii="Arial" w:cs="Arial" w:eastAsia="Arial" w:hAnsi="Arial"/>
          <w:sz w:val="16"/>
          <w:szCs w:val="16"/>
          <w:b w:val="1"/>
          <w:bCs w:val="1"/>
          <w:color w:val="auto"/>
        </w:rPr>
      </w:pPr>
    </w:p>
    <w:p>
      <w:pPr>
        <w:ind w:left="1253" w:hanging="270"/>
        <w:spacing w:after="0"/>
        <w:tabs>
          <w:tab w:leader="none" w:pos="1253" w:val="left"/>
        </w:tabs>
        <w:numPr>
          <w:ilvl w:val="2"/>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4" w:lineRule="exact"/>
        <w:rPr>
          <w:rFonts w:ascii="Arial" w:cs="Arial" w:eastAsia="Arial" w:hAnsi="Arial"/>
          <w:sz w:val="18"/>
          <w:szCs w:val="18"/>
          <w:b w:val="1"/>
          <w:bCs w:val="1"/>
          <w:color w:val="auto"/>
        </w:rPr>
      </w:pPr>
    </w:p>
    <w:p>
      <w:pPr>
        <w:ind w:left="-7" w:right="100" w:firstLine="1426"/>
        <w:spacing w:after="0" w:line="259" w:lineRule="auto"/>
        <w:tabs>
          <w:tab w:leader="none" w:pos="1664" w:val="left"/>
        </w:tabs>
        <w:numPr>
          <w:ilvl w:val="3"/>
          <w:numId w:val="212"/>
        </w:numPr>
        <w:rPr>
          <w:rFonts w:ascii="Arial" w:cs="Arial" w:eastAsia="Arial" w:hAnsi="Arial"/>
          <w:sz w:val="18"/>
          <w:szCs w:val="18"/>
          <w:b w:val="1"/>
          <w:bCs w:val="1"/>
          <w:color w:val="auto"/>
        </w:rPr>
      </w:pPr>
      <w:r>
        <w:rPr>
          <w:rFonts w:ascii="Arial" w:cs="Arial" w:eastAsia="Arial" w:hAnsi="Arial"/>
          <w:sz w:val="18"/>
          <w:szCs w:val="18"/>
          <w:color w:val="auto"/>
        </w:rPr>
        <w:t>Restricted Stock Awards: A Restricted Stock Award may be granted in consideration for (A) cash or check, bank draft or money order payable to the Company, (B) services to the Company or an Affiliate, or (C) any other form of consideration (including future services) as the Board may determine and permissible under Applicable Law.</w:t>
      </w:r>
    </w:p>
    <w:p>
      <w:pPr>
        <w:spacing w:after="0" w:line="185" w:lineRule="exact"/>
        <w:rPr>
          <w:rFonts w:ascii="Arial" w:cs="Arial" w:eastAsia="Arial" w:hAnsi="Arial"/>
          <w:sz w:val="18"/>
          <w:szCs w:val="18"/>
          <w:b w:val="1"/>
          <w:bCs w:val="1"/>
          <w:color w:val="auto"/>
        </w:rPr>
      </w:pPr>
    </w:p>
    <w:p>
      <w:pPr>
        <w:ind w:left="-7" w:right="60" w:firstLine="1426"/>
        <w:spacing w:after="0" w:line="270" w:lineRule="auto"/>
        <w:tabs>
          <w:tab w:leader="none" w:pos="1664" w:val="left"/>
        </w:tabs>
        <w:numPr>
          <w:ilvl w:val="3"/>
          <w:numId w:val="212"/>
        </w:numPr>
        <w:rPr>
          <w:rFonts w:ascii="Arial" w:cs="Arial" w:eastAsia="Arial" w:hAnsi="Arial"/>
          <w:sz w:val="17"/>
          <w:szCs w:val="17"/>
          <w:b w:val="1"/>
          <w:bCs w:val="1"/>
          <w:color w:val="auto"/>
        </w:rPr>
      </w:pPr>
      <w:r>
        <w:rPr>
          <w:rFonts w:ascii="Arial" w:cs="Arial" w:eastAsia="Arial" w:hAnsi="Arial"/>
          <w:sz w:val="17"/>
          <w:szCs w:val="17"/>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1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13"/>
          </w:cols>
          <w:pgMar w:left="487" w:top="268" w:right="499" w:bottom="1440" w:gutter="0" w:footer="0" w:header="0"/>
        </w:sectPr>
      </w:pPr>
    </w:p>
    <w:bookmarkStart w:id="275" w:name="page276"/>
    <w:bookmarkEnd w:id="275"/>
    <w:p>
      <w:pPr>
        <w:ind w:left="-7" w:right="60" w:firstLine="990"/>
        <w:spacing w:after="0" w:line="309" w:lineRule="auto"/>
        <w:tabs>
          <w:tab w:leader="none" w:pos="1287" w:val="left"/>
        </w:tabs>
        <w:numPr>
          <w:ilvl w:val="2"/>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Vesting. </w:t>
      </w:r>
      <w:r>
        <w:rPr>
          <w:rFonts w:ascii="Arial" w:cs="Arial" w:eastAsia="Arial" w:hAnsi="Arial"/>
          <w:sz w:val="16"/>
          <w:szCs w:val="16"/>
          <w:color w:val="auto"/>
        </w:rPr>
        <w:t>The Board may impose such restrictions on or conditions to the vesting of a Restricted Stock Award or RSU Award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45" w:lineRule="exact"/>
        <w:rPr>
          <w:rFonts w:ascii="Arial" w:cs="Arial" w:eastAsia="Arial" w:hAnsi="Arial"/>
          <w:sz w:val="16"/>
          <w:szCs w:val="16"/>
          <w:b w:val="1"/>
          <w:bCs w:val="1"/>
          <w:color w:val="auto"/>
        </w:rPr>
      </w:pPr>
    </w:p>
    <w:p>
      <w:pPr>
        <w:ind w:left="-7" w:firstLine="990"/>
        <w:spacing w:after="0" w:line="268" w:lineRule="auto"/>
        <w:tabs>
          <w:tab w:leader="none" w:pos="1277" w:val="left"/>
        </w:tabs>
        <w:numPr>
          <w:ilvl w:val="2"/>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Award Agreement or other written agreement between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79" w:lineRule="exact"/>
        <w:rPr>
          <w:rFonts w:ascii="Arial" w:cs="Arial" w:eastAsia="Arial" w:hAnsi="Arial"/>
          <w:sz w:val="17"/>
          <w:szCs w:val="17"/>
          <w:b w:val="1"/>
          <w:bCs w:val="1"/>
          <w:color w:val="auto"/>
        </w:rPr>
      </w:pPr>
    </w:p>
    <w:p>
      <w:pPr>
        <w:ind w:left="-7" w:right="100" w:firstLine="990"/>
        <w:spacing w:after="0" w:line="340" w:lineRule="auto"/>
        <w:tabs>
          <w:tab w:leader="none" w:pos="1227" w:val="left"/>
        </w:tabs>
        <w:numPr>
          <w:ilvl w:val="2"/>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subject to a Restricted Stock Award or RSU Award, as determined by the Board and specified in the Award Agreement.</w:t>
      </w:r>
    </w:p>
    <w:p>
      <w:pPr>
        <w:spacing w:after="0" w:line="120" w:lineRule="exact"/>
        <w:rPr>
          <w:rFonts w:ascii="Arial" w:cs="Arial" w:eastAsia="Arial" w:hAnsi="Arial"/>
          <w:sz w:val="16"/>
          <w:szCs w:val="16"/>
          <w:b w:val="1"/>
          <w:bCs w:val="1"/>
          <w:color w:val="auto"/>
        </w:rPr>
      </w:pPr>
    </w:p>
    <w:p>
      <w:pPr>
        <w:jc w:val="both"/>
        <w:ind w:left="-7" w:right="20" w:firstLine="990"/>
        <w:spacing w:after="0" w:line="309" w:lineRule="auto"/>
        <w:tabs>
          <w:tab w:leader="none" w:pos="1277" w:val="left"/>
        </w:tabs>
        <w:numPr>
          <w:ilvl w:val="2"/>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RSU Awards</w:t>
      </w:r>
      <w:r>
        <w:rPr>
          <w:rFonts w:ascii="Arial" w:cs="Arial" w:eastAsia="Arial" w:hAnsi="Arial"/>
          <w:sz w:val="16"/>
          <w:szCs w:val="16"/>
          <w:color w:val="auto"/>
        </w:rPr>
        <w:t>. An RSU Award may be settled by the issuance of shares of Common Stock or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45" w:lineRule="exact"/>
        <w:rPr>
          <w:rFonts w:ascii="Arial" w:cs="Arial" w:eastAsia="Arial" w:hAnsi="Arial"/>
          <w:sz w:val="16"/>
          <w:szCs w:val="16"/>
          <w:b w:val="1"/>
          <w:bCs w:val="1"/>
          <w:color w:val="auto"/>
        </w:rPr>
      </w:pPr>
    </w:p>
    <w:p>
      <w:pPr>
        <w:jc w:val="both"/>
        <w:ind w:left="-7" w:right="20" w:firstLine="444"/>
        <w:spacing w:after="0" w:line="261" w:lineRule="auto"/>
        <w:tabs>
          <w:tab w:leader="none" w:pos="691"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80" w:lineRule="exact"/>
        <w:rPr>
          <w:rFonts w:ascii="Arial" w:cs="Arial" w:eastAsia="Arial" w:hAnsi="Arial"/>
          <w:sz w:val="18"/>
          <w:szCs w:val="18"/>
          <w:b w:val="1"/>
          <w:bCs w:val="1"/>
          <w:color w:val="auto"/>
        </w:rPr>
      </w:pPr>
    </w:p>
    <w:p>
      <w:pPr>
        <w:ind w:left="-7" w:right="260" w:firstLine="444"/>
        <w:spacing w:after="0" w:line="273" w:lineRule="auto"/>
        <w:tabs>
          <w:tab w:leader="none" w:pos="671" w:val="left"/>
        </w:tabs>
        <w:numPr>
          <w:ilvl w:val="1"/>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Other Awards</w:t>
      </w:r>
      <w:r>
        <w:rPr>
          <w:rFonts w:ascii="Arial" w:cs="Arial" w:eastAsia="Arial" w:hAnsi="Arial"/>
          <w:sz w:val="17"/>
          <w:szCs w:val="17"/>
          <w:color w:val="auto"/>
        </w:rPr>
        <w:t>. Other forms of Awards valued in whole or in part by reference to, or otherwise based on, Common Stock,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319" w:lineRule="exact"/>
        <w:rPr>
          <w:rFonts w:ascii="Arial" w:cs="Arial" w:eastAsia="Arial" w:hAnsi="Arial"/>
          <w:sz w:val="17"/>
          <w:szCs w:val="17"/>
          <w:b w:val="1"/>
          <w:bCs w:val="1"/>
          <w:color w:val="auto"/>
        </w:rPr>
      </w:pPr>
    </w:p>
    <w:p>
      <w:pPr>
        <w:ind w:left="433" w:hanging="433"/>
        <w:spacing w:after="0"/>
        <w:tabs>
          <w:tab w:leader="none" w:pos="433"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7" w:right="280" w:firstLine="444"/>
        <w:spacing w:after="0" w:line="275" w:lineRule="auto"/>
        <w:tabs>
          <w:tab w:leader="none" w:pos="681"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Adjustments</w:t>
      </w:r>
      <w:r>
        <w:rPr>
          <w:rFonts w:ascii="Arial" w:cs="Arial" w:eastAsia="Arial" w:hAnsi="Arial"/>
          <w:sz w:val="18"/>
          <w:szCs w:val="18"/>
          <w:color w:val="auto"/>
        </w:rPr>
        <w:t>. In the event of a Capitalization Adjustment, the Board shall appropriately and proportionately adjust: (i)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class(es) and maximum number of</w:t>
      </w:r>
    </w:p>
    <w:p>
      <w:pPr>
        <w:spacing w:after="0" w:line="105"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33"/>
          </w:cols>
          <w:pgMar w:left="487" w:top="268" w:right="579" w:bottom="1440" w:gutter="0" w:footer="0" w:header="0"/>
        </w:sectPr>
      </w:pPr>
    </w:p>
    <w:bookmarkStart w:id="276" w:name="page277"/>
    <w:bookmarkEnd w:id="276"/>
    <w:p>
      <w:pPr>
        <w:ind w:right="6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93" w:lineRule="exact"/>
        <w:rPr>
          <w:sz w:val="20"/>
          <w:szCs w:val="20"/>
          <w:color w:val="auto"/>
        </w:rPr>
      </w:pPr>
    </w:p>
    <w:p>
      <w:pPr>
        <w:ind w:firstLine="444"/>
        <w:spacing w:after="0" w:line="269" w:lineRule="auto"/>
        <w:tabs>
          <w:tab w:leader="none" w:pos="699"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8" w:lineRule="exact"/>
        <w:rPr>
          <w:rFonts w:ascii="Arial" w:cs="Arial" w:eastAsia="Arial" w:hAnsi="Arial"/>
          <w:sz w:val="17"/>
          <w:szCs w:val="17"/>
          <w:b w:val="1"/>
          <w:bCs w:val="1"/>
          <w:color w:val="auto"/>
        </w:rPr>
      </w:pPr>
    </w:p>
    <w:p>
      <w:pPr>
        <w:ind w:left="680" w:hanging="236"/>
        <w:spacing w:after="0"/>
        <w:tabs>
          <w:tab w:leader="none" w:pos="68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will apply to Awards in the event of a Corporate Transaction, except as set forth in</w:t>
      </w:r>
    </w:p>
    <w:p>
      <w:pPr>
        <w:spacing w:after="0" w:line="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84" w:lineRule="exact"/>
        <w:rPr>
          <w:sz w:val="20"/>
          <w:szCs w:val="20"/>
          <w:color w:val="auto"/>
        </w:rPr>
      </w:pPr>
    </w:p>
    <w:p>
      <w:pPr>
        <w:ind w:right="180" w:firstLine="990"/>
        <w:spacing w:after="0" w:line="287" w:lineRule="auto"/>
        <w:tabs>
          <w:tab w:leader="none" w:pos="1195"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May Be Assumed. </w:t>
      </w:r>
      <w:r>
        <w:rPr>
          <w:rFonts w:ascii="Arial" w:cs="Arial" w:eastAsia="Arial" w:hAnsi="Arial"/>
          <w:sz w:val="16"/>
          <w:szCs w:val="16"/>
          <w:color w:val="auto"/>
        </w:rPr>
        <w:t>In the event of a Corporate Transaction, any surviving corporation or acquiring corporation (or the</w:t>
      </w:r>
      <w:r>
        <w:rPr>
          <w:rFonts w:ascii="Arial" w:cs="Arial" w:eastAsia="Arial" w:hAnsi="Arial"/>
          <w:sz w:val="16"/>
          <w:szCs w:val="16"/>
          <w:b w:val="1"/>
          <w:bCs w:val="1"/>
          <w:color w:val="auto"/>
        </w:rPr>
        <w:t xml:space="preserve"> </w:t>
      </w:r>
      <w:r>
        <w:rPr>
          <w:rFonts w:ascii="Arial" w:cs="Arial" w:eastAsia="Arial" w:hAnsi="Arial"/>
          <w:sz w:val="16"/>
          <w:szCs w:val="16"/>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65" w:lineRule="exact"/>
        <w:rPr>
          <w:rFonts w:ascii="Arial" w:cs="Arial" w:eastAsia="Arial" w:hAnsi="Arial"/>
          <w:sz w:val="16"/>
          <w:szCs w:val="16"/>
          <w:b w:val="1"/>
          <w:bCs w:val="1"/>
          <w:color w:val="auto"/>
        </w:rPr>
      </w:pPr>
    </w:p>
    <w:p>
      <w:pPr>
        <w:ind w:right="260" w:firstLine="990"/>
        <w:spacing w:after="0" w:line="257" w:lineRule="auto"/>
        <w:tabs>
          <w:tab w:leader="none" w:pos="1244"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Current Participants. </w:t>
      </w:r>
      <w:r>
        <w:rPr>
          <w:rFonts w:ascii="Arial" w:cs="Arial" w:eastAsia="Arial" w:hAnsi="Arial"/>
          <w:sz w:val="18"/>
          <w:szCs w:val="18"/>
          <w:color w:val="auto"/>
        </w:rPr>
        <w:t>In the event of a Corporate Transaction in which the surviving corporation or acquiring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277" w:name="page278"/>
    <w:bookmarkEnd w:id="27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65" w:lineRule="exact"/>
        <w:rPr>
          <w:sz w:val="20"/>
          <w:szCs w:val="20"/>
          <w:color w:val="auto"/>
        </w:rPr>
      </w:pPr>
    </w:p>
    <w:p>
      <w:pPr>
        <w:ind w:firstLine="990"/>
        <w:spacing w:after="0" w:line="253" w:lineRule="auto"/>
        <w:tabs>
          <w:tab w:leader="none" w:pos="1294" w:val="left"/>
        </w:tabs>
        <w:numPr>
          <w:ilvl w:val="1"/>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8" w:lineRule="exact"/>
        <w:rPr>
          <w:rFonts w:ascii="Arial" w:cs="Arial" w:eastAsia="Arial" w:hAnsi="Arial"/>
          <w:sz w:val="18"/>
          <w:szCs w:val="18"/>
          <w:b w:val="1"/>
          <w:bCs w:val="1"/>
          <w:color w:val="auto"/>
        </w:rPr>
      </w:pPr>
    </w:p>
    <w:p>
      <w:pPr>
        <w:ind w:right="40" w:firstLine="990"/>
        <w:spacing w:after="0" w:line="273" w:lineRule="auto"/>
        <w:tabs>
          <w:tab w:leader="none" w:pos="1284" w:val="left"/>
        </w:tabs>
        <w:numPr>
          <w:ilvl w:val="1"/>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 exercised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2" w:lineRule="exact"/>
        <w:rPr>
          <w:rFonts w:ascii="Arial" w:cs="Arial" w:eastAsia="Arial" w:hAnsi="Arial"/>
          <w:sz w:val="17"/>
          <w:szCs w:val="17"/>
          <w:b w:val="1"/>
          <w:bCs w:val="1"/>
          <w:color w:val="auto"/>
        </w:rPr>
      </w:pPr>
    </w:p>
    <w:p>
      <w:pPr>
        <w:ind w:right="40" w:firstLine="444"/>
        <w:spacing w:after="0" w:line="257" w:lineRule="auto"/>
        <w:tabs>
          <w:tab w:leader="none" w:pos="699"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 a Participant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2" w:right="499" w:bottom="1440" w:gutter="0" w:footer="0" w:header="0"/>
        </w:sectPr>
      </w:pPr>
    </w:p>
    <w:bookmarkStart w:id="278" w:name="page279"/>
    <w:bookmarkEnd w:id="278"/>
    <w:p>
      <w:pPr>
        <w:ind w:left="-7" w:right="40" w:firstLine="444"/>
        <w:spacing w:after="0" w:line="252" w:lineRule="auto"/>
        <w:tabs>
          <w:tab w:leader="none" w:pos="671"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Restriction on Right to Undertake Transactions</w:t>
      </w:r>
      <w:r>
        <w:rPr>
          <w:rFonts w:ascii="Arial" w:cs="Arial" w:eastAsia="Arial" w:hAnsi="Arial"/>
          <w:sz w:val="18"/>
          <w:szCs w:val="18"/>
          <w:color w:val="auto"/>
        </w:rPr>
        <w:t>. The grant of any Award under the Plan and the issuance of shares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337" w:lineRule="exact"/>
        <w:rPr>
          <w:rFonts w:ascii="Arial" w:cs="Arial" w:eastAsia="Arial" w:hAnsi="Arial"/>
          <w:sz w:val="18"/>
          <w:szCs w:val="18"/>
          <w:b w:val="1"/>
          <w:bCs w:val="1"/>
          <w:color w:val="auto"/>
        </w:rPr>
      </w:pPr>
    </w:p>
    <w:p>
      <w:pPr>
        <w:ind w:left="433" w:hanging="433"/>
        <w:spacing w:after="0"/>
        <w:tabs>
          <w:tab w:leader="none" w:pos="433"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7" w:firstLine="444"/>
        <w:spacing w:after="0" w:line="275" w:lineRule="auto"/>
        <w:tabs>
          <w:tab w:leader="none" w:pos="681"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subsection (c) below.</w:t>
      </w:r>
    </w:p>
    <w:p>
      <w:pPr>
        <w:spacing w:after="0" w:line="167" w:lineRule="exact"/>
        <w:rPr>
          <w:rFonts w:ascii="Arial" w:cs="Arial" w:eastAsia="Arial" w:hAnsi="Arial"/>
          <w:sz w:val="18"/>
          <w:szCs w:val="18"/>
          <w:b w:val="1"/>
          <w:bCs w:val="1"/>
          <w:color w:val="auto"/>
        </w:rPr>
      </w:pPr>
    </w:p>
    <w:p>
      <w:pPr>
        <w:ind w:left="693" w:hanging="256"/>
        <w:spacing w:after="0"/>
        <w:tabs>
          <w:tab w:leader="none" w:pos="693"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224" w:lineRule="exact"/>
        <w:rPr>
          <w:rFonts w:ascii="Arial" w:cs="Arial" w:eastAsia="Arial" w:hAnsi="Arial"/>
          <w:sz w:val="18"/>
          <w:szCs w:val="18"/>
          <w:b w:val="1"/>
          <w:bCs w:val="1"/>
          <w:color w:val="auto"/>
        </w:rPr>
      </w:pPr>
    </w:p>
    <w:p>
      <w:pPr>
        <w:ind w:left="-7" w:firstLine="990"/>
        <w:spacing w:after="0" w:line="290" w:lineRule="auto"/>
        <w:tabs>
          <w:tab w:leader="none" w:pos="1188" w:val="left"/>
        </w:tabs>
        <w:numPr>
          <w:ilvl w:val="2"/>
          <w:numId w:val="221"/>
        </w:numPr>
        <w:rPr>
          <w:rFonts w:ascii="Arial" w:cs="Arial" w:eastAsia="Arial" w:hAnsi="Arial"/>
          <w:sz w:val="16"/>
          <w:szCs w:val="16"/>
          <w:b w:val="1"/>
          <w:bCs w:val="1"/>
          <w:color w:val="auto"/>
        </w:rPr>
      </w:pPr>
      <w:r>
        <w:rPr>
          <w:rFonts w:ascii="Arial" w:cs="Arial" w:eastAsia="Arial" w:hAnsi="Arial"/>
          <w:sz w:val="16"/>
          <w:szCs w:val="16"/>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63" w:lineRule="exact"/>
        <w:rPr>
          <w:rFonts w:ascii="Arial" w:cs="Arial" w:eastAsia="Arial" w:hAnsi="Arial"/>
          <w:sz w:val="16"/>
          <w:szCs w:val="16"/>
          <w:b w:val="1"/>
          <w:bCs w:val="1"/>
          <w:color w:val="auto"/>
        </w:rPr>
      </w:pPr>
    </w:p>
    <w:p>
      <w:pPr>
        <w:ind w:left="-7" w:right="40" w:firstLine="990"/>
        <w:spacing w:after="0" w:line="259" w:lineRule="auto"/>
        <w:tabs>
          <w:tab w:leader="none" w:pos="1237" w:val="left"/>
        </w:tabs>
        <w:numPr>
          <w:ilvl w:val="2"/>
          <w:numId w:val="221"/>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5" w:lineRule="exact"/>
        <w:rPr>
          <w:rFonts w:ascii="Arial" w:cs="Arial" w:eastAsia="Arial" w:hAnsi="Arial"/>
          <w:sz w:val="18"/>
          <w:szCs w:val="18"/>
          <w:b w:val="1"/>
          <w:bCs w:val="1"/>
          <w:color w:val="auto"/>
        </w:rPr>
      </w:pPr>
    </w:p>
    <w:p>
      <w:pPr>
        <w:ind w:left="1293" w:hanging="310"/>
        <w:spacing w:after="0"/>
        <w:tabs>
          <w:tab w:leader="none" w:pos="1293" w:val="left"/>
        </w:tabs>
        <w:numPr>
          <w:ilvl w:val="2"/>
          <w:numId w:val="221"/>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0" w:lineRule="exact"/>
        <w:rPr>
          <w:rFonts w:ascii="Arial" w:cs="Arial" w:eastAsia="Arial" w:hAnsi="Arial"/>
          <w:sz w:val="18"/>
          <w:szCs w:val="18"/>
          <w:b w:val="1"/>
          <w:bCs w:val="1"/>
          <w:color w:val="auto"/>
        </w:rPr>
      </w:pPr>
    </w:p>
    <w:p>
      <w:pPr>
        <w:ind w:left="-7" w:right="420" w:firstLine="990"/>
        <w:spacing w:after="0" w:line="335" w:lineRule="auto"/>
        <w:tabs>
          <w:tab w:leader="none" w:pos="1277" w:val="left"/>
        </w:tabs>
        <w:numPr>
          <w:ilvl w:val="2"/>
          <w:numId w:val="221"/>
        </w:numPr>
        <w:rPr>
          <w:rFonts w:ascii="Arial" w:cs="Arial" w:eastAsia="Arial" w:hAnsi="Arial"/>
          <w:sz w:val="16"/>
          <w:szCs w:val="16"/>
          <w:b w:val="1"/>
          <w:bCs w:val="1"/>
          <w:color w:val="auto"/>
        </w:rPr>
      </w:pPr>
      <w:r>
        <w:rPr>
          <w:rFonts w:ascii="Arial" w:cs="Arial" w:eastAsia="Arial" w:hAnsi="Arial"/>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28" w:lineRule="exact"/>
        <w:rPr>
          <w:rFonts w:ascii="Arial" w:cs="Arial" w:eastAsia="Arial" w:hAnsi="Arial"/>
          <w:sz w:val="16"/>
          <w:szCs w:val="16"/>
          <w:b w:val="1"/>
          <w:bCs w:val="1"/>
          <w:color w:val="auto"/>
        </w:rPr>
      </w:pPr>
    </w:p>
    <w:p>
      <w:pPr>
        <w:ind w:left="-7" w:right="40" w:firstLine="990"/>
        <w:spacing w:after="0" w:line="255" w:lineRule="auto"/>
        <w:tabs>
          <w:tab w:leader="none" w:pos="1227" w:val="left"/>
        </w:tabs>
        <w:numPr>
          <w:ilvl w:val="2"/>
          <w:numId w:val="221"/>
        </w:numPr>
        <w:rPr>
          <w:rFonts w:ascii="Arial" w:cs="Arial" w:eastAsia="Arial" w:hAnsi="Arial"/>
          <w:sz w:val="18"/>
          <w:szCs w:val="18"/>
          <w:b w:val="1"/>
          <w:bCs w:val="1"/>
          <w:color w:val="auto"/>
        </w:rPr>
      </w:pPr>
      <w:r>
        <w:rPr>
          <w:rFonts w:ascii="Arial" w:cs="Arial" w:eastAsia="Arial" w:hAnsi="Arial"/>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2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53"/>
          </w:cols>
          <w:pgMar w:left="487" w:top="268" w:right="559" w:bottom="1440" w:gutter="0" w:footer="0" w:header="0"/>
        </w:sectPr>
      </w:pPr>
    </w:p>
    <w:bookmarkStart w:id="279" w:name="page280"/>
    <w:bookmarkEnd w:id="279"/>
    <w:p>
      <w:pPr>
        <w:ind w:left="-7" w:right="120" w:firstLine="990"/>
        <w:spacing w:after="0" w:line="271" w:lineRule="auto"/>
        <w:tabs>
          <w:tab w:leader="none" w:pos="1277" w:val="left"/>
        </w:tabs>
        <w:numPr>
          <w:ilvl w:val="2"/>
          <w:numId w:val="2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74" w:lineRule="exact"/>
        <w:rPr>
          <w:rFonts w:ascii="Arial" w:cs="Arial" w:eastAsia="Arial" w:hAnsi="Arial"/>
          <w:sz w:val="18"/>
          <w:szCs w:val="18"/>
          <w:b w:val="1"/>
          <w:bCs w:val="1"/>
          <w:color w:val="auto"/>
        </w:rPr>
      </w:pPr>
    </w:p>
    <w:p>
      <w:pPr>
        <w:ind w:left="-7" w:right="40" w:firstLine="990"/>
        <w:spacing w:after="0" w:line="284" w:lineRule="auto"/>
        <w:tabs>
          <w:tab w:leader="none" w:pos="1326" w:val="left"/>
        </w:tabs>
        <w:numPr>
          <w:ilvl w:val="2"/>
          <w:numId w:val="222"/>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1" w:lineRule="exact"/>
        <w:rPr>
          <w:rFonts w:ascii="Arial" w:cs="Arial" w:eastAsia="Arial" w:hAnsi="Arial"/>
          <w:sz w:val="16"/>
          <w:szCs w:val="16"/>
          <w:b w:val="1"/>
          <w:bCs w:val="1"/>
          <w:color w:val="auto"/>
        </w:rPr>
      </w:pPr>
    </w:p>
    <w:p>
      <w:pPr>
        <w:ind w:left="253" w:hanging="253"/>
        <w:spacing w:after="0"/>
        <w:tabs>
          <w:tab w:leader="none" w:pos="25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208" w:lineRule="exact"/>
        <w:rPr>
          <w:rFonts w:ascii="Arial" w:cs="Arial" w:eastAsia="Arial" w:hAnsi="Arial"/>
          <w:sz w:val="18"/>
          <w:szCs w:val="18"/>
          <w:color w:val="auto"/>
        </w:rPr>
      </w:pPr>
    </w:p>
    <w:p>
      <w:pPr>
        <w:ind w:left="1393" w:hanging="410"/>
        <w:spacing w:after="0"/>
        <w:tabs>
          <w:tab w:leader="none" w:pos="1393" w:val="left"/>
        </w:tabs>
        <w:numPr>
          <w:ilvl w:val="2"/>
          <w:numId w:val="223"/>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220" w:lineRule="exact"/>
        <w:rPr>
          <w:rFonts w:ascii="Arial" w:cs="Arial" w:eastAsia="Arial" w:hAnsi="Arial"/>
          <w:sz w:val="18"/>
          <w:szCs w:val="18"/>
          <w:b w:val="1"/>
          <w:bCs w:val="1"/>
          <w:color w:val="auto"/>
        </w:rPr>
      </w:pPr>
    </w:p>
    <w:p>
      <w:pPr>
        <w:ind w:left="-7" w:firstLine="990"/>
        <w:spacing w:after="0" w:line="297" w:lineRule="auto"/>
        <w:tabs>
          <w:tab w:leader="none" w:pos="1277" w:val="left"/>
        </w:tabs>
        <w:numPr>
          <w:ilvl w:val="2"/>
          <w:numId w:val="223"/>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159" w:lineRule="exact"/>
        <w:rPr>
          <w:rFonts w:ascii="Arial" w:cs="Arial" w:eastAsia="Arial" w:hAnsi="Arial"/>
          <w:sz w:val="16"/>
          <w:szCs w:val="16"/>
          <w:b w:val="1"/>
          <w:bCs w:val="1"/>
          <w:color w:val="auto"/>
        </w:rPr>
      </w:pPr>
    </w:p>
    <w:p>
      <w:pPr>
        <w:ind w:left="-7" w:firstLine="990"/>
        <w:spacing w:after="0" w:line="271" w:lineRule="auto"/>
        <w:tabs>
          <w:tab w:leader="none" w:pos="1227" w:val="left"/>
        </w:tabs>
        <w:numPr>
          <w:ilvl w:val="2"/>
          <w:numId w:val="223"/>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4" w:lineRule="exact"/>
        <w:rPr>
          <w:rFonts w:ascii="Arial" w:cs="Arial" w:eastAsia="Arial" w:hAnsi="Arial"/>
          <w:sz w:val="18"/>
          <w:szCs w:val="18"/>
          <w:b w:val="1"/>
          <w:bCs w:val="1"/>
          <w:color w:val="auto"/>
        </w:rPr>
      </w:pPr>
    </w:p>
    <w:p>
      <w:pPr>
        <w:ind w:left="-7" w:right="260" w:firstLine="990"/>
        <w:spacing w:after="0" w:line="255" w:lineRule="auto"/>
        <w:tabs>
          <w:tab w:leader="none" w:pos="1277" w:val="left"/>
        </w:tabs>
        <w:numPr>
          <w:ilvl w:val="2"/>
          <w:numId w:val="223"/>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90" w:lineRule="exact"/>
        <w:rPr>
          <w:rFonts w:ascii="Arial" w:cs="Arial" w:eastAsia="Arial" w:hAnsi="Arial"/>
          <w:sz w:val="18"/>
          <w:szCs w:val="18"/>
          <w:b w:val="1"/>
          <w:bCs w:val="1"/>
          <w:color w:val="auto"/>
        </w:rPr>
      </w:pPr>
    </w:p>
    <w:p>
      <w:pPr>
        <w:ind w:left="-7" w:right="40" w:firstLine="990"/>
        <w:spacing w:after="0" w:line="293" w:lineRule="auto"/>
        <w:tabs>
          <w:tab w:leader="none" w:pos="1326" w:val="left"/>
        </w:tabs>
        <w:numPr>
          <w:ilvl w:val="2"/>
          <w:numId w:val="223"/>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56" w:lineRule="exact"/>
        <w:rPr>
          <w:rFonts w:ascii="Arial" w:cs="Arial" w:eastAsia="Arial" w:hAnsi="Arial"/>
          <w:sz w:val="16"/>
          <w:szCs w:val="16"/>
          <w:b w:val="1"/>
          <w:bCs w:val="1"/>
          <w:color w:val="auto"/>
        </w:rPr>
      </w:pPr>
    </w:p>
    <w:p>
      <w:pPr>
        <w:ind w:left="673" w:hanging="236"/>
        <w:spacing w:after="0"/>
        <w:tabs>
          <w:tab w:leader="none" w:pos="673" w:val="left"/>
        </w:tabs>
        <w:numPr>
          <w:ilvl w:val="1"/>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220" w:lineRule="exact"/>
        <w:rPr>
          <w:rFonts w:ascii="Arial" w:cs="Arial" w:eastAsia="Arial" w:hAnsi="Arial"/>
          <w:sz w:val="18"/>
          <w:szCs w:val="18"/>
          <w:b w:val="1"/>
          <w:bCs w:val="1"/>
          <w:color w:val="auto"/>
        </w:rPr>
      </w:pPr>
    </w:p>
    <w:p>
      <w:pPr>
        <w:ind w:left="-7" w:right="40" w:firstLine="990"/>
        <w:spacing w:after="0" w:line="275" w:lineRule="auto"/>
        <w:tabs>
          <w:tab w:leader="none" w:pos="1187" w:val="left"/>
        </w:tabs>
        <w:numPr>
          <w:ilvl w:val="2"/>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delegated to a Committee,</w:t>
      </w:r>
    </w:p>
    <w:p>
      <w:pPr>
        <w:spacing w:after="0" w:line="105"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53"/>
          </w:cols>
          <w:pgMar w:left="487" w:top="272" w:right="559" w:bottom="1440" w:gutter="0" w:footer="0" w:header="0"/>
        </w:sectPr>
      </w:pPr>
    </w:p>
    <w:bookmarkStart w:id="280" w:name="page281"/>
    <w:bookmarkEnd w:id="280"/>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62" w:lineRule="exact"/>
        <w:rPr>
          <w:sz w:val="20"/>
          <w:szCs w:val="20"/>
          <w:color w:val="auto"/>
        </w:rPr>
      </w:pPr>
    </w:p>
    <w:p>
      <w:pPr>
        <w:ind w:right="40" w:firstLine="990"/>
        <w:spacing w:after="0" w:line="299" w:lineRule="auto"/>
        <w:tabs>
          <w:tab w:leader="none" w:pos="1244" w:val="left"/>
        </w:tabs>
        <w:numPr>
          <w:ilvl w:val="2"/>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To the extent an Award is intended to qualify for the exemption from Section 16(b) of the Exchange Act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3" w:lineRule="exact"/>
        <w:rPr>
          <w:rFonts w:ascii="Arial" w:cs="Arial" w:eastAsia="Arial" w:hAnsi="Arial"/>
          <w:sz w:val="16"/>
          <w:szCs w:val="16"/>
          <w:b w:val="1"/>
          <w:bCs w:val="1"/>
          <w:color w:val="auto"/>
        </w:rPr>
      </w:pPr>
    </w:p>
    <w:p>
      <w:pPr>
        <w:ind w:right="100" w:firstLine="444"/>
        <w:spacing w:after="0" w:line="275" w:lineRule="auto"/>
        <w:tabs>
          <w:tab w:leader="none" w:pos="699"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in good faith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review by any person and will be final, binding and conclusive on all persons.</w:t>
      </w:r>
    </w:p>
    <w:p>
      <w:pPr>
        <w:spacing w:after="0" w:line="167" w:lineRule="exact"/>
        <w:rPr>
          <w:rFonts w:ascii="Arial" w:cs="Arial" w:eastAsia="Arial" w:hAnsi="Arial"/>
          <w:sz w:val="18"/>
          <w:szCs w:val="18"/>
          <w:b w:val="1"/>
          <w:bCs w:val="1"/>
          <w:color w:val="auto"/>
        </w:rPr>
      </w:pPr>
    </w:p>
    <w:p>
      <w:pPr>
        <w:ind w:left="680" w:hanging="236"/>
        <w:spacing w:after="0"/>
        <w:tabs>
          <w:tab w:leader="none" w:pos="680" w:val="left"/>
        </w:tabs>
        <w:numPr>
          <w:ilvl w:val="1"/>
          <w:numId w:val="2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or any Committee may delegate to one or more Officers the authority to do one or both of the following</w:t>
      </w:r>
    </w:p>
    <w:p>
      <w:pPr>
        <w:spacing w:after="0" w:line="46" w:lineRule="exact"/>
        <w:rPr>
          <w:rFonts w:ascii="Arial" w:cs="Arial" w:eastAsia="Arial" w:hAnsi="Arial"/>
          <w:sz w:val="16"/>
          <w:szCs w:val="16"/>
          <w:b w:val="1"/>
          <w:bCs w:val="1"/>
          <w:color w:val="auto"/>
        </w:rPr>
      </w:pPr>
    </w:p>
    <w:p>
      <w:pPr>
        <w:ind w:left="220" w:hanging="213"/>
        <w:spacing w:after="0"/>
        <w:tabs>
          <w:tab w:leader="none" w:pos="2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designate Employees who are not Officers to be recipients of Options and SARs (and, to the extent permitted by Applicable Law, other types of</w:t>
      </w:r>
    </w:p>
    <w:p>
      <w:pPr>
        <w:spacing w:after="0" w:line="29" w:lineRule="exact"/>
        <w:rPr>
          <w:rFonts w:ascii="Arial" w:cs="Arial" w:eastAsia="Arial" w:hAnsi="Arial"/>
          <w:sz w:val="16"/>
          <w:szCs w:val="16"/>
          <w:color w:val="auto"/>
        </w:rPr>
      </w:pPr>
    </w:p>
    <w:p>
      <w:pPr>
        <w:ind w:right="60"/>
        <w:spacing w:after="0" w:line="266" w:lineRule="auto"/>
        <w:rPr>
          <w:rFonts w:ascii="Arial" w:cs="Arial" w:eastAsia="Arial" w:hAnsi="Arial"/>
          <w:sz w:val="16"/>
          <w:szCs w:val="16"/>
          <w:color w:val="auto"/>
        </w:rPr>
      </w:pPr>
      <w:r>
        <w:rPr>
          <w:rFonts w:ascii="Arial" w:cs="Arial" w:eastAsia="Arial" w:hAnsi="Arial"/>
          <w:sz w:val="17"/>
          <w:szCs w:val="17"/>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26" w:lineRule="exact"/>
        <w:rPr>
          <w:sz w:val="20"/>
          <w:szCs w:val="20"/>
          <w:color w:val="auto"/>
        </w:rPr>
      </w:pPr>
    </w:p>
    <w:p>
      <w:pPr>
        <w:ind w:left="440" w:hanging="433"/>
        <w:spacing w:after="0"/>
        <w:tabs>
          <w:tab w:leader="none" w:pos="4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13" w:lineRule="exact"/>
        <w:rPr>
          <w:rFonts w:ascii="Arial" w:cs="Arial" w:eastAsia="Arial" w:hAnsi="Arial"/>
          <w:sz w:val="18"/>
          <w:szCs w:val="18"/>
          <w:b w:val="1"/>
          <w:bCs w:val="1"/>
          <w:color w:val="auto"/>
        </w:rPr>
      </w:pPr>
    </w:p>
    <w:p>
      <w:pPr>
        <w:ind w:firstLine="444"/>
        <w:spacing w:after="0" w:line="253" w:lineRule="auto"/>
        <w:tabs>
          <w:tab w:leader="none" w:pos="689"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72" w:right="519" w:bottom="1440" w:gutter="0" w:footer="0" w:header="0"/>
        </w:sectPr>
      </w:pPr>
    </w:p>
    <w:bookmarkStart w:id="281" w:name="page282"/>
    <w:bookmarkEnd w:id="281"/>
    <w:p>
      <w:pPr>
        <w:ind w:left="700" w:hanging="256"/>
        <w:spacing w:after="0"/>
        <w:tabs>
          <w:tab w:leader="none" w:pos="700"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Satisfaction of Withholding Obligation. </w:t>
      </w:r>
      <w:r>
        <w:rPr>
          <w:rFonts w:ascii="Arial" w:cs="Arial" w:eastAsia="Arial" w:hAnsi="Arial"/>
          <w:sz w:val="17"/>
          <w:szCs w:val="17"/>
          <w:color w:val="auto"/>
        </w:rPr>
        <w:t>To the extent permitted by the terms of an Award Agreement, the Company may, in its sole</w:t>
      </w:r>
    </w:p>
    <w:p>
      <w:pPr>
        <w:spacing w:after="0" w:line="35" w:lineRule="exact"/>
        <w:rPr>
          <w:rFonts w:ascii="Arial" w:cs="Arial" w:eastAsia="Arial" w:hAnsi="Arial"/>
          <w:sz w:val="17"/>
          <w:szCs w:val="17"/>
          <w:b w:val="1"/>
          <w:bCs w:val="1"/>
          <w:color w:val="auto"/>
        </w:rPr>
      </w:pPr>
    </w:p>
    <w:p>
      <w:pPr>
        <w:spacing w:after="0" w:line="249" w:lineRule="auto"/>
        <w:rPr>
          <w:rFonts w:ascii="Arial" w:cs="Arial" w:eastAsia="Arial" w:hAnsi="Arial"/>
          <w:sz w:val="17"/>
          <w:szCs w:val="17"/>
          <w:b w:val="1"/>
          <w:bCs w:val="1"/>
          <w:color w:val="auto"/>
        </w:rPr>
      </w:pPr>
      <w:r>
        <w:rPr>
          <w:rFonts w:ascii="Arial" w:cs="Arial" w:eastAsia="Arial" w:hAnsi="Arial"/>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92" w:lineRule="exact"/>
        <w:rPr>
          <w:rFonts w:ascii="Arial" w:cs="Arial" w:eastAsia="Arial" w:hAnsi="Arial"/>
          <w:sz w:val="17"/>
          <w:szCs w:val="17"/>
          <w:b w:val="1"/>
          <w:bCs w:val="1"/>
          <w:color w:val="auto"/>
        </w:rPr>
      </w:pPr>
    </w:p>
    <w:p>
      <w:pPr>
        <w:ind w:right="40" w:firstLine="444"/>
        <w:spacing w:after="0" w:line="283" w:lineRule="auto"/>
        <w:tabs>
          <w:tab w:leader="none" w:pos="679"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 Law the Company has no duty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72" w:lineRule="exact"/>
        <w:rPr>
          <w:rFonts w:ascii="Arial" w:cs="Arial" w:eastAsia="Arial" w:hAnsi="Arial"/>
          <w:sz w:val="16"/>
          <w:szCs w:val="16"/>
          <w:b w:val="1"/>
          <w:bCs w:val="1"/>
          <w:color w:val="auto"/>
        </w:rPr>
      </w:pPr>
    </w:p>
    <w:p>
      <w:pPr>
        <w:ind w:right="60" w:firstLine="444"/>
        <w:spacing w:after="0" w:line="257" w:lineRule="auto"/>
        <w:tabs>
          <w:tab w:leader="none" w:pos="699"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 amount of the Company’s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68" w:right="499" w:bottom="1440" w:gutter="0" w:footer="0" w:header="0"/>
        </w:sectPr>
      </w:pPr>
    </w:p>
    <w:bookmarkStart w:id="282" w:name="page283"/>
    <w:bookmarkEnd w:id="282"/>
    <w:p>
      <w:pPr>
        <w:ind w:left="433" w:hanging="433"/>
        <w:spacing w:after="0"/>
        <w:tabs>
          <w:tab w:leader="none" w:pos="433"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7" w:right="40" w:firstLine="444"/>
        <w:spacing w:after="0" w:line="275" w:lineRule="auto"/>
        <w:tabs>
          <w:tab w:leader="none" w:pos="681"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167" w:lineRule="exact"/>
        <w:rPr>
          <w:rFonts w:ascii="Arial" w:cs="Arial" w:eastAsia="Arial" w:hAnsi="Arial"/>
          <w:sz w:val="18"/>
          <w:szCs w:val="18"/>
          <w:b w:val="1"/>
          <w:bCs w:val="1"/>
          <w:color w:val="auto"/>
        </w:rPr>
      </w:pPr>
    </w:p>
    <w:p>
      <w:pPr>
        <w:ind w:left="-7" w:right="460" w:firstLine="444"/>
        <w:spacing w:after="0" w:line="275" w:lineRule="auto"/>
        <w:tabs>
          <w:tab w:leader="none" w:pos="691"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7" w:lineRule="exact"/>
        <w:rPr>
          <w:rFonts w:ascii="Arial" w:cs="Arial" w:eastAsia="Arial" w:hAnsi="Arial"/>
          <w:sz w:val="18"/>
          <w:szCs w:val="18"/>
          <w:b w:val="1"/>
          <w:bCs w:val="1"/>
          <w:color w:val="auto"/>
        </w:rPr>
      </w:pPr>
    </w:p>
    <w:p>
      <w:pPr>
        <w:ind w:left="-7" w:right="20" w:firstLine="444"/>
        <w:spacing w:after="0" w:line="269" w:lineRule="auto"/>
        <w:tabs>
          <w:tab w:leader="none" w:pos="671"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 of an Award to any Participant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78" w:lineRule="exact"/>
        <w:rPr>
          <w:rFonts w:ascii="Arial" w:cs="Arial" w:eastAsia="Arial" w:hAnsi="Arial"/>
          <w:sz w:val="17"/>
          <w:szCs w:val="17"/>
          <w:b w:val="1"/>
          <w:bCs w:val="1"/>
          <w:color w:val="auto"/>
        </w:rPr>
      </w:pPr>
    </w:p>
    <w:p>
      <w:pPr>
        <w:ind w:left="-7" w:right="20" w:firstLine="444"/>
        <w:spacing w:after="0" w:line="284" w:lineRule="auto"/>
        <w:tabs>
          <w:tab w:leader="none" w:pos="691"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61" w:lineRule="exact"/>
        <w:rPr>
          <w:rFonts w:ascii="Arial" w:cs="Arial" w:eastAsia="Arial" w:hAnsi="Arial"/>
          <w:sz w:val="17"/>
          <w:szCs w:val="17"/>
          <w:b w:val="1"/>
          <w:bCs w:val="1"/>
          <w:color w:val="auto"/>
        </w:rPr>
      </w:pPr>
    </w:p>
    <w:p>
      <w:pPr>
        <w:ind w:left="-7" w:firstLine="444"/>
        <w:spacing w:after="0" w:line="267" w:lineRule="auto"/>
        <w:tabs>
          <w:tab w:leader="none" w:pos="671"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75" w:lineRule="exact"/>
        <w:rPr>
          <w:rFonts w:ascii="Arial" w:cs="Arial" w:eastAsia="Arial" w:hAnsi="Arial"/>
          <w:sz w:val="17"/>
          <w:szCs w:val="17"/>
          <w:b w:val="1"/>
          <w:bCs w:val="1"/>
          <w:color w:val="auto"/>
        </w:rPr>
      </w:pPr>
    </w:p>
    <w:p>
      <w:pPr>
        <w:jc w:val="both"/>
        <w:ind w:left="-7" w:right="40" w:firstLine="444"/>
        <w:spacing w:after="0" w:line="261" w:lineRule="auto"/>
        <w:tabs>
          <w:tab w:leader="none" w:pos="652"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Time Commitment. </w:t>
      </w:r>
      <w:r>
        <w:rPr>
          <w:rFonts w:ascii="Arial" w:cs="Arial" w:eastAsia="Arial" w:hAnsi="Arial"/>
          <w:sz w:val="18"/>
          <w:szCs w:val="18"/>
          <w:color w:val="auto"/>
        </w:rPr>
        <w:t>In the event a Participant’s regular level of time commitment in the performance of his or her services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any Affiliates is reduced (for example, and without limitation, if the Participant is an Employee of the Company and the Employee has a change in status from a full-time Employee to a part-time Employee or</w:t>
      </w:r>
    </w:p>
    <w:p>
      <w:pPr>
        <w:spacing w:after="0" w:line="118"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33"/>
          </w:cols>
          <w:pgMar w:left="487" w:top="268" w:right="579" w:bottom="1440" w:gutter="0" w:footer="0" w:header="0"/>
        </w:sectPr>
      </w:pPr>
    </w:p>
    <w:bookmarkStart w:id="283" w:name="page284"/>
    <w:bookmarkEnd w:id="283"/>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9" w:lineRule="exact"/>
        <w:rPr>
          <w:sz w:val="20"/>
          <w:szCs w:val="20"/>
          <w:color w:val="auto"/>
        </w:rPr>
      </w:pPr>
    </w:p>
    <w:p>
      <w:pPr>
        <w:ind w:right="200" w:firstLine="444"/>
        <w:spacing w:after="0" w:line="309" w:lineRule="auto"/>
        <w:tabs>
          <w:tab w:leader="none" w:pos="689"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 Participant agrees to execute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45" w:lineRule="exact"/>
        <w:rPr>
          <w:rFonts w:ascii="Arial" w:cs="Arial" w:eastAsia="Arial" w:hAnsi="Arial"/>
          <w:sz w:val="16"/>
          <w:szCs w:val="16"/>
          <w:b w:val="1"/>
          <w:bCs w:val="1"/>
          <w:color w:val="auto"/>
        </w:rPr>
      </w:pPr>
    </w:p>
    <w:p>
      <w:pPr>
        <w:ind w:right="80" w:firstLine="444"/>
        <w:spacing w:after="0" w:line="271" w:lineRule="auto"/>
        <w:tabs>
          <w:tab w:leader="none" w:pos="699"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and Participation. </w:t>
      </w:r>
      <w:r>
        <w:rPr>
          <w:rFonts w:ascii="Arial" w:cs="Arial" w:eastAsia="Arial" w:hAnsi="Arial"/>
          <w:sz w:val="17"/>
          <w:szCs w:val="17"/>
          <w:color w:val="auto"/>
        </w:rPr>
        <w:t>Any reference herein or in an Award Agreement to a “written” agreement or document will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3" w:lineRule="exact"/>
        <w:rPr>
          <w:rFonts w:ascii="Arial" w:cs="Arial" w:eastAsia="Arial" w:hAnsi="Arial"/>
          <w:sz w:val="17"/>
          <w:szCs w:val="17"/>
          <w:b w:val="1"/>
          <w:bCs w:val="1"/>
          <w:color w:val="auto"/>
        </w:rPr>
      </w:pPr>
    </w:p>
    <w:p>
      <w:pPr>
        <w:ind w:firstLine="444"/>
        <w:spacing w:after="0" w:line="287" w:lineRule="auto"/>
        <w:tabs>
          <w:tab w:leader="none" w:pos="649"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65" w:lineRule="exact"/>
        <w:rPr>
          <w:rFonts w:ascii="Arial" w:cs="Arial" w:eastAsia="Arial" w:hAnsi="Arial"/>
          <w:sz w:val="16"/>
          <w:szCs w:val="16"/>
          <w:b w:val="1"/>
          <w:bCs w:val="1"/>
          <w:color w:val="auto"/>
        </w:rPr>
      </w:pPr>
    </w:p>
    <w:p>
      <w:pPr>
        <w:ind w:right="20" w:firstLine="444"/>
        <w:spacing w:after="0" w:line="257" w:lineRule="auto"/>
        <w:tabs>
          <w:tab w:leader="none" w:pos="659"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 are registered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83" w:lineRule="exact"/>
        <w:rPr>
          <w:rFonts w:ascii="Arial" w:cs="Arial" w:eastAsia="Arial" w:hAnsi="Arial"/>
          <w:sz w:val="18"/>
          <w:szCs w:val="18"/>
          <w:b w:val="1"/>
          <w:bCs w:val="1"/>
          <w:color w:val="auto"/>
        </w:rPr>
      </w:pPr>
    </w:p>
    <w:p>
      <w:pPr>
        <w:ind w:right="440" w:firstLine="444"/>
        <w:spacing w:after="0" w:line="275" w:lineRule="auto"/>
        <w:tabs>
          <w:tab w:leader="none" w:pos="699"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80" w:top="272" w:right="519" w:bottom="1440" w:gutter="0" w:footer="0" w:header="0"/>
        </w:sectPr>
      </w:pPr>
    </w:p>
    <w:bookmarkStart w:id="284" w:name="page285"/>
    <w:bookmarkEnd w:id="284"/>
    <w:p>
      <w:pPr>
        <w:ind w:right="6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46" w:lineRule="exact"/>
        <w:rPr>
          <w:sz w:val="20"/>
          <w:szCs w:val="20"/>
          <w:color w:val="auto"/>
        </w:rPr>
      </w:pPr>
    </w:p>
    <w:p>
      <w:pPr>
        <w:jc w:val="both"/>
        <w:ind w:right="20" w:firstLine="444"/>
        <w:spacing w:after="0" w:line="277" w:lineRule="auto"/>
        <w:tabs>
          <w:tab w:leader="none" w:pos="649"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on Other Employee Benefit Plans. </w:t>
      </w:r>
      <w:r>
        <w:rPr>
          <w:rFonts w:ascii="Arial" w:cs="Arial" w:eastAsia="Arial" w:hAnsi="Arial"/>
          <w:sz w:val="17"/>
          <w:szCs w:val="17"/>
          <w:color w:val="auto"/>
        </w:rPr>
        <w:t>The value of any Award granted under the Plan, as determined upon grant, vesting or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7" w:lineRule="exact"/>
        <w:rPr>
          <w:rFonts w:ascii="Arial" w:cs="Arial" w:eastAsia="Arial" w:hAnsi="Arial"/>
          <w:sz w:val="17"/>
          <w:szCs w:val="17"/>
          <w:b w:val="1"/>
          <w:bCs w:val="1"/>
          <w:color w:val="auto"/>
        </w:rPr>
      </w:pPr>
    </w:p>
    <w:p>
      <w:pPr>
        <w:ind w:right="60" w:firstLine="444"/>
        <w:spacing w:after="0" w:line="309" w:lineRule="auto"/>
        <w:tabs>
          <w:tab w:leader="none" w:pos="748"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5" w:lineRule="exact"/>
        <w:rPr>
          <w:rFonts w:ascii="Arial" w:cs="Arial" w:eastAsia="Arial" w:hAnsi="Arial"/>
          <w:sz w:val="16"/>
          <w:szCs w:val="16"/>
          <w:b w:val="1"/>
          <w:bCs w:val="1"/>
          <w:color w:val="auto"/>
        </w:rPr>
      </w:pPr>
    </w:p>
    <w:p>
      <w:pPr>
        <w:ind w:right="20" w:firstLine="444"/>
        <w:spacing w:after="0" w:line="284" w:lineRule="auto"/>
        <w:tabs>
          <w:tab w:leader="none" w:pos="699"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Unless otherwise expressly provided for in an Award Agreement, the Plan and Award Agreements will be interpreted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69" w:lineRule="exact"/>
        <w:rPr>
          <w:rFonts w:ascii="Arial" w:cs="Arial" w:eastAsia="Arial" w:hAnsi="Arial"/>
          <w:sz w:val="16"/>
          <w:szCs w:val="16"/>
          <w:b w:val="1"/>
          <w:bCs w:val="1"/>
          <w:color w:val="auto"/>
        </w:rPr>
      </w:pPr>
    </w:p>
    <w:p>
      <w:pPr>
        <w:ind w:firstLine="444"/>
        <w:spacing w:after="0" w:line="261" w:lineRule="auto"/>
        <w:tabs>
          <w:tab w:leader="none" w:pos="689"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any controversy arising out of or relating to this Plan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regard to conflict of law principles that would result in any application of any law other than the law of the State of Delaware.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80" w:top="272" w:right="539" w:bottom="1440" w:gutter="0" w:footer="0" w:header="0"/>
        </w:sectPr>
      </w:pPr>
    </w:p>
    <w:bookmarkStart w:id="285" w:name="page286"/>
    <w:bookmarkEnd w:id="285"/>
    <w:p>
      <w:pPr>
        <w:ind w:left="440" w:hanging="433"/>
        <w:spacing w:after="0"/>
        <w:tabs>
          <w:tab w:leader="none" w:pos="4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8"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323" w:lineRule="exact"/>
        <w:rPr>
          <w:sz w:val="20"/>
          <w:szCs w:val="20"/>
          <w:color w:val="auto"/>
        </w:rPr>
      </w:pPr>
    </w:p>
    <w:p>
      <w:pPr>
        <w:ind w:left="440" w:hanging="433"/>
        <w:spacing w:after="0"/>
        <w:tabs>
          <w:tab w:leader="none" w:pos="44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w:t>
      </w:r>
    </w:p>
    <w:p>
      <w:pPr>
        <w:spacing w:after="0" w:line="113" w:lineRule="exact"/>
        <w:rPr>
          <w:rFonts w:ascii="Arial" w:cs="Arial" w:eastAsia="Arial" w:hAnsi="Arial"/>
          <w:sz w:val="18"/>
          <w:szCs w:val="18"/>
          <w:b w:val="1"/>
          <w:bCs w:val="1"/>
          <w:color w:val="auto"/>
        </w:rPr>
      </w:pPr>
    </w:p>
    <w:p>
      <w:pPr>
        <w:ind w:firstLine="444"/>
        <w:spacing w:after="0" w:line="340" w:lineRule="auto"/>
        <w:tabs>
          <w:tab w:leader="none" w:pos="689" w:val="left"/>
        </w:tabs>
        <w:numPr>
          <w:ilvl w:val="1"/>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shall apply and shall supersede anything to the contrary set forth in the Award Agreement for a Non-Exempt Award.</w:t>
      </w:r>
    </w:p>
    <w:p>
      <w:pPr>
        <w:spacing w:after="0" w:line="120" w:lineRule="exact"/>
        <w:rPr>
          <w:rFonts w:ascii="Arial" w:cs="Arial" w:eastAsia="Arial" w:hAnsi="Arial"/>
          <w:sz w:val="16"/>
          <w:szCs w:val="16"/>
          <w:b w:val="1"/>
          <w:bCs w:val="1"/>
          <w:color w:val="auto"/>
        </w:rPr>
      </w:pPr>
    </w:p>
    <w:p>
      <w:pPr>
        <w:ind w:right="260" w:firstLine="444"/>
        <w:spacing w:after="0" w:line="275" w:lineRule="auto"/>
        <w:tabs>
          <w:tab w:leader="none" w:pos="699"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application of a Non-Exempt Severance Arrangement, the following provisions of this subsection (b) apply.</w:t>
      </w:r>
    </w:p>
    <w:p>
      <w:pPr>
        <w:spacing w:after="0" w:line="171" w:lineRule="exact"/>
        <w:rPr>
          <w:rFonts w:ascii="Arial" w:cs="Arial" w:eastAsia="Arial" w:hAnsi="Arial"/>
          <w:sz w:val="18"/>
          <w:szCs w:val="18"/>
          <w:b w:val="1"/>
          <w:bCs w:val="1"/>
          <w:color w:val="auto"/>
        </w:rPr>
      </w:pPr>
    </w:p>
    <w:p>
      <w:pPr>
        <w:ind w:right="40" w:firstLine="990"/>
        <w:spacing w:after="0" w:line="255" w:lineRule="auto"/>
        <w:tabs>
          <w:tab w:leader="none" w:pos="1195" w:val="left"/>
        </w:tabs>
        <w:numPr>
          <w:ilvl w:val="2"/>
          <w:numId w:val="234"/>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15"/>
          <w:szCs w:val="15"/>
          <w:color w:val="auto"/>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15"/>
          <w:szCs w:val="15"/>
          <w:color w:val="auto"/>
        </w:rPr>
        <w:t>th</w:t>
      </w:r>
      <w:r>
        <w:rPr>
          <w:rFonts w:ascii="Arial" w:cs="Arial" w:eastAsia="Arial" w:hAnsi="Arial"/>
          <w:sz w:val="18"/>
          <w:szCs w:val="18"/>
          <w:color w:val="auto"/>
        </w:rPr>
        <w:t xml:space="preserve"> day that follows the applicable vesting date.</w:t>
      </w:r>
    </w:p>
    <w:p>
      <w:pPr>
        <w:spacing w:after="0" w:line="190" w:lineRule="exact"/>
        <w:rPr>
          <w:rFonts w:ascii="Arial" w:cs="Arial" w:eastAsia="Arial" w:hAnsi="Arial"/>
          <w:sz w:val="18"/>
          <w:szCs w:val="18"/>
          <w:b w:val="1"/>
          <w:bCs w:val="1"/>
          <w:color w:val="auto"/>
        </w:rPr>
      </w:pPr>
    </w:p>
    <w:p>
      <w:pPr>
        <w:ind w:right="60" w:firstLine="990"/>
        <w:spacing w:after="0" w:line="281" w:lineRule="auto"/>
        <w:tabs>
          <w:tab w:leader="none" w:pos="1245" w:val="left"/>
        </w:tabs>
        <w:numPr>
          <w:ilvl w:val="2"/>
          <w:numId w:val="234"/>
        </w:numPr>
        <w:rPr>
          <w:rFonts w:ascii="Arial" w:cs="Arial" w:eastAsia="Arial" w:hAnsi="Arial"/>
          <w:sz w:val="16"/>
          <w:szCs w:val="16"/>
          <w:b w:val="1"/>
          <w:bCs w:val="1"/>
          <w:color w:val="auto"/>
        </w:rPr>
      </w:pPr>
      <w:r>
        <w:rPr>
          <w:rFonts w:ascii="Arial" w:cs="Arial" w:eastAsia="Arial" w:hAnsi="Arial"/>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13"/>
          <w:szCs w:val="13"/>
          <w:color w:val="auto"/>
        </w:rPr>
        <w:t>th</w:t>
      </w:r>
      <w:r>
        <w:rPr>
          <w:rFonts w:ascii="Arial" w:cs="Arial" w:eastAsia="Arial" w:hAnsi="Arial"/>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4" w:lineRule="exact"/>
        <w:rPr>
          <w:rFonts w:ascii="Arial" w:cs="Arial" w:eastAsia="Arial" w:hAnsi="Arial"/>
          <w:sz w:val="16"/>
          <w:szCs w:val="16"/>
          <w:b w:val="1"/>
          <w:bCs w:val="1"/>
          <w:color w:val="auto"/>
        </w:rPr>
      </w:pPr>
    </w:p>
    <w:p>
      <w:pPr>
        <w:ind w:right="700"/>
        <w:spacing w:after="0" w:line="285" w:lineRule="auto"/>
        <w:rPr>
          <w:rFonts w:ascii="Arial" w:cs="Arial" w:eastAsia="Arial" w:hAnsi="Arial"/>
          <w:sz w:val="16"/>
          <w:szCs w:val="16"/>
          <w:b w:val="1"/>
          <w:bCs w:val="1"/>
          <w:color w:val="auto"/>
        </w:rPr>
      </w:pPr>
      <w:r>
        <w:rPr>
          <w:rFonts w:ascii="Arial" w:cs="Arial" w:eastAsia="Arial" w:hAnsi="Arial"/>
          <w:sz w:val="17"/>
          <w:szCs w:val="17"/>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480" w:top="268" w:right="539" w:bottom="1440" w:gutter="0" w:footer="0" w:header="0"/>
        </w:sectPr>
      </w:pPr>
    </w:p>
    <w:bookmarkStart w:id="286" w:name="page287"/>
    <w:bookmarkEnd w:id="286"/>
    <w:p>
      <w:pPr>
        <w:ind w:right="80" w:firstLine="990"/>
        <w:spacing w:after="0" w:line="251" w:lineRule="auto"/>
        <w:tabs>
          <w:tab w:leader="none" w:pos="1294" w:val="left"/>
        </w:tabs>
        <w:numPr>
          <w:ilvl w:val="2"/>
          <w:numId w:val="23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92" w:lineRule="exact"/>
        <w:rPr>
          <w:rFonts w:ascii="Arial" w:cs="Arial" w:eastAsia="Arial" w:hAnsi="Arial"/>
          <w:sz w:val="18"/>
          <w:szCs w:val="18"/>
          <w:b w:val="1"/>
          <w:bCs w:val="1"/>
          <w:color w:val="auto"/>
        </w:rPr>
      </w:pPr>
    </w:p>
    <w:p>
      <w:pPr>
        <w:ind w:left="680" w:hanging="236"/>
        <w:spacing w:after="0"/>
        <w:tabs>
          <w:tab w:leader="none" w:pos="680" w:val="left"/>
        </w:tabs>
        <w:numPr>
          <w:ilvl w:val="1"/>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46" w:lineRule="exact"/>
        <w:rPr>
          <w:rFonts w:ascii="Arial" w:cs="Arial" w:eastAsia="Arial" w:hAnsi="Arial"/>
          <w:sz w:val="16"/>
          <w:szCs w:val="16"/>
          <w:b w:val="1"/>
          <w:bCs w:val="1"/>
          <w:color w:val="auto"/>
        </w:rPr>
      </w:pPr>
    </w:p>
    <w:p>
      <w:pPr>
        <w:ind w:right="180" w:firstLine="7"/>
        <w:spacing w:after="0" w:line="252" w:lineRule="auto"/>
        <w:tabs>
          <w:tab w:leader="none" w:pos="24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7" w:lineRule="exact"/>
        <w:rPr>
          <w:rFonts w:ascii="Arial" w:cs="Arial" w:eastAsia="Arial" w:hAnsi="Arial"/>
          <w:sz w:val="18"/>
          <w:szCs w:val="18"/>
          <w:color w:val="auto"/>
        </w:rPr>
      </w:pPr>
    </w:p>
    <w:p>
      <w:pPr>
        <w:ind w:left="1200" w:hanging="210"/>
        <w:spacing w:after="0"/>
        <w:tabs>
          <w:tab w:leader="none" w:pos="1200" w:val="left"/>
        </w:tabs>
        <w:numPr>
          <w:ilvl w:val="2"/>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 Corporate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Transaction:</w:t>
      </w:r>
    </w:p>
    <w:p>
      <w:pPr>
        <w:spacing w:after="0" w:line="208" w:lineRule="exact"/>
        <w:rPr>
          <w:rFonts w:ascii="Arial" w:cs="Arial" w:eastAsia="Arial" w:hAnsi="Arial"/>
          <w:sz w:val="16"/>
          <w:szCs w:val="16"/>
          <w:b w:val="1"/>
          <w:bCs w:val="1"/>
          <w:color w:val="auto"/>
        </w:rPr>
      </w:pPr>
    </w:p>
    <w:p>
      <w:pPr>
        <w:ind w:firstLine="1426"/>
        <w:spacing w:after="0" w:line="253" w:lineRule="auto"/>
        <w:tabs>
          <w:tab w:leader="none" w:pos="1671" w:val="left"/>
        </w:tabs>
        <w:numPr>
          <w:ilvl w:val="3"/>
          <w:numId w:val="237"/>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92" w:lineRule="exact"/>
        <w:rPr>
          <w:rFonts w:ascii="Arial" w:cs="Arial" w:eastAsia="Arial" w:hAnsi="Arial"/>
          <w:sz w:val="18"/>
          <w:szCs w:val="18"/>
          <w:b w:val="1"/>
          <w:bCs w:val="1"/>
          <w:color w:val="auto"/>
        </w:rPr>
      </w:pPr>
    </w:p>
    <w:p>
      <w:pPr>
        <w:ind w:right="140" w:firstLine="1426"/>
        <w:spacing w:after="0" w:line="270" w:lineRule="auto"/>
        <w:tabs>
          <w:tab w:leader="none" w:pos="1671" w:val="left"/>
        </w:tabs>
        <w:numPr>
          <w:ilvl w:val="3"/>
          <w:numId w:val="237"/>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67" w:lineRule="exact"/>
        <w:rPr>
          <w:sz w:val="20"/>
          <w:szCs w:val="20"/>
          <w:color w:val="auto"/>
        </w:rPr>
      </w:pPr>
    </w:p>
    <w:p>
      <w:pPr>
        <w:ind w:right="680" w:firstLine="990"/>
        <w:spacing w:after="0" w:line="275" w:lineRule="auto"/>
        <w:tabs>
          <w:tab w:leader="none" w:pos="124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171" w:lineRule="exact"/>
        <w:rPr>
          <w:rFonts w:ascii="Arial" w:cs="Arial" w:eastAsia="Arial" w:hAnsi="Arial"/>
          <w:sz w:val="18"/>
          <w:szCs w:val="18"/>
          <w:b w:val="1"/>
          <w:bCs w:val="1"/>
          <w:color w:val="auto"/>
        </w:rPr>
      </w:pPr>
    </w:p>
    <w:p>
      <w:pPr>
        <w:ind w:right="80" w:firstLine="1426"/>
        <w:spacing w:after="0" w:line="255" w:lineRule="auto"/>
        <w:tabs>
          <w:tab w:leader="none" w:pos="1671"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80" w:top="272" w:right="519" w:bottom="1440" w:gutter="0" w:footer="0" w:header="0"/>
        </w:sectPr>
      </w:pPr>
    </w:p>
    <w:bookmarkStart w:id="287" w:name="page288"/>
    <w:bookmarkEnd w:id="287"/>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74" w:lineRule="exact"/>
        <w:rPr>
          <w:sz w:val="20"/>
          <w:szCs w:val="20"/>
          <w:color w:val="auto"/>
        </w:rPr>
      </w:pPr>
    </w:p>
    <w:p>
      <w:pPr>
        <w:ind w:right="20" w:firstLine="1426"/>
        <w:spacing w:after="0" w:line="287" w:lineRule="auto"/>
        <w:tabs>
          <w:tab w:leader="none" w:pos="1671" w:val="left"/>
        </w:tabs>
        <w:numPr>
          <w:ilvl w:val="2"/>
          <w:numId w:val="239"/>
        </w:numPr>
        <w:rPr>
          <w:rFonts w:ascii="Arial" w:cs="Arial" w:eastAsia="Arial" w:hAnsi="Arial"/>
          <w:sz w:val="16"/>
          <w:szCs w:val="16"/>
          <w:b w:val="1"/>
          <w:bCs w:val="1"/>
          <w:color w:val="auto"/>
        </w:rPr>
      </w:pPr>
      <w:r>
        <w:rPr>
          <w:rFonts w:ascii="Arial" w:cs="Arial" w:eastAsia="Arial" w:hAnsi="Arial"/>
          <w:sz w:val="16"/>
          <w:szCs w:val="16"/>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65" w:lineRule="exact"/>
        <w:rPr>
          <w:rFonts w:ascii="Arial" w:cs="Arial" w:eastAsia="Arial" w:hAnsi="Arial"/>
          <w:sz w:val="16"/>
          <w:szCs w:val="16"/>
          <w:b w:val="1"/>
          <w:bCs w:val="1"/>
          <w:color w:val="auto"/>
        </w:rPr>
      </w:pPr>
    </w:p>
    <w:p>
      <w:pPr>
        <w:ind w:right="400" w:firstLine="1426"/>
        <w:spacing w:after="0" w:line="271" w:lineRule="auto"/>
        <w:tabs>
          <w:tab w:leader="none" w:pos="1671" w:val="left"/>
        </w:tabs>
        <w:numPr>
          <w:ilvl w:val="2"/>
          <w:numId w:val="239"/>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70" w:lineRule="exact"/>
        <w:rPr>
          <w:rFonts w:ascii="Arial" w:cs="Arial" w:eastAsia="Arial" w:hAnsi="Arial"/>
          <w:sz w:val="18"/>
          <w:szCs w:val="18"/>
          <w:b w:val="1"/>
          <w:bCs w:val="1"/>
          <w:color w:val="auto"/>
        </w:rPr>
      </w:pPr>
    </w:p>
    <w:p>
      <w:pPr>
        <w:ind w:right="440" w:firstLine="444"/>
        <w:spacing w:after="0" w:line="261" w:lineRule="auto"/>
        <w:tabs>
          <w:tab w:leader="none" w:pos="699"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84" w:lineRule="exact"/>
        <w:rPr>
          <w:rFonts w:ascii="Arial" w:cs="Arial" w:eastAsia="Arial" w:hAnsi="Arial"/>
          <w:sz w:val="18"/>
          <w:szCs w:val="18"/>
          <w:b w:val="1"/>
          <w:bCs w:val="1"/>
          <w:color w:val="auto"/>
        </w:rPr>
      </w:pPr>
    </w:p>
    <w:p>
      <w:pPr>
        <w:ind w:firstLine="990"/>
        <w:spacing w:after="0" w:line="272" w:lineRule="auto"/>
        <w:tabs>
          <w:tab w:leader="none" w:pos="1195" w:val="left"/>
        </w:tabs>
        <w:numPr>
          <w:ilvl w:val="1"/>
          <w:numId w:val="240"/>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accelerate and the shares will immediately be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6" w:lineRule="exact"/>
        <w:rPr>
          <w:rFonts w:ascii="Arial" w:cs="Arial" w:eastAsia="Arial" w:hAnsi="Arial"/>
          <w:sz w:val="17"/>
          <w:szCs w:val="17"/>
          <w:b w:val="1"/>
          <w:bCs w:val="1"/>
          <w:color w:val="auto"/>
        </w:rPr>
      </w:pPr>
    </w:p>
    <w:p>
      <w:pPr>
        <w:ind w:right="20" w:firstLine="990"/>
        <w:spacing w:after="0" w:line="252" w:lineRule="auto"/>
        <w:tabs>
          <w:tab w:leader="none" w:pos="1245"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72" w:right="519" w:bottom="1440" w:gutter="0" w:footer="0" w:header="0"/>
        </w:sectPr>
      </w:pPr>
    </w:p>
    <w:bookmarkStart w:id="288" w:name="page289"/>
    <w:bookmarkEnd w:id="288"/>
    <w:p>
      <w:pPr>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52" w:lineRule="exact"/>
        <w:rPr>
          <w:sz w:val="20"/>
          <w:szCs w:val="20"/>
          <w:color w:val="auto"/>
        </w:rPr>
      </w:pPr>
    </w:p>
    <w:p>
      <w:pPr>
        <w:ind w:right="300" w:firstLine="444"/>
        <w:spacing w:after="0" w:line="301" w:lineRule="auto"/>
        <w:tabs>
          <w:tab w:leader="none" w:pos="679" w:val="left"/>
        </w:tabs>
        <w:numPr>
          <w:ilvl w:val="1"/>
          <w:numId w:val="241"/>
        </w:numPr>
        <w:rPr>
          <w:rFonts w:ascii="Arial" w:cs="Arial" w:eastAsia="Arial" w:hAnsi="Arial"/>
          <w:sz w:val="17"/>
          <w:szCs w:val="17"/>
          <w:b w:val="1"/>
          <w:bCs w:val="1"/>
          <w:color w:val="auto"/>
        </w:rPr>
      </w:pPr>
      <w:r>
        <w:rPr>
          <w:rFonts w:ascii="Arial" w:cs="Arial" w:eastAsia="Arial" w:hAnsi="Arial"/>
          <w:sz w:val="17"/>
          <w:szCs w:val="17"/>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51" w:lineRule="exact"/>
        <w:rPr>
          <w:rFonts w:ascii="Arial" w:cs="Arial" w:eastAsia="Arial" w:hAnsi="Arial"/>
          <w:sz w:val="17"/>
          <w:szCs w:val="17"/>
          <w:b w:val="1"/>
          <w:bCs w:val="1"/>
          <w:color w:val="auto"/>
        </w:rPr>
      </w:pPr>
    </w:p>
    <w:p>
      <w:pPr>
        <w:ind w:right="360" w:firstLine="990"/>
        <w:spacing w:after="0" w:line="259" w:lineRule="auto"/>
        <w:tabs>
          <w:tab w:leader="none" w:pos="1195" w:val="left"/>
        </w:tabs>
        <w:numPr>
          <w:ilvl w:val="2"/>
          <w:numId w:val="241"/>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5" w:lineRule="exact"/>
        <w:rPr>
          <w:rFonts w:ascii="Arial" w:cs="Arial" w:eastAsia="Arial" w:hAnsi="Arial"/>
          <w:sz w:val="18"/>
          <w:szCs w:val="18"/>
          <w:b w:val="1"/>
          <w:bCs w:val="1"/>
          <w:color w:val="auto"/>
        </w:rPr>
      </w:pPr>
    </w:p>
    <w:p>
      <w:pPr>
        <w:ind w:right="140" w:firstLine="990"/>
        <w:spacing w:after="0" w:line="335" w:lineRule="auto"/>
        <w:tabs>
          <w:tab w:leader="none" w:pos="1241" w:val="left"/>
        </w:tabs>
        <w:numPr>
          <w:ilvl w:val="2"/>
          <w:numId w:val="241"/>
        </w:numPr>
        <w:rPr>
          <w:rFonts w:ascii="Arial" w:cs="Arial" w:eastAsia="Arial" w:hAnsi="Arial"/>
          <w:sz w:val="16"/>
          <w:szCs w:val="16"/>
          <w:b w:val="1"/>
          <w:bCs w:val="1"/>
          <w:color w:val="auto"/>
        </w:rPr>
      </w:pPr>
      <w:r>
        <w:rPr>
          <w:rFonts w:ascii="Arial" w:cs="Arial" w:eastAsia="Arial" w:hAnsi="Arial"/>
          <w:sz w:val="16"/>
          <w:szCs w:val="16"/>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28" w:lineRule="exact"/>
        <w:rPr>
          <w:rFonts w:ascii="Arial" w:cs="Arial" w:eastAsia="Arial" w:hAnsi="Arial"/>
          <w:sz w:val="16"/>
          <w:szCs w:val="16"/>
          <w:b w:val="1"/>
          <w:bCs w:val="1"/>
          <w:color w:val="auto"/>
        </w:rPr>
      </w:pPr>
    </w:p>
    <w:p>
      <w:pPr>
        <w:ind w:firstLine="990"/>
        <w:spacing w:after="0" w:line="287" w:lineRule="auto"/>
        <w:tabs>
          <w:tab w:leader="none" w:pos="1294" w:val="left"/>
        </w:tabs>
        <w:numPr>
          <w:ilvl w:val="2"/>
          <w:numId w:val="241"/>
        </w:numPr>
        <w:rPr>
          <w:rFonts w:ascii="Arial" w:cs="Arial" w:eastAsia="Arial" w:hAnsi="Arial"/>
          <w:sz w:val="16"/>
          <w:szCs w:val="16"/>
          <w:b w:val="1"/>
          <w:bCs w:val="1"/>
          <w:color w:val="auto"/>
        </w:rPr>
      </w:pPr>
      <w:r>
        <w:rPr>
          <w:rFonts w:ascii="Arial" w:cs="Arial" w:eastAsia="Arial" w:hAnsi="Arial"/>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65" w:lineRule="exact"/>
        <w:rPr>
          <w:rFonts w:ascii="Arial" w:cs="Arial" w:eastAsia="Arial" w:hAnsi="Arial"/>
          <w:sz w:val="16"/>
          <w:szCs w:val="16"/>
          <w:b w:val="1"/>
          <w:bCs w:val="1"/>
          <w:color w:val="auto"/>
        </w:rPr>
      </w:pPr>
    </w:p>
    <w:p>
      <w:pPr>
        <w:ind w:right="60" w:firstLine="990"/>
        <w:spacing w:after="0" w:line="281" w:lineRule="auto"/>
        <w:tabs>
          <w:tab w:leader="none" w:pos="1284" w:val="left"/>
        </w:tabs>
        <w:numPr>
          <w:ilvl w:val="2"/>
          <w:numId w:val="241"/>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312" w:lineRule="exact"/>
        <w:rPr>
          <w:rFonts w:ascii="Arial" w:cs="Arial" w:eastAsia="Arial" w:hAnsi="Arial"/>
          <w:sz w:val="17"/>
          <w:szCs w:val="17"/>
          <w:b w:val="1"/>
          <w:bCs w:val="1"/>
          <w:color w:val="auto"/>
        </w:rPr>
      </w:pPr>
    </w:p>
    <w:p>
      <w:pPr>
        <w:ind w:left="440" w:hanging="433"/>
        <w:spacing w:after="0"/>
        <w:tabs>
          <w:tab w:leader="none" w:pos="44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w:t>
      </w:r>
    </w:p>
    <w:p>
      <w:pPr>
        <w:spacing w:after="0" w:line="118" w:lineRule="exact"/>
        <w:rPr>
          <w:sz w:val="20"/>
          <w:szCs w:val="20"/>
          <w:color w:val="auto"/>
        </w:rPr>
      </w:pPr>
    </w:p>
    <w:p>
      <w:pPr>
        <w:ind w:right="20" w:firstLine="436"/>
        <w:spacing w:after="0" w:line="275"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80" w:top="272" w:right="519" w:bottom="1440" w:gutter="0" w:footer="0" w:header="0"/>
        </w:sectPr>
      </w:pPr>
    </w:p>
    <w:bookmarkStart w:id="289" w:name="page290"/>
    <w:bookmarkEnd w:id="289"/>
    <w:p>
      <w:pPr>
        <w:ind w:left="433" w:hanging="433"/>
        <w:spacing w:after="0"/>
        <w:tabs>
          <w:tab w:leader="none" w:pos="433"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8" w:lineRule="exact"/>
        <w:rPr>
          <w:sz w:val="20"/>
          <w:szCs w:val="20"/>
          <w:color w:val="auto"/>
        </w:rPr>
      </w:pPr>
    </w:p>
    <w:p>
      <w:pPr>
        <w:ind w:left="433"/>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3" w:lineRule="exact"/>
        <w:rPr>
          <w:sz w:val="20"/>
          <w:szCs w:val="20"/>
          <w:color w:val="auto"/>
        </w:rPr>
      </w:pPr>
    </w:p>
    <w:p>
      <w:pPr>
        <w:ind w:left="-7" w:right="100" w:firstLine="7"/>
        <w:spacing w:after="0" w:line="256" w:lineRule="auto"/>
        <w:tabs>
          <w:tab w:leader="none" w:pos="20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121"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53"/>
          </w:cols>
          <w:pgMar w:left="487" w:top="269" w:right="559" w:bottom="1440" w:gutter="0" w:footer="0" w:header="0"/>
        </w:sectPr>
      </w:pPr>
    </w:p>
    <w:bookmarkStart w:id="290" w:name="page291"/>
    <w:bookmarkEnd w:id="290"/>
    <w:p>
      <w:pPr>
        <w:ind w:left="433" w:hanging="433"/>
        <w:spacing w:after="0"/>
        <w:tabs>
          <w:tab w:leader="none" w:pos="43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18" w:lineRule="exact"/>
        <w:rPr>
          <w:sz w:val="20"/>
          <w:szCs w:val="20"/>
          <w:color w:val="auto"/>
        </w:rPr>
      </w:pPr>
    </w:p>
    <w:p>
      <w:pPr>
        <w:ind w:left="433"/>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221" w:lineRule="exact"/>
        <w:rPr>
          <w:sz w:val="20"/>
          <w:szCs w:val="20"/>
          <w:color w:val="auto"/>
        </w:rPr>
      </w:pPr>
    </w:p>
    <w:p>
      <w:pPr>
        <w:ind w:left="693" w:hanging="256"/>
        <w:spacing w:after="0"/>
        <w:tabs>
          <w:tab w:leader="none" w:pos="693"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232" w:lineRule="exact"/>
        <w:rPr>
          <w:rFonts w:ascii="Arial" w:cs="Arial" w:eastAsia="Arial" w:hAnsi="Arial"/>
          <w:sz w:val="17"/>
          <w:szCs w:val="17"/>
          <w:b w:val="1"/>
          <w:bCs w:val="1"/>
          <w:color w:val="auto"/>
        </w:rPr>
      </w:pPr>
    </w:p>
    <w:p>
      <w:pPr>
        <w:ind w:left="693" w:hanging="256"/>
        <w:spacing w:after="0"/>
        <w:tabs>
          <w:tab w:leader="none" w:pos="693"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220" w:lineRule="exact"/>
        <w:rPr>
          <w:rFonts w:ascii="Arial" w:cs="Arial" w:eastAsia="Arial" w:hAnsi="Arial"/>
          <w:sz w:val="18"/>
          <w:szCs w:val="18"/>
          <w:b w:val="1"/>
          <w:bCs w:val="1"/>
          <w:color w:val="auto"/>
        </w:rPr>
      </w:pPr>
    </w:p>
    <w:p>
      <w:pPr>
        <w:ind w:left="-7" w:right="360" w:firstLine="444"/>
        <w:spacing w:after="0" w:line="259" w:lineRule="auto"/>
        <w:tabs>
          <w:tab w:leader="none" w:pos="671"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5" w:lineRule="exact"/>
        <w:rPr>
          <w:rFonts w:ascii="Arial" w:cs="Arial" w:eastAsia="Arial" w:hAnsi="Arial"/>
          <w:sz w:val="18"/>
          <w:szCs w:val="18"/>
          <w:b w:val="1"/>
          <w:bCs w:val="1"/>
          <w:color w:val="auto"/>
        </w:rPr>
      </w:pPr>
    </w:p>
    <w:p>
      <w:pPr>
        <w:ind w:left="-7" w:firstLine="444"/>
        <w:spacing w:after="0" w:line="253" w:lineRule="auto"/>
        <w:tabs>
          <w:tab w:leader="none" w:pos="691"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92" w:lineRule="exact"/>
        <w:rPr>
          <w:rFonts w:ascii="Arial" w:cs="Arial" w:eastAsia="Arial" w:hAnsi="Arial"/>
          <w:sz w:val="18"/>
          <w:szCs w:val="18"/>
          <w:b w:val="1"/>
          <w:bCs w:val="1"/>
          <w:color w:val="auto"/>
        </w:rPr>
      </w:pPr>
    </w:p>
    <w:p>
      <w:pPr>
        <w:ind w:left="-7" w:right="320" w:firstLine="444"/>
        <w:spacing w:after="0" w:line="301" w:lineRule="auto"/>
        <w:tabs>
          <w:tab w:leader="none" w:pos="671"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51" w:lineRule="exact"/>
        <w:rPr>
          <w:rFonts w:ascii="Arial" w:cs="Arial" w:eastAsia="Arial" w:hAnsi="Arial"/>
          <w:sz w:val="17"/>
          <w:szCs w:val="17"/>
          <w:b w:val="1"/>
          <w:bCs w:val="1"/>
          <w:color w:val="auto"/>
        </w:rPr>
      </w:pPr>
    </w:p>
    <w:p>
      <w:pPr>
        <w:ind w:left="-7" w:right="140" w:firstLine="444"/>
        <w:spacing w:after="0" w:line="307" w:lineRule="auto"/>
        <w:tabs>
          <w:tab w:leader="none" w:pos="652" w:val="left"/>
        </w:tabs>
        <w:numPr>
          <w:ilvl w:val="0"/>
          <w:numId w:val="24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49" w:lineRule="exact"/>
        <w:rPr>
          <w:rFonts w:ascii="Arial" w:cs="Arial" w:eastAsia="Arial" w:hAnsi="Arial"/>
          <w:sz w:val="16"/>
          <w:szCs w:val="16"/>
          <w:b w:val="1"/>
          <w:bCs w:val="1"/>
          <w:color w:val="auto"/>
        </w:rPr>
      </w:pPr>
    </w:p>
    <w:p>
      <w:pPr>
        <w:ind w:left="-7" w:right="20" w:firstLine="444"/>
        <w:spacing w:after="0" w:line="259" w:lineRule="auto"/>
        <w:tabs>
          <w:tab w:leader="none" w:pos="681"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5" w:lineRule="exact"/>
        <w:rPr>
          <w:rFonts w:ascii="Arial" w:cs="Arial" w:eastAsia="Arial" w:hAnsi="Arial"/>
          <w:sz w:val="18"/>
          <w:szCs w:val="18"/>
          <w:b w:val="1"/>
          <w:bCs w:val="1"/>
          <w:color w:val="auto"/>
        </w:rPr>
      </w:pPr>
    </w:p>
    <w:p>
      <w:pPr>
        <w:ind w:left="-7" w:right="40" w:firstLine="444"/>
        <w:spacing w:after="0" w:line="290" w:lineRule="auto"/>
        <w:tabs>
          <w:tab w:leader="none" w:pos="691" w:val="left"/>
        </w:tabs>
        <w:numPr>
          <w:ilvl w:val="0"/>
          <w:numId w:val="246"/>
        </w:numPr>
        <w:rPr>
          <w:rFonts w:ascii="Arial" w:cs="Arial" w:eastAsia="Arial" w:hAnsi="Arial"/>
          <w:sz w:val="16"/>
          <w:szCs w:val="16"/>
          <w:b w:val="1"/>
          <w:b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7"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73"/>
          </w:cols>
          <w:pgMar w:left="487" w:top="268" w:right="539" w:bottom="1440" w:gutter="0" w:footer="0" w:header="0"/>
        </w:sectPr>
      </w:pPr>
    </w:p>
    <w:bookmarkStart w:id="291" w:name="page292"/>
    <w:bookmarkEnd w:id="291"/>
    <w:p>
      <w:pPr>
        <w:ind w:left="-20" w:firstLine="444"/>
        <w:spacing w:after="0" w:line="283" w:lineRule="auto"/>
        <w:tabs>
          <w:tab w:leader="none" w:pos="629" w:val="left"/>
        </w:tabs>
        <w:numPr>
          <w:ilvl w:val="0"/>
          <w:numId w:val="24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5" w:lineRule="exact"/>
        <w:rPr>
          <w:rFonts w:ascii="Arial" w:cs="Arial" w:eastAsia="Arial" w:hAnsi="Arial"/>
          <w:sz w:val="16"/>
          <w:szCs w:val="16"/>
          <w:b w:val="1"/>
          <w:bCs w:val="1"/>
          <w:color w:val="auto"/>
        </w:rPr>
      </w:pPr>
    </w:p>
    <w:p>
      <w:pPr>
        <w:ind w:left="-20" w:right="100" w:firstLine="444"/>
        <w:spacing w:after="0" w:line="271" w:lineRule="auto"/>
        <w:tabs>
          <w:tab w:leader="none" w:pos="639"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174" w:lineRule="exact"/>
        <w:rPr>
          <w:rFonts w:ascii="Arial" w:cs="Arial" w:eastAsia="Arial" w:hAnsi="Arial"/>
          <w:sz w:val="18"/>
          <w:szCs w:val="18"/>
          <w:b w:val="1"/>
          <w:bCs w:val="1"/>
          <w:color w:val="auto"/>
        </w:rPr>
      </w:pPr>
    </w:p>
    <w:p>
      <w:pPr>
        <w:ind w:left="-20" w:right="20" w:firstLine="990"/>
        <w:spacing w:after="0" w:line="284" w:lineRule="auto"/>
        <w:tabs>
          <w:tab w:leader="none" w:pos="1175" w:val="left"/>
        </w:tabs>
        <w:numPr>
          <w:ilvl w:val="1"/>
          <w:numId w:val="247"/>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500" w:top="272" w:right="499" w:bottom="1440" w:gutter="0" w:footer="0" w:header="0"/>
        </w:sectPr>
      </w:pPr>
    </w:p>
    <w:bookmarkStart w:id="292" w:name="page293"/>
    <w:bookmarkEnd w:id="292"/>
    <w:p>
      <w:pPr>
        <w:ind w:right="160" w:firstLine="990"/>
        <w:spacing w:after="0" w:line="270" w:lineRule="auto"/>
        <w:tabs>
          <w:tab w:leader="none" w:pos="1245" w:val="left"/>
        </w:tabs>
        <w:numPr>
          <w:ilvl w:val="0"/>
          <w:numId w:val="24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or</w:t>
      </w:r>
    </w:p>
    <w:p>
      <w:pPr>
        <w:spacing w:after="0" w:line="178" w:lineRule="exact"/>
        <w:rPr>
          <w:rFonts w:ascii="Arial" w:cs="Arial" w:eastAsia="Arial" w:hAnsi="Arial"/>
          <w:sz w:val="17"/>
          <w:szCs w:val="17"/>
          <w:b w:val="1"/>
          <w:bCs w:val="1"/>
          <w:color w:val="auto"/>
        </w:rPr>
      </w:pPr>
    </w:p>
    <w:p>
      <w:pPr>
        <w:ind w:right="120" w:firstLine="990"/>
        <w:spacing w:after="0" w:line="253" w:lineRule="auto"/>
        <w:tabs>
          <w:tab w:leader="none" w:pos="1294"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93" w:lineRule="exact"/>
        <w:rPr>
          <w:sz w:val="20"/>
          <w:szCs w:val="20"/>
          <w:color w:val="auto"/>
        </w:rPr>
      </w:pPr>
    </w:p>
    <w:p>
      <w:pPr>
        <w:ind w:right="20" w:firstLine="436"/>
        <w:spacing w:after="0" w:line="269"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78" w:lineRule="exact"/>
        <w:rPr>
          <w:sz w:val="20"/>
          <w:szCs w:val="20"/>
          <w:color w:val="auto"/>
        </w:rPr>
      </w:pPr>
    </w:p>
    <w:p>
      <w:pPr>
        <w:ind w:left="700" w:hanging="256"/>
        <w:spacing w:after="0"/>
        <w:tabs>
          <w:tab w:leader="none" w:pos="70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0" w:lineRule="exact"/>
        <w:rPr>
          <w:rFonts w:ascii="Arial" w:cs="Arial" w:eastAsia="Arial" w:hAnsi="Arial"/>
          <w:sz w:val="18"/>
          <w:szCs w:val="18"/>
          <w:b w:val="1"/>
          <w:bCs w:val="1"/>
          <w:color w:val="auto"/>
        </w:rPr>
      </w:pPr>
    </w:p>
    <w:p>
      <w:pPr>
        <w:ind w:firstLine="444"/>
        <w:spacing w:after="0" w:line="271" w:lineRule="auto"/>
        <w:tabs>
          <w:tab w:leader="none" w:pos="649"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one or more Directors to whom authority has been delegated by the Board or Compensation Committee in accordance with the Plan.</w:t>
      </w:r>
    </w:p>
    <w:p>
      <w:pPr>
        <w:spacing w:after="0" w:line="174" w:lineRule="exact"/>
        <w:rPr>
          <w:rFonts w:ascii="Arial" w:cs="Arial" w:eastAsia="Arial" w:hAnsi="Arial"/>
          <w:sz w:val="18"/>
          <w:szCs w:val="18"/>
          <w:b w:val="1"/>
          <w:bCs w:val="1"/>
          <w:color w:val="auto"/>
        </w:rPr>
      </w:pPr>
    </w:p>
    <w:p>
      <w:pPr>
        <w:ind w:left="760" w:hanging="316"/>
        <w:spacing w:after="0"/>
        <w:tabs>
          <w:tab w:leader="none" w:pos="76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0" w:lineRule="exact"/>
        <w:rPr>
          <w:rFonts w:ascii="Arial" w:cs="Arial" w:eastAsia="Arial" w:hAnsi="Arial"/>
          <w:sz w:val="18"/>
          <w:szCs w:val="18"/>
          <w:b w:val="1"/>
          <w:bCs w:val="1"/>
          <w:color w:val="auto"/>
        </w:rPr>
      </w:pPr>
    </w:p>
    <w:p>
      <w:pPr>
        <w:ind w:left="700" w:hanging="256"/>
        <w:spacing w:after="0"/>
        <w:tabs>
          <w:tab w:leader="none" w:pos="70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Xometry, Inc., a Delaware corporation.</w:t>
      </w:r>
    </w:p>
    <w:p>
      <w:pPr>
        <w:spacing w:after="0" w:line="220" w:lineRule="exact"/>
        <w:rPr>
          <w:rFonts w:ascii="Arial" w:cs="Arial" w:eastAsia="Arial" w:hAnsi="Arial"/>
          <w:sz w:val="18"/>
          <w:szCs w:val="18"/>
          <w:b w:val="1"/>
          <w:bCs w:val="1"/>
          <w:color w:val="auto"/>
        </w:rPr>
      </w:pPr>
    </w:p>
    <w:p>
      <w:pPr>
        <w:ind w:left="700" w:hanging="256"/>
        <w:spacing w:after="0"/>
        <w:tabs>
          <w:tab w:leader="none" w:pos="70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220" w:lineRule="exact"/>
        <w:rPr>
          <w:rFonts w:ascii="Arial" w:cs="Arial" w:eastAsia="Arial" w:hAnsi="Arial"/>
          <w:sz w:val="18"/>
          <w:szCs w:val="18"/>
          <w:b w:val="1"/>
          <w:bCs w:val="1"/>
          <w:color w:val="auto"/>
        </w:rPr>
      </w:pPr>
    </w:p>
    <w:p>
      <w:pPr>
        <w:ind w:right="20" w:firstLine="444"/>
        <w:spacing w:after="0" w:line="272" w:lineRule="auto"/>
        <w:tabs>
          <w:tab w:leader="none" w:pos="699" w:val="left"/>
        </w:tabs>
        <w:numPr>
          <w:ilvl w:val="0"/>
          <w:numId w:val="24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480" w:top="272" w:right="539" w:bottom="1440" w:gutter="0" w:footer="0" w:header="0"/>
        </w:sectPr>
      </w:pPr>
    </w:p>
    <w:bookmarkStart w:id="293" w:name="page294"/>
    <w:bookmarkEnd w:id="293"/>
    <w:p>
      <w:pPr>
        <w:ind w:firstLine="444"/>
        <w:spacing w:after="0" w:line="283" w:lineRule="auto"/>
        <w:tabs>
          <w:tab w:leader="none" w:pos="699" w:val="left"/>
        </w:tabs>
        <w:numPr>
          <w:ilvl w:val="0"/>
          <w:numId w:val="25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69" w:lineRule="exact"/>
        <w:rPr>
          <w:rFonts w:ascii="Arial" w:cs="Arial" w:eastAsia="Arial" w:hAnsi="Arial"/>
          <w:sz w:val="16"/>
          <w:szCs w:val="16"/>
          <w:b w:val="1"/>
          <w:bCs w:val="1"/>
          <w:color w:val="auto"/>
        </w:rPr>
      </w:pPr>
    </w:p>
    <w:p>
      <w:pPr>
        <w:ind w:right="420" w:firstLine="444"/>
        <w:spacing w:after="0" w:line="271" w:lineRule="auto"/>
        <w:tabs>
          <w:tab w:leader="none" w:pos="679"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4" w:lineRule="exact"/>
        <w:rPr>
          <w:rFonts w:ascii="Arial" w:cs="Arial" w:eastAsia="Arial" w:hAnsi="Arial"/>
          <w:sz w:val="18"/>
          <w:szCs w:val="18"/>
          <w:b w:val="1"/>
          <w:bCs w:val="1"/>
          <w:color w:val="auto"/>
        </w:rPr>
      </w:pPr>
    </w:p>
    <w:p>
      <w:pPr>
        <w:ind w:left="1200" w:hanging="210"/>
        <w:spacing w:after="0"/>
        <w:tabs>
          <w:tab w:leader="none" w:pos="1200" w:val="left"/>
        </w:tabs>
        <w:numPr>
          <w:ilvl w:val="1"/>
          <w:numId w:val="250"/>
        </w:numPr>
        <w:rPr>
          <w:rFonts w:ascii="Arial" w:cs="Arial" w:eastAsia="Arial" w:hAnsi="Arial"/>
          <w:sz w:val="16"/>
          <w:szCs w:val="16"/>
          <w:b w:val="1"/>
          <w:bCs w:val="1"/>
          <w:color w:val="auto"/>
        </w:rPr>
      </w:pPr>
      <w:r>
        <w:rPr>
          <w:rFonts w:ascii="Arial" w:cs="Arial" w:eastAsia="Arial" w:hAnsi="Arial"/>
          <w:sz w:val="16"/>
          <w:szCs w:val="16"/>
          <w:color w:val="auto"/>
        </w:rPr>
        <w:t>a sale or other disposition of all or substantially all, as determined by the Board, of the consolidated assets of the Company and its</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Subsidiaries;</w:t>
      </w:r>
    </w:p>
    <w:p>
      <w:pPr>
        <w:spacing w:after="0" w:line="208" w:lineRule="exact"/>
        <w:rPr>
          <w:rFonts w:ascii="Arial" w:cs="Arial" w:eastAsia="Arial" w:hAnsi="Arial"/>
          <w:sz w:val="16"/>
          <w:szCs w:val="16"/>
          <w:b w:val="1"/>
          <w:bCs w:val="1"/>
          <w:color w:val="auto"/>
        </w:rPr>
      </w:pPr>
    </w:p>
    <w:p>
      <w:pPr>
        <w:ind w:left="1260" w:hanging="270"/>
        <w:spacing w:after="0"/>
        <w:tabs>
          <w:tab w:leader="none" w:pos="1260"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220" w:lineRule="exact"/>
        <w:rPr>
          <w:rFonts w:ascii="Arial" w:cs="Arial" w:eastAsia="Arial" w:hAnsi="Arial"/>
          <w:sz w:val="18"/>
          <w:szCs w:val="18"/>
          <w:b w:val="1"/>
          <w:bCs w:val="1"/>
          <w:color w:val="auto"/>
        </w:rPr>
      </w:pPr>
    </w:p>
    <w:p>
      <w:pPr>
        <w:ind w:left="1300" w:hanging="310"/>
        <w:spacing w:after="0"/>
        <w:tabs>
          <w:tab w:leader="none" w:pos="1300"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0" w:lineRule="exact"/>
        <w:rPr>
          <w:rFonts w:ascii="Arial" w:cs="Arial" w:eastAsia="Arial" w:hAnsi="Arial"/>
          <w:sz w:val="18"/>
          <w:szCs w:val="18"/>
          <w:b w:val="1"/>
          <w:bCs w:val="1"/>
          <w:color w:val="auto"/>
        </w:rPr>
      </w:pPr>
    </w:p>
    <w:p>
      <w:pPr>
        <w:ind w:right="240" w:firstLine="990"/>
        <w:spacing w:after="0" w:line="259" w:lineRule="auto"/>
        <w:tabs>
          <w:tab w:leader="none" w:pos="1284"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80" w:top="272" w:right="499" w:bottom="1440" w:gutter="0" w:footer="0" w:header="0"/>
        </w:sectPr>
      </w:pPr>
    </w:p>
    <w:bookmarkStart w:id="294" w:name="page295"/>
    <w:bookmarkEnd w:id="294"/>
    <w:p>
      <w:pPr>
        <w:ind w:firstLine="43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78" w:lineRule="exact"/>
        <w:rPr>
          <w:sz w:val="20"/>
          <w:szCs w:val="20"/>
          <w:color w:val="auto"/>
        </w:rPr>
      </w:pPr>
    </w:p>
    <w:p>
      <w:pPr>
        <w:ind w:left="680" w:hanging="236"/>
        <w:spacing w:after="0"/>
        <w:tabs>
          <w:tab w:leader="none" w:pos="6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0" w:lineRule="exact"/>
        <w:rPr>
          <w:rFonts w:ascii="Arial" w:cs="Arial" w:eastAsia="Arial" w:hAnsi="Arial"/>
          <w:sz w:val="18"/>
          <w:szCs w:val="18"/>
          <w:b w:val="1"/>
          <w:bCs w:val="1"/>
          <w:color w:val="auto"/>
        </w:rPr>
      </w:pPr>
    </w:p>
    <w:p>
      <w:pPr>
        <w:ind w:left="660" w:hanging="216"/>
        <w:spacing w:after="0"/>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220" w:lineRule="exact"/>
        <w:rPr>
          <w:rFonts w:ascii="Arial" w:cs="Arial" w:eastAsia="Arial" w:hAnsi="Arial"/>
          <w:sz w:val="18"/>
          <w:szCs w:val="18"/>
          <w:b w:val="1"/>
          <w:bCs w:val="1"/>
          <w:color w:val="auto"/>
        </w:rPr>
      </w:pPr>
    </w:p>
    <w:p>
      <w:pPr>
        <w:jc w:val="both"/>
        <w:ind w:right="380" w:firstLine="444"/>
        <w:spacing w:after="0" w:line="255" w:lineRule="auto"/>
        <w:tabs>
          <w:tab w:leader="none" w:pos="699"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90" w:lineRule="exact"/>
        <w:rPr>
          <w:rFonts w:ascii="Arial" w:cs="Arial" w:eastAsia="Arial" w:hAnsi="Arial"/>
          <w:sz w:val="18"/>
          <w:szCs w:val="18"/>
          <w:b w:val="1"/>
          <w:bCs w:val="1"/>
          <w:color w:val="auto"/>
        </w:rPr>
      </w:pPr>
    </w:p>
    <w:p>
      <w:pPr>
        <w:ind w:left="700" w:hanging="256"/>
        <w:spacing w:after="0"/>
        <w:tabs>
          <w:tab w:leader="none" w:pos="700" w:val="left"/>
        </w:tabs>
        <w:numPr>
          <w:ilvl w:val="0"/>
          <w:numId w:val="25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immediately prior to the IPO Date, provided that this Plan is approved by the Company’s stockholders prior to the IPO</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208" w:lineRule="exact"/>
        <w:rPr>
          <w:rFonts w:ascii="Arial" w:cs="Arial" w:eastAsia="Arial" w:hAnsi="Arial"/>
          <w:sz w:val="16"/>
          <w:szCs w:val="16"/>
          <w:b w:val="1"/>
          <w:bCs w:val="1"/>
          <w:color w:val="auto"/>
        </w:rPr>
      </w:pPr>
    </w:p>
    <w:p>
      <w:pPr>
        <w:ind w:right="120" w:firstLine="444"/>
        <w:spacing w:after="0" w:line="271" w:lineRule="auto"/>
        <w:tabs>
          <w:tab w:leader="none" w:pos="728"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4" w:lineRule="exact"/>
        <w:rPr>
          <w:rFonts w:ascii="Arial" w:cs="Arial" w:eastAsia="Arial" w:hAnsi="Arial"/>
          <w:sz w:val="18"/>
          <w:szCs w:val="18"/>
          <w:b w:val="1"/>
          <w:bCs w:val="1"/>
          <w:color w:val="auto"/>
        </w:rPr>
      </w:pPr>
    </w:p>
    <w:p>
      <w:pPr>
        <w:ind w:left="700" w:hanging="256"/>
        <w:spacing w:after="0"/>
        <w:tabs>
          <w:tab w:leader="none" w:pos="70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220" w:lineRule="exact"/>
        <w:rPr>
          <w:rFonts w:ascii="Arial" w:cs="Arial" w:eastAsia="Arial" w:hAnsi="Arial"/>
          <w:sz w:val="18"/>
          <w:szCs w:val="18"/>
          <w:b w:val="1"/>
          <w:bCs w:val="1"/>
          <w:color w:val="auto"/>
        </w:rPr>
      </w:pPr>
    </w:p>
    <w:p>
      <w:pPr>
        <w:ind w:left="700" w:hanging="256"/>
        <w:spacing w:after="0"/>
        <w:tabs>
          <w:tab w:leader="none" w:pos="70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0" w:lineRule="exact"/>
        <w:rPr>
          <w:rFonts w:ascii="Arial" w:cs="Arial" w:eastAsia="Arial" w:hAnsi="Arial"/>
          <w:sz w:val="18"/>
          <w:szCs w:val="18"/>
          <w:b w:val="1"/>
          <w:bCs w:val="1"/>
          <w:color w:val="auto"/>
        </w:rPr>
      </w:pPr>
    </w:p>
    <w:p>
      <w:pPr>
        <w:ind w:left="680" w:hanging="236"/>
        <w:spacing w:after="0"/>
        <w:tabs>
          <w:tab w:leader="none" w:pos="680" w:val="left"/>
        </w:tabs>
        <w:numPr>
          <w:ilvl w:val="0"/>
          <w:numId w:val="25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2" w:lineRule="exact"/>
        <w:rPr>
          <w:sz w:val="20"/>
          <w:szCs w:val="20"/>
          <w:color w:val="auto"/>
        </w:rPr>
      </w:pPr>
    </w:p>
    <w:p>
      <w:pPr>
        <w:ind w:right="60" w:firstLine="444"/>
        <w:spacing w:after="0" w:line="251" w:lineRule="auto"/>
        <w:tabs>
          <w:tab w:leader="none" w:pos="778"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2" w:right="499" w:bottom="1440" w:gutter="0" w:footer="0" w:header="0"/>
        </w:sectPr>
      </w:pPr>
    </w:p>
    <w:bookmarkStart w:id="295" w:name="page296"/>
    <w:bookmarkEnd w:id="295"/>
    <w:p>
      <w:pPr>
        <w:ind w:left="-60" w:right="80" w:firstLine="444"/>
        <w:spacing w:after="0" w:line="271" w:lineRule="auto"/>
        <w:tabs>
          <w:tab w:leader="none" w:pos="738"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174" w:lineRule="exact"/>
        <w:rPr>
          <w:rFonts w:ascii="Arial" w:cs="Arial" w:eastAsia="Arial" w:hAnsi="Arial"/>
          <w:sz w:val="18"/>
          <w:szCs w:val="18"/>
          <w:b w:val="1"/>
          <w:bCs w:val="1"/>
          <w:color w:val="auto"/>
        </w:rPr>
      </w:pPr>
    </w:p>
    <w:p>
      <w:pPr>
        <w:ind w:left="-60" w:firstLine="990"/>
        <w:spacing w:after="0" w:line="259" w:lineRule="auto"/>
        <w:tabs>
          <w:tab w:leader="none" w:pos="1135"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5" w:lineRule="exact"/>
        <w:rPr>
          <w:rFonts w:ascii="Arial" w:cs="Arial" w:eastAsia="Arial" w:hAnsi="Arial"/>
          <w:sz w:val="18"/>
          <w:szCs w:val="18"/>
          <w:b w:val="1"/>
          <w:bCs w:val="1"/>
          <w:color w:val="auto"/>
        </w:rPr>
      </w:pPr>
    </w:p>
    <w:p>
      <w:pPr>
        <w:ind w:left="-60" w:right="260" w:firstLine="990"/>
        <w:spacing w:after="0" w:line="271" w:lineRule="auto"/>
        <w:tabs>
          <w:tab w:leader="none" w:pos="1185"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74" w:lineRule="exact"/>
        <w:rPr>
          <w:rFonts w:ascii="Arial" w:cs="Arial" w:eastAsia="Arial" w:hAnsi="Arial"/>
          <w:sz w:val="18"/>
          <w:szCs w:val="18"/>
          <w:b w:val="1"/>
          <w:bCs w:val="1"/>
          <w:color w:val="auto"/>
        </w:rPr>
      </w:pPr>
    </w:p>
    <w:p>
      <w:pPr>
        <w:ind w:left="-60" w:right="560" w:firstLine="990"/>
        <w:spacing w:after="0" w:line="271" w:lineRule="auto"/>
        <w:tabs>
          <w:tab w:leader="none" w:pos="1234"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74" w:lineRule="exact"/>
        <w:rPr>
          <w:rFonts w:ascii="Arial" w:cs="Arial" w:eastAsia="Arial" w:hAnsi="Arial"/>
          <w:sz w:val="18"/>
          <w:szCs w:val="18"/>
          <w:b w:val="1"/>
          <w:bCs w:val="1"/>
          <w:color w:val="auto"/>
        </w:rPr>
      </w:pPr>
    </w:p>
    <w:p>
      <w:pPr>
        <w:ind w:left="-60" w:right="160" w:firstLine="444"/>
        <w:spacing w:after="0" w:line="270" w:lineRule="auto"/>
        <w:tabs>
          <w:tab w:leader="none" w:pos="698" w:val="left"/>
        </w:tabs>
        <w:numPr>
          <w:ilvl w:val="0"/>
          <w:numId w:val="25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Body</w:t>
      </w:r>
      <w:r>
        <w:rPr>
          <w:rFonts w:ascii="Arial" w:cs="Arial" w:eastAsia="Arial" w:hAnsi="Arial"/>
          <w:sz w:val="17"/>
          <w:szCs w:val="17"/>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78" w:lineRule="exact"/>
        <w:rPr>
          <w:rFonts w:ascii="Arial" w:cs="Arial" w:eastAsia="Arial" w:hAnsi="Arial"/>
          <w:sz w:val="17"/>
          <w:szCs w:val="17"/>
          <w:b w:val="1"/>
          <w:bCs w:val="1"/>
          <w:color w:val="auto"/>
        </w:rPr>
      </w:pPr>
    </w:p>
    <w:p>
      <w:pPr>
        <w:jc w:val="both"/>
        <w:ind w:left="-60" w:right="180" w:firstLine="444"/>
        <w:spacing w:after="0" w:line="281" w:lineRule="auto"/>
        <w:tabs>
          <w:tab w:leader="none" w:pos="738" w:val="left"/>
        </w:tabs>
        <w:numPr>
          <w:ilvl w:val="0"/>
          <w:numId w:val="25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69" w:lineRule="exact"/>
        <w:rPr>
          <w:rFonts w:ascii="Arial" w:cs="Arial" w:eastAsia="Arial" w:hAnsi="Arial"/>
          <w:sz w:val="17"/>
          <w:szCs w:val="17"/>
          <w:b w:val="1"/>
          <w:bCs w:val="1"/>
          <w:color w:val="auto"/>
        </w:rPr>
      </w:pPr>
    </w:p>
    <w:p>
      <w:pPr>
        <w:ind w:left="-60" w:right="320" w:firstLine="444"/>
        <w:spacing w:after="0" w:line="301" w:lineRule="auto"/>
        <w:tabs>
          <w:tab w:leader="none" w:pos="698" w:val="left"/>
        </w:tabs>
        <w:numPr>
          <w:ilvl w:val="0"/>
          <w:numId w:val="25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means an option granted pursuant to Section 4 of the Plan that is intended to be, and qualifies as, an “incentive stock option” within the meaning of Section 422 of the Code.</w:t>
      </w:r>
    </w:p>
    <w:p>
      <w:pPr>
        <w:spacing w:after="0" w:line="151" w:lineRule="exact"/>
        <w:rPr>
          <w:rFonts w:ascii="Arial" w:cs="Arial" w:eastAsia="Arial" w:hAnsi="Arial"/>
          <w:sz w:val="17"/>
          <w:szCs w:val="17"/>
          <w:b w:val="1"/>
          <w:bCs w:val="1"/>
          <w:color w:val="auto"/>
        </w:rPr>
      </w:pPr>
    </w:p>
    <w:p>
      <w:pPr>
        <w:ind w:left="-60" w:right="120" w:firstLine="444"/>
        <w:spacing w:after="0" w:line="271" w:lineRule="auto"/>
        <w:tabs>
          <w:tab w:leader="none" w:pos="658"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74" w:lineRule="exact"/>
        <w:rPr>
          <w:rFonts w:ascii="Arial" w:cs="Arial" w:eastAsia="Arial" w:hAnsi="Arial"/>
          <w:sz w:val="18"/>
          <w:szCs w:val="18"/>
          <w:b w:val="1"/>
          <w:bCs w:val="1"/>
          <w:color w:val="auto"/>
        </w:rPr>
      </w:pPr>
    </w:p>
    <w:p>
      <w:pPr>
        <w:ind w:left="-60" w:right="380" w:firstLine="444"/>
        <w:spacing w:after="0" w:line="301" w:lineRule="auto"/>
        <w:tabs>
          <w:tab w:leader="none" w:pos="718" w:val="left"/>
        </w:tabs>
        <w:numPr>
          <w:ilvl w:val="0"/>
          <w:numId w:val="25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Materially Impair</w:t>
      </w:r>
      <w:r>
        <w:rPr>
          <w:rFonts w:ascii="Arial" w:cs="Arial" w:eastAsia="Arial" w:hAnsi="Arial"/>
          <w:sz w:val="17"/>
          <w:szCs w:val="17"/>
          <w:color w:val="auto"/>
        </w:rPr>
        <w:t>” means any amendment to the terms of the Award that materially adversely affects the Participant’s rights under the Award. A Participant’s rights under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00"/>
          </w:cols>
          <w:pgMar w:left="540" w:top="272" w:right="559" w:bottom="1440" w:gutter="0" w:footer="0" w:header="0"/>
        </w:sectPr>
      </w:pPr>
    </w:p>
    <w:bookmarkStart w:id="296" w:name="page297"/>
    <w:bookmarkEnd w:id="296"/>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78" w:lineRule="exact"/>
        <w:rPr>
          <w:sz w:val="20"/>
          <w:szCs w:val="20"/>
          <w:color w:val="auto"/>
        </w:rPr>
      </w:pPr>
    </w:p>
    <w:p>
      <w:pPr>
        <w:ind w:right="160" w:firstLine="444"/>
        <w:spacing w:after="0" w:line="282" w:lineRule="auto"/>
        <w:tabs>
          <w:tab w:leader="none" w:pos="798" w:val="left"/>
        </w:tabs>
        <w:numPr>
          <w:ilvl w:val="1"/>
          <w:numId w:val="2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60" w:hanging="253"/>
        <w:spacing w:after="0"/>
        <w:tabs>
          <w:tab w:leader="none" w:pos="2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08" w:lineRule="exact"/>
        <w:rPr>
          <w:rFonts w:ascii="Arial" w:cs="Arial" w:eastAsia="Arial" w:hAnsi="Arial"/>
          <w:sz w:val="18"/>
          <w:szCs w:val="18"/>
          <w:color w:val="auto"/>
        </w:rPr>
      </w:pPr>
    </w:p>
    <w:p>
      <w:pPr>
        <w:ind w:right="180" w:firstLine="444"/>
        <w:spacing w:after="0" w:line="259" w:lineRule="auto"/>
        <w:tabs>
          <w:tab w:leader="none" w:pos="699" w:val="left"/>
        </w:tabs>
        <w:numPr>
          <w:ilvl w:val="1"/>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85" w:lineRule="exact"/>
        <w:rPr>
          <w:rFonts w:ascii="Arial" w:cs="Arial" w:eastAsia="Arial" w:hAnsi="Arial"/>
          <w:sz w:val="18"/>
          <w:szCs w:val="18"/>
          <w:b w:val="1"/>
          <w:bCs w:val="1"/>
          <w:color w:val="auto"/>
        </w:rPr>
      </w:pPr>
    </w:p>
    <w:p>
      <w:pPr>
        <w:ind w:right="660" w:firstLine="444"/>
        <w:spacing w:after="0" w:line="271" w:lineRule="auto"/>
        <w:tabs>
          <w:tab w:leader="none" w:pos="718" w:val="left"/>
        </w:tabs>
        <w:numPr>
          <w:ilvl w:val="1"/>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174" w:lineRule="exact"/>
        <w:rPr>
          <w:rFonts w:ascii="Arial" w:cs="Arial" w:eastAsia="Arial" w:hAnsi="Arial"/>
          <w:sz w:val="18"/>
          <w:szCs w:val="18"/>
          <w:b w:val="1"/>
          <w:bCs w:val="1"/>
          <w:color w:val="auto"/>
        </w:rPr>
      </w:pPr>
    </w:p>
    <w:p>
      <w:pPr>
        <w:ind w:firstLine="444"/>
        <w:spacing w:after="0" w:line="272" w:lineRule="auto"/>
        <w:tabs>
          <w:tab w:leader="none" w:pos="798" w:val="left"/>
        </w:tabs>
        <w:numPr>
          <w:ilvl w:val="1"/>
          <w:numId w:val="25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176" w:lineRule="exact"/>
        <w:rPr>
          <w:rFonts w:ascii="Arial" w:cs="Arial" w:eastAsia="Arial" w:hAnsi="Arial"/>
          <w:sz w:val="17"/>
          <w:szCs w:val="17"/>
          <w:b w:val="1"/>
          <w:bCs w:val="1"/>
          <w:color w:val="auto"/>
        </w:rPr>
      </w:pPr>
    </w:p>
    <w:p>
      <w:pPr>
        <w:ind w:left="700" w:hanging="256"/>
        <w:spacing w:after="0"/>
        <w:tabs>
          <w:tab w:leader="none" w:pos="700" w:val="left"/>
        </w:tabs>
        <w:numPr>
          <w:ilvl w:val="1"/>
          <w:numId w:val="25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4 of the Plan that does not qualify as an Incentive Stock Option.</w:t>
      </w:r>
    </w:p>
    <w:p>
      <w:pPr>
        <w:spacing w:after="0" w:line="243" w:lineRule="exact"/>
        <w:rPr>
          <w:rFonts w:ascii="Arial" w:cs="Arial" w:eastAsia="Arial" w:hAnsi="Arial"/>
          <w:sz w:val="16"/>
          <w:szCs w:val="16"/>
          <w:b w:val="1"/>
          <w:bCs w:val="1"/>
          <w:color w:val="auto"/>
        </w:rPr>
      </w:pPr>
    </w:p>
    <w:p>
      <w:pPr>
        <w:ind w:left="900" w:hanging="456"/>
        <w:spacing w:after="0"/>
        <w:tabs>
          <w:tab w:leader="none" w:pos="900" w:val="left"/>
        </w:tabs>
        <w:numPr>
          <w:ilvl w:val="1"/>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0" w:lineRule="exact"/>
        <w:rPr>
          <w:rFonts w:ascii="Arial" w:cs="Arial" w:eastAsia="Arial" w:hAnsi="Arial"/>
          <w:sz w:val="18"/>
          <w:szCs w:val="18"/>
          <w:b w:val="1"/>
          <w:bCs w:val="1"/>
          <w:color w:val="auto"/>
        </w:rPr>
      </w:pPr>
    </w:p>
    <w:p>
      <w:pPr>
        <w:ind w:left="800" w:hanging="356"/>
        <w:spacing w:after="0"/>
        <w:tabs>
          <w:tab w:leader="none" w:pos="800" w:val="left"/>
        </w:tabs>
        <w:numPr>
          <w:ilvl w:val="1"/>
          <w:numId w:val="25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480" w:top="272" w:right="519" w:bottom="1440" w:gutter="0" w:footer="0" w:header="0"/>
        </w:sectPr>
      </w:pPr>
    </w:p>
    <w:bookmarkStart w:id="297" w:name="page298"/>
    <w:bookmarkEnd w:id="297"/>
    <w:p>
      <w:pPr>
        <w:ind w:left="-20" w:right="220" w:firstLine="444"/>
        <w:spacing w:after="0" w:line="275" w:lineRule="auto"/>
        <w:tabs>
          <w:tab w:leader="none" w:pos="758" w:val="left"/>
        </w:tabs>
        <w:numPr>
          <w:ilvl w:val="0"/>
          <w:numId w:val="25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73" w:lineRule="exact"/>
        <w:rPr>
          <w:rFonts w:ascii="Arial" w:cs="Arial" w:eastAsia="Arial" w:hAnsi="Arial"/>
          <w:sz w:val="17"/>
          <w:szCs w:val="17"/>
          <w:b w:val="1"/>
          <w:bCs w:val="1"/>
          <w:color w:val="auto"/>
        </w:rPr>
      </w:pPr>
    </w:p>
    <w:p>
      <w:pPr>
        <w:ind w:left="-20" w:right="680" w:firstLine="444"/>
        <w:spacing w:after="0" w:line="271" w:lineRule="auto"/>
        <w:tabs>
          <w:tab w:leader="none" w:pos="77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4" w:lineRule="exact"/>
        <w:rPr>
          <w:rFonts w:ascii="Arial" w:cs="Arial" w:eastAsia="Arial" w:hAnsi="Arial"/>
          <w:sz w:val="18"/>
          <w:szCs w:val="18"/>
          <w:b w:val="1"/>
          <w:bCs w:val="1"/>
          <w:color w:val="auto"/>
        </w:rPr>
      </w:pPr>
    </w:p>
    <w:p>
      <w:pPr>
        <w:ind w:left="-20" w:firstLine="444"/>
        <w:spacing w:after="0" w:line="307" w:lineRule="auto"/>
        <w:tabs>
          <w:tab w:leader="none" w:pos="77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w:t>
      </w:r>
      <w:r>
        <w:rPr>
          <w:rFonts w:ascii="Arial" w:cs="Arial" w:eastAsia="Arial" w:hAnsi="Arial"/>
          <w:sz w:val="16"/>
          <w:szCs w:val="16"/>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49" w:lineRule="exact"/>
        <w:rPr>
          <w:rFonts w:ascii="Arial" w:cs="Arial" w:eastAsia="Arial" w:hAnsi="Arial"/>
          <w:sz w:val="16"/>
          <w:szCs w:val="16"/>
          <w:b w:val="1"/>
          <w:bCs w:val="1"/>
          <w:color w:val="auto"/>
        </w:rPr>
      </w:pPr>
    </w:p>
    <w:p>
      <w:pPr>
        <w:ind w:left="-20" w:right="260" w:firstLine="444"/>
        <w:spacing w:after="0" w:line="335" w:lineRule="auto"/>
        <w:tabs>
          <w:tab w:leader="none" w:pos="73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 Agreement</w:t>
      </w:r>
      <w:r>
        <w:rPr>
          <w:rFonts w:ascii="Arial" w:cs="Arial" w:eastAsia="Arial" w:hAnsi="Arial"/>
          <w:sz w:val="16"/>
          <w:szCs w:val="16"/>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28" w:lineRule="exact"/>
        <w:rPr>
          <w:rFonts w:ascii="Arial" w:cs="Arial" w:eastAsia="Arial" w:hAnsi="Arial"/>
          <w:sz w:val="16"/>
          <w:szCs w:val="16"/>
          <w:b w:val="1"/>
          <w:bCs w:val="1"/>
          <w:color w:val="auto"/>
        </w:rPr>
      </w:pPr>
    </w:p>
    <w:p>
      <w:pPr>
        <w:ind w:left="-20" w:right="160" w:firstLine="444"/>
        <w:spacing w:after="0" w:line="307" w:lineRule="auto"/>
        <w:tabs>
          <w:tab w:leader="none" w:pos="71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9" w:lineRule="exact"/>
        <w:rPr>
          <w:rFonts w:ascii="Arial" w:cs="Arial" w:eastAsia="Arial" w:hAnsi="Arial"/>
          <w:sz w:val="16"/>
          <w:szCs w:val="16"/>
          <w:b w:val="1"/>
          <w:bCs w:val="1"/>
          <w:color w:val="auto"/>
        </w:rPr>
      </w:pPr>
    </w:p>
    <w:p>
      <w:pPr>
        <w:ind w:left="-20" w:right="420" w:firstLine="444"/>
        <w:spacing w:after="0" w:line="271" w:lineRule="auto"/>
        <w:tabs>
          <w:tab w:leader="none" w:pos="69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174" w:lineRule="exact"/>
        <w:rPr>
          <w:rFonts w:ascii="Arial" w:cs="Arial" w:eastAsia="Arial" w:hAnsi="Arial"/>
          <w:sz w:val="18"/>
          <w:szCs w:val="18"/>
          <w:b w:val="1"/>
          <w:bCs w:val="1"/>
          <w:color w:val="auto"/>
        </w:rPr>
      </w:pPr>
    </w:p>
    <w:p>
      <w:pPr>
        <w:ind w:left="-20" w:right="100" w:firstLine="444"/>
        <w:spacing w:after="0" w:line="293" w:lineRule="auto"/>
        <w:tabs>
          <w:tab w:leader="none" w:pos="77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0" w:lineRule="exact"/>
        <w:rPr>
          <w:rFonts w:ascii="Arial" w:cs="Arial" w:eastAsia="Arial" w:hAnsi="Arial"/>
          <w:sz w:val="16"/>
          <w:szCs w:val="16"/>
          <w:b w:val="1"/>
          <w:bCs w:val="1"/>
          <w:color w:val="auto"/>
        </w:rPr>
      </w:pPr>
    </w:p>
    <w:p>
      <w:pPr>
        <w:ind w:left="-20" w:firstLine="444"/>
        <w:spacing w:after="0" w:line="290" w:lineRule="auto"/>
        <w:tabs>
          <w:tab w:leader="none" w:pos="75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500" w:top="272" w:right="519" w:bottom="1440" w:gutter="0" w:footer="0" w:header="0"/>
        </w:sectPr>
      </w:pPr>
    </w:p>
    <w:bookmarkStart w:id="298" w:name="page299"/>
    <w:bookmarkEnd w:id="298"/>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69" w:lineRule="exact"/>
        <w:rPr>
          <w:sz w:val="20"/>
          <w:szCs w:val="20"/>
          <w:color w:val="auto"/>
        </w:rPr>
      </w:pPr>
    </w:p>
    <w:p>
      <w:pPr>
        <w:ind w:right="40" w:firstLine="444"/>
        <w:spacing w:after="0" w:line="280" w:lineRule="auto"/>
        <w:tabs>
          <w:tab w:leader="none" w:pos="857" w:val="left"/>
        </w:tabs>
        <w:numPr>
          <w:ilvl w:val="1"/>
          <w:numId w:val="25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6" w:lineRule="exact"/>
        <w:rPr>
          <w:rFonts w:ascii="Arial" w:cs="Arial" w:eastAsia="Arial" w:hAnsi="Arial"/>
          <w:sz w:val="16"/>
          <w:szCs w:val="16"/>
          <w:b w:val="1"/>
          <w:bCs w:val="1"/>
          <w:color w:val="auto"/>
        </w:rPr>
      </w:pPr>
    </w:p>
    <w:p>
      <w:pPr>
        <w:ind w:firstLine="7"/>
        <w:spacing w:after="0" w:line="264" w:lineRule="auto"/>
        <w:tabs>
          <w:tab w:leader="none" w:pos="25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480" w:top="272" w:right="539" w:bottom="1440" w:gutter="0" w:footer="0" w:header="0"/>
        </w:sectPr>
      </w:pPr>
    </w:p>
    <w:bookmarkStart w:id="299" w:name="page300"/>
    <w:bookmarkEnd w:id="299"/>
    <w:p>
      <w:pPr>
        <w:ind w:left="-60" w:right="100" w:firstLine="444"/>
        <w:spacing w:after="0" w:line="259" w:lineRule="auto"/>
        <w:tabs>
          <w:tab w:leader="none" w:pos="718"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85" w:lineRule="exact"/>
        <w:rPr>
          <w:rFonts w:ascii="Arial" w:cs="Arial" w:eastAsia="Arial" w:hAnsi="Arial"/>
          <w:sz w:val="18"/>
          <w:szCs w:val="18"/>
          <w:b w:val="1"/>
          <w:bCs w:val="1"/>
          <w:color w:val="auto"/>
        </w:rPr>
      </w:pPr>
    </w:p>
    <w:p>
      <w:pPr>
        <w:ind w:left="720" w:hanging="336"/>
        <w:spacing w:after="0"/>
        <w:tabs>
          <w:tab w:leader="none" w:pos="720"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Xometry, Inc. 2021 Equity Incentive Plan, as amended from time to time.</w:t>
      </w:r>
    </w:p>
    <w:p>
      <w:pPr>
        <w:spacing w:after="0" w:line="220" w:lineRule="exact"/>
        <w:rPr>
          <w:rFonts w:ascii="Arial" w:cs="Arial" w:eastAsia="Arial" w:hAnsi="Arial"/>
          <w:sz w:val="18"/>
          <w:szCs w:val="18"/>
          <w:b w:val="1"/>
          <w:bCs w:val="1"/>
          <w:color w:val="auto"/>
        </w:rPr>
      </w:pPr>
    </w:p>
    <w:p>
      <w:pPr>
        <w:ind w:left="-60" w:right="220" w:firstLine="444"/>
        <w:spacing w:after="0" w:line="271" w:lineRule="auto"/>
        <w:tabs>
          <w:tab w:leader="none" w:pos="698"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175" w:lineRule="exact"/>
        <w:rPr>
          <w:sz w:val="20"/>
          <w:szCs w:val="20"/>
          <w:color w:val="auto"/>
        </w:rPr>
      </w:pPr>
    </w:p>
    <w:p>
      <w:pPr>
        <w:ind w:left="-60" w:right="60" w:firstLine="444"/>
        <w:spacing w:after="0" w:line="271" w:lineRule="auto"/>
        <w:tabs>
          <w:tab w:leader="none" w:pos="807"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174" w:lineRule="exact"/>
        <w:rPr>
          <w:rFonts w:ascii="Arial" w:cs="Arial" w:eastAsia="Arial" w:hAnsi="Arial"/>
          <w:sz w:val="18"/>
          <w:szCs w:val="18"/>
          <w:b w:val="1"/>
          <w:bCs w:val="1"/>
          <w:color w:val="auto"/>
        </w:rPr>
      </w:pPr>
    </w:p>
    <w:p>
      <w:pPr>
        <w:ind w:left="-60" w:right="80" w:firstLine="444"/>
        <w:spacing w:after="0" w:line="271" w:lineRule="auto"/>
        <w:tabs>
          <w:tab w:leader="none" w:pos="837"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RSA</w:t>
      </w:r>
      <w:r>
        <w:rPr>
          <w:rFonts w:ascii="Arial" w:cs="Arial" w:eastAsia="Arial" w:hAnsi="Arial"/>
          <w:sz w:val="18"/>
          <w:szCs w:val="18"/>
          <w:color w:val="auto"/>
        </w:rPr>
        <w:t>” means an Award of shares of Common Stock which is granted pursuant to the terms and conditions of Section 5(a).</w:t>
      </w:r>
    </w:p>
    <w:p>
      <w:pPr>
        <w:spacing w:after="0" w:line="174" w:lineRule="exact"/>
        <w:rPr>
          <w:rFonts w:ascii="Arial" w:cs="Arial" w:eastAsia="Arial" w:hAnsi="Arial"/>
          <w:sz w:val="18"/>
          <w:szCs w:val="18"/>
          <w:b w:val="1"/>
          <w:bCs w:val="1"/>
          <w:color w:val="auto"/>
        </w:rPr>
      </w:pPr>
    </w:p>
    <w:p>
      <w:pPr>
        <w:ind w:left="-60" w:firstLine="444"/>
        <w:spacing w:after="0" w:line="293" w:lineRule="auto"/>
        <w:tabs>
          <w:tab w:leader="none" w:pos="777"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60" w:lineRule="exact"/>
        <w:rPr>
          <w:rFonts w:ascii="Arial" w:cs="Arial" w:eastAsia="Arial" w:hAnsi="Arial"/>
          <w:sz w:val="16"/>
          <w:szCs w:val="16"/>
          <w:b w:val="1"/>
          <w:bCs w:val="1"/>
          <w:color w:val="auto"/>
        </w:rPr>
      </w:pPr>
    </w:p>
    <w:p>
      <w:pPr>
        <w:ind w:left="-60" w:right="60" w:firstLine="444"/>
        <w:spacing w:after="0" w:line="271" w:lineRule="auto"/>
        <w:tabs>
          <w:tab w:leader="none" w:pos="837"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of restricted stock units representing the right to receive an issuance of shares of Common Stock which is granted pursuant to the terms and conditions of Section 5(a).</w:t>
      </w:r>
    </w:p>
    <w:p>
      <w:pPr>
        <w:spacing w:after="0" w:line="174" w:lineRule="exact"/>
        <w:rPr>
          <w:rFonts w:ascii="Arial" w:cs="Arial" w:eastAsia="Arial" w:hAnsi="Arial"/>
          <w:sz w:val="18"/>
          <w:szCs w:val="18"/>
          <w:b w:val="1"/>
          <w:bCs w:val="1"/>
          <w:color w:val="auto"/>
        </w:rPr>
      </w:pPr>
    </w:p>
    <w:p>
      <w:pPr>
        <w:ind w:left="-60" w:right="120" w:firstLine="444"/>
        <w:spacing w:after="0" w:line="297" w:lineRule="auto"/>
        <w:tabs>
          <w:tab w:leader="none" w:pos="777"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RSU Award Agreement</w:t>
      </w:r>
      <w:r>
        <w:rPr>
          <w:rFonts w:ascii="Arial" w:cs="Arial" w:eastAsia="Arial" w:hAnsi="Arial"/>
          <w:sz w:val="16"/>
          <w:szCs w:val="16"/>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59" w:lineRule="exact"/>
        <w:rPr>
          <w:rFonts w:ascii="Arial" w:cs="Arial" w:eastAsia="Arial" w:hAnsi="Arial"/>
          <w:sz w:val="16"/>
          <w:szCs w:val="16"/>
          <w:b w:val="1"/>
          <w:bCs w:val="1"/>
          <w:color w:val="auto"/>
        </w:rPr>
      </w:pPr>
    </w:p>
    <w:p>
      <w:pPr>
        <w:ind w:left="720" w:hanging="336"/>
        <w:spacing w:after="0"/>
        <w:tabs>
          <w:tab w:leader="none" w:pos="720"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2" w:lineRule="exact"/>
        <w:rPr>
          <w:rFonts w:ascii="Arial" w:cs="Arial" w:eastAsia="Arial" w:hAnsi="Arial"/>
          <w:sz w:val="17"/>
          <w:szCs w:val="17"/>
          <w:b w:val="1"/>
          <w:bCs w:val="1"/>
          <w:color w:val="auto"/>
        </w:rPr>
      </w:pPr>
    </w:p>
    <w:p>
      <w:pPr>
        <w:ind w:left="820" w:hanging="436"/>
        <w:spacing w:after="0"/>
        <w:tabs>
          <w:tab w:leader="none" w:pos="820"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405</w:t>
      </w:r>
      <w:r>
        <w:rPr>
          <w:rFonts w:ascii="Arial" w:cs="Arial" w:eastAsia="Arial" w:hAnsi="Arial"/>
          <w:sz w:val="17"/>
          <w:szCs w:val="17"/>
          <w:color w:val="auto"/>
        </w:rPr>
        <w:t>” means Rule 405 promulgated under the Securities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20"/>
          </w:cols>
          <w:pgMar w:left="540" w:top="272" w:right="539" w:bottom="1440" w:gutter="0" w:footer="0" w:header="0"/>
        </w:sectPr>
      </w:pPr>
    </w:p>
    <w:bookmarkStart w:id="300" w:name="page301"/>
    <w:bookmarkEnd w:id="300"/>
    <w:p>
      <w:pPr>
        <w:ind w:left="880" w:hanging="456"/>
        <w:spacing w:after="0"/>
        <w:tabs>
          <w:tab w:leader="none" w:pos="88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220" w:lineRule="exact"/>
        <w:rPr>
          <w:rFonts w:ascii="Arial" w:cs="Arial" w:eastAsia="Arial" w:hAnsi="Arial"/>
          <w:sz w:val="18"/>
          <w:szCs w:val="18"/>
          <w:b w:val="1"/>
          <w:bCs w:val="1"/>
          <w:color w:val="auto"/>
        </w:rPr>
      </w:pPr>
    </w:p>
    <w:p>
      <w:pPr>
        <w:jc w:val="both"/>
        <w:ind w:left="-20" w:firstLine="444"/>
        <w:spacing w:after="0" w:line="259" w:lineRule="auto"/>
        <w:tabs>
          <w:tab w:leader="none" w:pos="728"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85" w:lineRule="exact"/>
        <w:rPr>
          <w:rFonts w:ascii="Arial" w:cs="Arial" w:eastAsia="Arial" w:hAnsi="Arial"/>
          <w:sz w:val="18"/>
          <w:szCs w:val="18"/>
          <w:b w:val="1"/>
          <w:bCs w:val="1"/>
          <w:color w:val="auto"/>
        </w:rPr>
      </w:pPr>
    </w:p>
    <w:p>
      <w:pPr>
        <w:ind w:left="760" w:hanging="336"/>
        <w:spacing w:after="0"/>
        <w:tabs>
          <w:tab w:leader="none" w:pos="76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0" w:lineRule="exact"/>
        <w:rPr>
          <w:rFonts w:ascii="Arial" w:cs="Arial" w:eastAsia="Arial" w:hAnsi="Arial"/>
          <w:sz w:val="18"/>
          <w:szCs w:val="18"/>
          <w:b w:val="1"/>
          <w:bCs w:val="1"/>
          <w:color w:val="auto"/>
        </w:rPr>
      </w:pPr>
    </w:p>
    <w:p>
      <w:pPr>
        <w:ind w:left="880" w:hanging="456"/>
        <w:spacing w:after="0"/>
        <w:tabs>
          <w:tab w:leader="none" w:pos="88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220" w:lineRule="exact"/>
        <w:rPr>
          <w:rFonts w:ascii="Arial" w:cs="Arial" w:eastAsia="Arial" w:hAnsi="Arial"/>
          <w:sz w:val="18"/>
          <w:szCs w:val="18"/>
          <w:b w:val="1"/>
          <w:bCs w:val="1"/>
          <w:color w:val="auto"/>
        </w:rPr>
      </w:pPr>
    </w:p>
    <w:p>
      <w:pPr>
        <w:ind w:left="-20" w:right="180" w:firstLine="444"/>
        <w:spacing w:after="0" w:line="271" w:lineRule="auto"/>
        <w:tabs>
          <w:tab w:leader="none" w:pos="728"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4.</w:t>
      </w:r>
    </w:p>
    <w:p>
      <w:pPr>
        <w:spacing w:after="0" w:line="174" w:lineRule="exact"/>
        <w:rPr>
          <w:rFonts w:ascii="Arial" w:cs="Arial" w:eastAsia="Arial" w:hAnsi="Arial"/>
          <w:sz w:val="18"/>
          <w:szCs w:val="18"/>
          <w:b w:val="1"/>
          <w:bCs w:val="1"/>
          <w:color w:val="auto"/>
        </w:rPr>
      </w:pPr>
    </w:p>
    <w:p>
      <w:pPr>
        <w:jc w:val="both"/>
        <w:ind w:left="-20" w:right="120" w:firstLine="444"/>
        <w:spacing w:after="0" w:line="255" w:lineRule="auto"/>
        <w:tabs>
          <w:tab w:leader="none" w:pos="1025"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90" w:lineRule="exact"/>
        <w:rPr>
          <w:rFonts w:ascii="Arial" w:cs="Arial" w:eastAsia="Arial" w:hAnsi="Arial"/>
          <w:sz w:val="18"/>
          <w:szCs w:val="18"/>
          <w:b w:val="1"/>
          <w:bCs w:val="1"/>
          <w:color w:val="auto"/>
        </w:rPr>
      </w:pPr>
    </w:p>
    <w:p>
      <w:pPr>
        <w:ind w:left="-20" w:right="220" w:firstLine="444"/>
        <w:spacing w:after="0" w:line="272" w:lineRule="auto"/>
        <w:tabs>
          <w:tab w:leader="none" w:pos="877"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6" w:lineRule="exact"/>
        <w:rPr>
          <w:rFonts w:ascii="Arial" w:cs="Arial" w:eastAsia="Arial" w:hAnsi="Arial"/>
          <w:sz w:val="17"/>
          <w:szCs w:val="17"/>
          <w:b w:val="1"/>
          <w:bCs w:val="1"/>
          <w:color w:val="auto"/>
        </w:rPr>
      </w:pPr>
    </w:p>
    <w:p>
      <w:pPr>
        <w:ind w:left="-20" w:firstLine="444"/>
        <w:spacing w:after="0" w:line="335" w:lineRule="auto"/>
        <w:tabs>
          <w:tab w:leader="none" w:pos="847"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means a person who Owns (or is deemed to Own pursuant to Section 424(d) of the Code) stock possessing more than 10% of the total combined voting power of all classes of stock of the Company or any Affiliate.</w:t>
      </w:r>
    </w:p>
    <w:p>
      <w:pPr>
        <w:spacing w:after="0" w:line="128" w:lineRule="exact"/>
        <w:rPr>
          <w:rFonts w:ascii="Arial" w:cs="Arial" w:eastAsia="Arial" w:hAnsi="Arial"/>
          <w:sz w:val="16"/>
          <w:szCs w:val="16"/>
          <w:b w:val="1"/>
          <w:bCs w:val="1"/>
          <w:color w:val="auto"/>
        </w:rPr>
      </w:pPr>
    </w:p>
    <w:p>
      <w:pPr>
        <w:ind w:left="-20" w:right="40" w:firstLine="444"/>
        <w:spacing w:after="0" w:line="301" w:lineRule="auto"/>
        <w:tabs>
          <w:tab w:leader="none" w:pos="877"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1" w:lineRule="exact"/>
        <w:rPr>
          <w:rFonts w:ascii="Arial" w:cs="Arial" w:eastAsia="Arial" w:hAnsi="Arial"/>
          <w:sz w:val="17"/>
          <w:szCs w:val="17"/>
          <w:b w:val="1"/>
          <w:bCs w:val="1"/>
          <w:color w:val="auto"/>
        </w:rPr>
      </w:pPr>
    </w:p>
    <w:p>
      <w:pPr>
        <w:ind w:left="-20" w:right="340" w:firstLine="444"/>
        <w:spacing w:after="0" w:line="271" w:lineRule="auto"/>
        <w:tabs>
          <w:tab w:leader="none" w:pos="877"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 prior to the date of any Corporate Transaction.</w:t>
      </w:r>
    </w:p>
    <w:p>
      <w:pPr>
        <w:spacing w:after="0" w:line="174" w:lineRule="exact"/>
        <w:rPr>
          <w:rFonts w:ascii="Arial" w:cs="Arial" w:eastAsia="Arial" w:hAnsi="Arial"/>
          <w:sz w:val="18"/>
          <w:szCs w:val="18"/>
          <w:b w:val="1"/>
          <w:bCs w:val="1"/>
          <w:color w:val="auto"/>
        </w:rPr>
      </w:pPr>
    </w:p>
    <w:p>
      <w:pPr>
        <w:ind w:left="-20" w:right="40" w:firstLine="444"/>
        <w:spacing w:after="0" w:line="271" w:lineRule="auto"/>
        <w:tabs>
          <w:tab w:leader="none" w:pos="817"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Non-Exempt Award</w:t>
      </w:r>
      <w:r>
        <w:rPr>
          <w:rFonts w:ascii="Arial" w:cs="Arial" w:eastAsia="Arial" w:hAnsi="Arial"/>
          <w:sz w:val="18"/>
          <w:szCs w:val="18"/>
          <w:color w:val="auto"/>
        </w:rPr>
        <w:t>” means the portion of any Non-Exempt Award that had vested in accordance with its terms upon or prior to the date of a Corporate Transaction.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500" w:top="273" w:right="51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I</w:t>
      </w:r>
      <w:r>
        <w:rPr>
          <w:rFonts w:ascii="Arial" w:cs="Arial" w:eastAsia="Arial" w:hAnsi="Arial"/>
          <w:sz w:val="13"/>
          <w:szCs w:val="13"/>
          <w:b w:val="1"/>
          <w:bCs w:val="1"/>
          <w:color w:val="auto"/>
        </w:rPr>
        <w:t>NDEMNIFICATION</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3"/>
          <w:szCs w:val="13"/>
          <w:b w:val="1"/>
          <w:bCs w:val="1"/>
          <w:color w:val="auto"/>
        </w:rPr>
        <w:t>GREEMENT</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dated as of _________________, 20__ and is between Xometry, Inc.,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Indemnitee’s service to the Company substantially benefits the Company.</w:t>
      </w:r>
    </w:p>
    <w:p>
      <w:pPr>
        <w:spacing w:after="0" w:line="114" w:lineRule="exact"/>
        <w:rPr>
          <w:sz w:val="20"/>
          <w:szCs w:val="20"/>
          <w:color w:val="auto"/>
        </w:rPr>
      </w:pPr>
    </w:p>
    <w:p>
      <w:pPr>
        <w:ind w:right="280" w:firstLine="436"/>
        <w:spacing w:after="0" w:line="306"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Individuals are reluctant to serve as directors or officers of corporations or in certain other capacities unless they are provided with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protection through insurance or indemnification against the risks of claims and actions against them arising out of such service.</w:t>
      </w:r>
    </w:p>
    <w:p>
      <w:pPr>
        <w:spacing w:after="0" w:line="36" w:lineRule="exact"/>
        <w:rPr>
          <w:sz w:val="20"/>
          <w:szCs w:val="20"/>
          <w:color w:val="auto"/>
        </w:rPr>
      </w:pPr>
    </w:p>
    <w:p>
      <w:pPr>
        <w:ind w:right="360" w:firstLine="436"/>
        <w:spacing w:after="0" w:line="340"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Indemnitee does not regard the protection currently provided by applicable law, the Company’s governing documents and any insurance as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under the present circumstances, and Indemnitee may not be willing to serve as a director or officer without additional protection.</w:t>
      </w:r>
    </w:p>
    <w:p>
      <w:pPr>
        <w:spacing w:after="0" w:line="14" w:lineRule="exact"/>
        <w:rPr>
          <w:sz w:val="20"/>
          <w:szCs w:val="20"/>
          <w:color w:val="auto"/>
        </w:rPr>
      </w:pPr>
    </w:p>
    <w:p>
      <w:pPr>
        <w:ind w:right="460" w:firstLine="436"/>
        <w:spacing w:after="0" w:line="306"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In order to induce Indemnitee to continue to provide services to the Company, it is reasonable, prudent and necessary for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contractually obligate itself to indemnify, and to advance expenses on behalf of, Indemnitee as permitted by applicable law.</w:t>
      </w:r>
    </w:p>
    <w:p>
      <w:pPr>
        <w:spacing w:after="0" w:line="36" w:lineRule="exact"/>
        <w:rPr>
          <w:sz w:val="20"/>
          <w:szCs w:val="20"/>
          <w:color w:val="auto"/>
        </w:rPr>
      </w:pPr>
    </w:p>
    <w:p>
      <w:pPr>
        <w:ind w:right="60" w:firstLine="436"/>
        <w:spacing w:after="0" w:line="261"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This Agreement is a supplement to and in furtherance of the indemnification provided in the Company’s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bylaws, and any resolutions adopted pursuant thereto, and this Agreement shall not be deemed a substitute therefor, nor shall this Agreement be deemed to limit, diminish or abrogate any rights of Indemnitee thereunder.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agree as follows:</w:t>
      </w:r>
    </w:p>
    <w:p>
      <w:pPr>
        <w:spacing w:after="0" w:line="110" w:lineRule="exact"/>
        <w:rPr>
          <w:sz w:val="20"/>
          <w:szCs w:val="20"/>
          <w:color w:val="auto"/>
        </w:rPr>
      </w:pPr>
    </w:p>
    <w:p>
      <w:pPr>
        <w:ind w:left="620" w:hanging="176"/>
        <w:spacing w:after="0"/>
        <w:tabs>
          <w:tab w:leader="none" w:pos="62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990"/>
        <w:spacing w:after="0" w:line="253" w:lineRule="auto"/>
        <w:tabs>
          <w:tab w:leader="none" w:pos="1234"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have the meaning given to such term in Rule 13d-3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provided, however, that “Beneficial Owner” shall exclude any Person otherwise becoming a Beneficial Owner solely by reason of (i) the stockholders of the Company approving a merger of the Company with another Person, or entering into tender or support agreements relating thereto, provided such merger was approved by the Company’s board of directors, or (ii) the Company’s board of directors approving a sale of securities by the Company to such Person.</w:t>
      </w:r>
    </w:p>
    <w:p>
      <w:pPr>
        <w:spacing w:after="0" w:line="85" w:lineRule="exact"/>
        <w:rPr>
          <w:rFonts w:ascii="Arial" w:cs="Arial" w:eastAsia="Arial" w:hAnsi="Arial"/>
          <w:sz w:val="18"/>
          <w:szCs w:val="18"/>
          <w:b w:val="1"/>
          <w:bCs w:val="1"/>
          <w:color w:val="auto"/>
        </w:rPr>
      </w:pPr>
    </w:p>
    <w:p>
      <w:pPr>
        <w:ind w:left="1260" w:hanging="270"/>
        <w:spacing w:after="0"/>
        <w:tabs>
          <w:tab w:leader="none" w:pos="1260" w:val="left"/>
        </w:tabs>
        <w:numPr>
          <w:ilvl w:val="1"/>
          <w:numId w:val="262"/>
        </w:numPr>
        <w:rPr>
          <w:rFonts w:ascii="Arial" w:cs="Arial" w:eastAsia="Arial" w:hAnsi="Arial"/>
          <w:sz w:val="16"/>
          <w:szCs w:val="16"/>
          <w:b w:val="1"/>
          <w:bCs w:val="1"/>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1" w:lineRule="exact"/>
        <w:rPr>
          <w:rFonts w:ascii="Arial" w:cs="Arial" w:eastAsia="Arial" w:hAnsi="Arial"/>
          <w:sz w:val="16"/>
          <w:szCs w:val="16"/>
          <w:b w:val="1"/>
          <w:bCs w:val="1"/>
          <w:color w:val="auto"/>
        </w:rPr>
      </w:pPr>
    </w:p>
    <w:p>
      <w:pPr>
        <w:ind w:right="480" w:firstLine="1426"/>
        <w:spacing w:after="0" w:line="335" w:lineRule="auto"/>
        <w:tabs>
          <w:tab w:leader="none" w:pos="1631" w:val="left"/>
        </w:tabs>
        <w:numPr>
          <w:ilvl w:val="2"/>
          <w:numId w:val="26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Acquisition of Stock by Third Party. </w:t>
      </w:r>
      <w:r>
        <w:rPr>
          <w:rFonts w:ascii="Arial" w:cs="Arial" w:eastAsia="Arial" w:hAnsi="Arial"/>
          <w:sz w:val="16"/>
          <w:szCs w:val="16"/>
          <w:color w:val="auto"/>
        </w:rPr>
        <w:t>Any Person (as defined below) becomes the Beneficial Owner, directly or indirectly,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the Company representing 50% or more of the combined voting power of the Company’s then outstanding securities;</w:t>
      </w:r>
    </w:p>
    <w:p>
      <w:pPr>
        <w:sectPr>
          <w:pgSz w:w="11900" w:h="16838" w:orient="portrait"/>
          <w:cols w:equalWidth="0" w:num="1">
            <w:col w:w="10920"/>
          </w:cols>
          <w:pgMar w:left="480" w:top="121" w:right="499" w:bottom="1440" w:gutter="0" w:footer="0" w:header="0"/>
        </w:sectPr>
      </w:pPr>
    </w:p>
    <w:bookmarkStart w:id="302" w:name="page303"/>
    <w:bookmarkEnd w:id="302"/>
    <w:p>
      <w:pPr>
        <w:ind w:left="-20" w:right="120" w:firstLine="1426"/>
        <w:spacing w:after="0" w:line="251" w:lineRule="auto"/>
        <w:tabs>
          <w:tab w:leader="none" w:pos="1661" w:val="left"/>
        </w:tabs>
        <w:numPr>
          <w:ilvl w:val="1"/>
          <w:numId w:val="263"/>
        </w:numPr>
        <w:rPr>
          <w:rFonts w:ascii="Arial" w:cs="Arial" w:eastAsia="Arial" w:hAnsi="Arial"/>
          <w:sz w:val="18"/>
          <w:szCs w:val="18"/>
          <w:b w:val="1"/>
          <w:b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Change in Board Composition. </w:t>
      </w:r>
      <w:r>
        <w:rPr>
          <w:rFonts w:ascii="Arial" w:cs="Arial" w:eastAsia="Arial" w:hAnsi="Arial"/>
          <w:sz w:val="18"/>
          <w:szCs w:val="18"/>
          <w:color w:val="auto"/>
        </w:rPr>
        <w:t>During any period of two consecutive years (not including any period prior to the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individuals who at the beginning of such period constituted the Company’s board of directors and any Approved Directors cease for any reason to constitute at least a majority of the members of the Company’s board of directors. “</w:t>
      </w:r>
      <w:r>
        <w:rPr>
          <w:rFonts w:ascii="Arial" w:cs="Arial" w:eastAsia="Arial" w:hAnsi="Arial"/>
          <w:sz w:val="18"/>
          <w:szCs w:val="18"/>
          <w:b w:val="1"/>
          <w:bCs w:val="1"/>
          <w:i w:val="1"/>
          <w:iCs w:val="1"/>
          <w:color w:val="auto"/>
        </w:rPr>
        <w:t>Approved Directors</w:t>
      </w:r>
      <w:r>
        <w:rPr>
          <w:rFonts w:ascii="Arial" w:cs="Arial" w:eastAsia="Arial" w:hAnsi="Arial"/>
          <w:sz w:val="18"/>
          <w:szCs w:val="18"/>
          <w:color w:val="auto"/>
        </w:rPr>
        <w:t>” means new directors (other than a director designated by a person who has entered into an agreement with the Company to effect a transaction described in Sections 1(b)(i), 1(b)(iii) or 1(b)(iv)) whose election or nomination by the board of directors (or, if applicable, by the Company’s stockholders) was approved by a vote of at least two thirds of the directors then still in office who either were directors at the beginning of such two-year period or whose election or nomination for election was previously so approved;</w:t>
      </w:r>
    </w:p>
    <w:p>
      <w:pPr>
        <w:spacing w:after="0" w:line="89" w:lineRule="exact"/>
        <w:rPr>
          <w:rFonts w:ascii="Arial" w:cs="Arial" w:eastAsia="Arial" w:hAnsi="Arial"/>
          <w:sz w:val="18"/>
          <w:szCs w:val="18"/>
          <w:b w:val="1"/>
          <w:bCs w:val="1"/>
          <w:color w:val="auto"/>
        </w:rPr>
      </w:pPr>
    </w:p>
    <w:p>
      <w:pPr>
        <w:ind w:left="-20" w:right="20" w:firstLine="1426"/>
        <w:spacing w:after="0" w:line="272" w:lineRule="auto"/>
        <w:tabs>
          <w:tab w:leader="none" w:pos="1711" w:val="left"/>
        </w:tabs>
        <w:numPr>
          <w:ilvl w:val="1"/>
          <w:numId w:val="263"/>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The effective date of a merger or consolidation of the Company with any other entity, other than a</w:t>
      </w:r>
      <w:r>
        <w:rPr>
          <w:rFonts w:ascii="Arial" w:cs="Arial" w:eastAsia="Arial" w:hAnsi="Arial"/>
          <w:sz w:val="17"/>
          <w:szCs w:val="17"/>
          <w:i w:val="1"/>
          <w:iCs w:val="1"/>
          <w:color w:val="auto"/>
        </w:rPr>
        <w:t xml:space="preserve"> </w:t>
      </w:r>
      <w:r>
        <w:rPr>
          <w:rFonts w:ascii="Arial" w:cs="Arial" w:eastAsia="Arial" w:hAnsi="Arial"/>
          <w:sz w:val="17"/>
          <w:szCs w:val="17"/>
          <w:color w:val="auto"/>
        </w:rPr>
        <w:t>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 majority of the board of directors or other governing body of such surviving entity; or</w:t>
      </w:r>
    </w:p>
    <w:p>
      <w:pPr>
        <w:spacing w:after="0" w:line="69" w:lineRule="exact"/>
        <w:rPr>
          <w:rFonts w:ascii="Arial" w:cs="Arial" w:eastAsia="Arial" w:hAnsi="Arial"/>
          <w:sz w:val="17"/>
          <w:szCs w:val="17"/>
          <w:b w:val="1"/>
          <w:bCs w:val="1"/>
          <w:color w:val="auto"/>
        </w:rPr>
      </w:pPr>
    </w:p>
    <w:p>
      <w:pPr>
        <w:ind w:left="-20" w:right="180" w:firstLine="1426"/>
        <w:spacing w:after="0" w:line="271" w:lineRule="auto"/>
        <w:tabs>
          <w:tab w:leader="none" w:pos="1700" w:val="left"/>
        </w:tabs>
        <w:numPr>
          <w:ilvl w:val="1"/>
          <w:numId w:val="26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The approval by the Company’s board of directors of a complete liquidation or the dissolution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 agreement for the sale, lease or disposition by the Company of all or substantially all of the Company’s assets; or</w:t>
      </w:r>
    </w:p>
    <w:p>
      <w:pPr>
        <w:spacing w:after="0" w:line="67" w:lineRule="exact"/>
        <w:rPr>
          <w:rFonts w:ascii="Arial" w:cs="Arial" w:eastAsia="Arial" w:hAnsi="Arial"/>
          <w:sz w:val="18"/>
          <w:szCs w:val="18"/>
          <w:b w:val="1"/>
          <w:bCs w:val="1"/>
          <w:color w:val="auto"/>
        </w:rPr>
      </w:pPr>
    </w:p>
    <w:p>
      <w:pPr>
        <w:ind w:left="-20" w:right="80" w:firstLine="1426"/>
        <w:spacing w:after="0" w:line="255" w:lineRule="auto"/>
        <w:tabs>
          <w:tab w:leader="none" w:pos="1651" w:val="left"/>
        </w:tabs>
        <w:numPr>
          <w:ilvl w:val="1"/>
          <w:numId w:val="26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Other Events. </w:t>
      </w:r>
      <w:r>
        <w:rPr>
          <w:rFonts w:ascii="Arial" w:cs="Arial" w:eastAsia="Arial" w:hAnsi="Arial"/>
          <w:sz w:val="18"/>
          <w:szCs w:val="18"/>
          <w:color w:val="auto"/>
        </w:rPr>
        <w:t>Any other event of a nature that would be required to be reported in response to Item 6(e) of Schedule 14A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Regulation 14A (or in response to any similar item on any similar schedule or form) promulgated under the Exchange Act, whether or not the Company is then subject to such reporting requirement,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the completion of the Company’s initial public offering shall not be considered a Change in Control.</w:t>
      </w:r>
    </w:p>
    <w:p>
      <w:pPr>
        <w:spacing w:after="0" w:line="83" w:lineRule="exact"/>
        <w:rPr>
          <w:rFonts w:ascii="Arial" w:cs="Arial" w:eastAsia="Arial" w:hAnsi="Arial"/>
          <w:sz w:val="18"/>
          <w:szCs w:val="18"/>
          <w:b w:val="1"/>
          <w:bCs w:val="1"/>
          <w:color w:val="auto"/>
        </w:rPr>
      </w:pPr>
    </w:p>
    <w:p>
      <w:pPr>
        <w:ind w:left="-20" w:right="560" w:firstLine="990"/>
        <w:spacing w:after="0" w:line="271" w:lineRule="auto"/>
        <w:tabs>
          <w:tab w:leader="none" w:pos="1204"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trustee, general partner, managing member, officer, employee, agent or fiduciary of the Company or any other Enterprise.</w:t>
      </w:r>
    </w:p>
    <w:p>
      <w:pPr>
        <w:spacing w:after="0" w:line="67" w:lineRule="exact"/>
        <w:rPr>
          <w:rFonts w:ascii="Arial" w:cs="Arial" w:eastAsia="Arial" w:hAnsi="Arial"/>
          <w:sz w:val="18"/>
          <w:szCs w:val="18"/>
          <w:b w:val="1"/>
          <w:bCs w:val="1"/>
          <w:color w:val="auto"/>
        </w:rPr>
      </w:pPr>
    </w:p>
    <w:p>
      <w:pPr>
        <w:ind w:left="1240" w:hanging="270"/>
        <w:spacing w:after="0"/>
        <w:tabs>
          <w:tab w:leader="none" w:pos="124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113" w:lineRule="exact"/>
        <w:rPr>
          <w:rFonts w:ascii="Arial" w:cs="Arial" w:eastAsia="Arial" w:hAnsi="Arial"/>
          <w:sz w:val="18"/>
          <w:szCs w:val="18"/>
          <w:b w:val="1"/>
          <w:bCs w:val="1"/>
          <w:color w:val="auto"/>
        </w:rPr>
      </w:pPr>
    </w:p>
    <w:p>
      <w:pPr>
        <w:ind w:left="-20" w:right="580" w:firstLine="990"/>
        <w:spacing w:after="0" w:line="271" w:lineRule="auto"/>
        <w:tabs>
          <w:tab w:leader="none" w:pos="1204"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67" w:lineRule="exact"/>
        <w:rPr>
          <w:rFonts w:ascii="Arial" w:cs="Arial" w:eastAsia="Arial" w:hAnsi="Arial"/>
          <w:sz w:val="18"/>
          <w:szCs w:val="18"/>
          <w:b w:val="1"/>
          <w:bCs w:val="1"/>
          <w:color w:val="auto"/>
        </w:rPr>
      </w:pPr>
    </w:p>
    <w:p>
      <w:pPr>
        <w:ind w:left="-20" w:right="340" w:firstLine="990"/>
        <w:spacing w:after="0" w:line="259" w:lineRule="auto"/>
        <w:tabs>
          <w:tab w:leader="none" w:pos="1185"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78" w:lineRule="exact"/>
        <w:rPr>
          <w:rFonts w:ascii="Arial" w:cs="Arial" w:eastAsia="Arial" w:hAnsi="Arial"/>
          <w:sz w:val="18"/>
          <w:szCs w:val="18"/>
          <w:b w:val="1"/>
          <w:bCs w:val="1"/>
          <w:color w:val="auto"/>
        </w:rPr>
      </w:pPr>
    </w:p>
    <w:p>
      <w:pPr>
        <w:ind w:left="-20" w:firstLine="990"/>
        <w:spacing w:after="0" w:line="250" w:lineRule="auto"/>
        <w:tabs>
          <w:tab w:leader="none" w:pos="1214"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Section 10(d),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500" w:top="273" w:right="499" w:bottom="1440" w:gutter="0" w:footer="0" w:header="0"/>
        </w:sectPr>
      </w:pPr>
    </w:p>
    <w:bookmarkStart w:id="303" w:name="page304"/>
    <w:bookmarkEnd w:id="303"/>
    <w:p>
      <w:pPr>
        <w:ind w:left="-40" w:right="20" w:firstLine="990"/>
        <w:spacing w:after="0" w:line="290" w:lineRule="auto"/>
        <w:tabs>
          <w:tab w:leader="none" w:pos="1204"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partner or member of a law firm, that is experienced in matters of corporation law and neither presently is, nor in the past five years has been, retained to 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56" w:lineRule="exact"/>
        <w:rPr>
          <w:rFonts w:ascii="Arial" w:cs="Arial" w:eastAsia="Arial" w:hAnsi="Arial"/>
          <w:sz w:val="16"/>
          <w:szCs w:val="16"/>
          <w:b w:val="1"/>
          <w:bCs w:val="1"/>
          <w:color w:val="auto"/>
        </w:rPr>
      </w:pPr>
    </w:p>
    <w:p>
      <w:pPr>
        <w:ind w:left="-40" w:right="120" w:firstLine="990"/>
        <w:spacing w:after="0" w:line="307" w:lineRule="auto"/>
        <w:tabs>
          <w:tab w:leader="none" w:pos="1155"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shall have the meaning set forth in Sections 13(d) and 14(d) of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42" w:lineRule="exact"/>
        <w:rPr>
          <w:rFonts w:ascii="Arial" w:cs="Arial" w:eastAsia="Arial" w:hAnsi="Arial"/>
          <w:sz w:val="16"/>
          <w:szCs w:val="16"/>
          <w:b w:val="1"/>
          <w:bCs w:val="1"/>
          <w:color w:val="auto"/>
        </w:rPr>
      </w:pPr>
    </w:p>
    <w:p>
      <w:pPr>
        <w:ind w:left="-40" w:right="20" w:firstLine="990"/>
        <w:spacing w:after="0" w:line="267" w:lineRule="auto"/>
        <w:tabs>
          <w:tab w:leader="none" w:pos="1165"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75" w:lineRule="exact"/>
        <w:rPr>
          <w:rFonts w:ascii="Arial" w:cs="Arial" w:eastAsia="Arial" w:hAnsi="Arial"/>
          <w:sz w:val="17"/>
          <w:szCs w:val="17"/>
          <w:b w:val="1"/>
          <w:bCs w:val="1"/>
          <w:color w:val="auto"/>
        </w:rPr>
      </w:pPr>
    </w:p>
    <w:p>
      <w:pPr>
        <w:ind w:left="-40" w:right="60" w:firstLine="990"/>
        <w:spacing w:after="0" w:line="255" w:lineRule="auto"/>
        <w:tabs>
          <w:tab w:leader="none" w:pos="1204"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 the fullest extent permitted by applicable law</w:t>
      </w:r>
      <w:r>
        <w:rPr>
          <w:rFonts w:ascii="Arial" w:cs="Arial" w:eastAsia="Arial" w:hAnsi="Arial"/>
          <w:sz w:val="18"/>
          <w:szCs w:val="18"/>
          <w:color w:val="auto"/>
        </w:rPr>
        <w:t>” means to the fullest extent permitted by all applicable laws, including without limitation: (i) the fullest extent permitted by DGCL as of the date of this Agreement and (ii) the fullest extent authorized or permitted by any amendments to or replacements of the DGCL adopted after the date of this Agreement that increase the extent to which a corporation may indemnify its officers and directors.</w:t>
      </w:r>
    </w:p>
    <w:p>
      <w:pPr>
        <w:spacing w:after="0" w:line="83" w:lineRule="exact"/>
        <w:rPr>
          <w:rFonts w:ascii="Arial" w:cs="Arial" w:eastAsia="Arial" w:hAnsi="Arial"/>
          <w:sz w:val="18"/>
          <w:szCs w:val="18"/>
          <w:b w:val="1"/>
          <w:bCs w:val="1"/>
          <w:color w:val="auto"/>
        </w:rPr>
      </w:pPr>
    </w:p>
    <w:p>
      <w:pPr>
        <w:ind w:left="-40" w:firstLine="990"/>
        <w:spacing w:after="0" w:line="270" w:lineRule="auto"/>
        <w:tabs>
          <w:tab w:leader="none" w:pos="1155"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In connection with any Proceeding relating to an employee benefit plan: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any employee benefit plan; references to “</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 the best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interests of the Company</w:t>
      </w:r>
      <w:r>
        <w:rPr>
          <w:rFonts w:ascii="Arial" w:cs="Arial" w:eastAsia="Arial" w:hAnsi="Arial"/>
          <w:sz w:val="17"/>
          <w:szCs w:val="17"/>
          <w:color w:val="auto"/>
        </w:rPr>
        <w:t>” as referred to in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520" w:top="272" w:right="519" w:bottom="1440" w:gutter="0" w:footer="0" w:header="0"/>
        </w:sectPr>
      </w:pPr>
    </w:p>
    <w:bookmarkStart w:id="304" w:name="page305"/>
    <w:bookmarkEnd w:id="304"/>
    <w:p>
      <w:pPr>
        <w:ind w:left="-20" w:right="40" w:firstLine="444"/>
        <w:spacing w:after="0" w:line="269" w:lineRule="auto"/>
        <w:tabs>
          <w:tab w:leader="none" w:pos="595"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Indemnity in Third-Party Proceedings</w:t>
      </w:r>
      <w:r>
        <w:rPr>
          <w:rFonts w:ascii="Arial" w:cs="Arial" w:eastAsia="Arial" w:hAnsi="Arial"/>
          <w:sz w:val="17"/>
          <w:szCs w:val="17"/>
          <w:color w:val="auto"/>
        </w:rPr>
        <w:t>. The Company shall indemnify Indemnitee in accordance with the provisions of this Section 2 if</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is, or is threatened to be made, a party to or witness or other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71" w:lineRule="exact"/>
        <w:rPr>
          <w:rFonts w:ascii="Arial" w:cs="Arial" w:eastAsia="Arial" w:hAnsi="Arial"/>
          <w:sz w:val="17"/>
          <w:szCs w:val="17"/>
          <w:b w:val="1"/>
          <w:bCs w:val="1"/>
          <w:color w:val="auto"/>
        </w:rPr>
      </w:pPr>
    </w:p>
    <w:p>
      <w:pPr>
        <w:ind w:left="-20" w:firstLine="444"/>
        <w:spacing w:after="0" w:line="267" w:lineRule="auto"/>
        <w:tabs>
          <w:tab w:leader="none" w:pos="595"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Proceedings by or in the Right of the Company</w:t>
      </w:r>
      <w:r>
        <w:rPr>
          <w:rFonts w:ascii="Arial" w:cs="Arial" w:eastAsia="Arial" w:hAnsi="Arial"/>
          <w:sz w:val="17"/>
          <w:szCs w:val="17"/>
          <w:color w:val="auto"/>
        </w:rPr>
        <w:t>. The Company shall indemnify Indemnitee in accordance with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Section 3 if Indemnitee is, or is threatened to be made, a party to or a witness or other participant in any Proceeding by or in the right of the Company to procure a judgment in its favor. Pursuant to this Section 3, Indemnitee shall be indemnified to the fullest extent permitted by applicable law against all Expenses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72" w:lineRule="exact"/>
        <w:rPr>
          <w:rFonts w:ascii="Arial" w:cs="Arial" w:eastAsia="Arial" w:hAnsi="Arial"/>
          <w:sz w:val="17"/>
          <w:szCs w:val="17"/>
          <w:b w:val="1"/>
          <w:bCs w:val="1"/>
          <w:color w:val="auto"/>
        </w:rPr>
      </w:pPr>
    </w:p>
    <w:p>
      <w:pPr>
        <w:ind w:left="-20" w:right="200" w:firstLine="444"/>
        <w:spacing w:after="0" w:line="271" w:lineRule="auto"/>
        <w:tabs>
          <w:tab w:leader="none" w:pos="595"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 of this Agreement,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where indemnification is not available under Section 2 or 3, as the case may be, to the fullest extent permitted by law and to the extent that Indemnitee is a party to, and is successful (on the merits or otherwise) in defense of, any Proceeding or any claim, issue or matter therein, the Company shall indemnify Indemnitee against all Expenses incurred by Indemnitee or on Indemnitee’s behalf in connection therewith. For purposes of this Section 4, the termination of any claim, issue or matter in such a Proceeding by dismissal, with or without prejudice, shall be deemed to be a successful result as to such claim, issue or matter.</w:t>
      </w:r>
    </w:p>
    <w:p>
      <w:pPr>
        <w:spacing w:after="0" w:line="66" w:lineRule="exact"/>
        <w:rPr>
          <w:rFonts w:ascii="Arial" w:cs="Arial" w:eastAsia="Arial" w:hAnsi="Arial"/>
          <w:sz w:val="17"/>
          <w:szCs w:val="17"/>
          <w:b w:val="1"/>
          <w:bCs w:val="1"/>
          <w:color w:val="auto"/>
        </w:rPr>
      </w:pPr>
    </w:p>
    <w:p>
      <w:pPr>
        <w:ind w:left="-20" w:right="720" w:firstLine="444"/>
        <w:spacing w:after="0" w:line="275" w:lineRule="auto"/>
        <w:tabs>
          <w:tab w:leader="none" w:pos="59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indemnity in connection with any Proceeding (or any part of any Proceeding):</w:t>
      </w:r>
    </w:p>
    <w:p>
      <w:pPr>
        <w:spacing w:after="0" w:line="64" w:lineRule="exact"/>
        <w:rPr>
          <w:rFonts w:ascii="Arial" w:cs="Arial" w:eastAsia="Arial" w:hAnsi="Arial"/>
          <w:sz w:val="18"/>
          <w:szCs w:val="18"/>
          <w:b w:val="1"/>
          <w:bCs w:val="1"/>
          <w:color w:val="auto"/>
        </w:rPr>
      </w:pPr>
    </w:p>
    <w:p>
      <w:pPr>
        <w:ind w:left="-20" w:right="40" w:firstLine="990"/>
        <w:spacing w:after="0" w:line="271" w:lineRule="auto"/>
        <w:tabs>
          <w:tab w:leader="none" w:pos="1214"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for which payment has actually been made to or on behalf of Indemnitee under any statute, insurance policy, indemnity provision, vote or otherwise, except with respect to any excess beyond the amount paid;</w:t>
      </w:r>
    </w:p>
    <w:p>
      <w:pPr>
        <w:spacing w:after="0" w:line="67" w:lineRule="exact"/>
        <w:rPr>
          <w:rFonts w:ascii="Arial" w:cs="Arial" w:eastAsia="Arial" w:hAnsi="Arial"/>
          <w:sz w:val="18"/>
          <w:szCs w:val="18"/>
          <w:b w:val="1"/>
          <w:bCs w:val="1"/>
          <w:color w:val="auto"/>
        </w:rPr>
      </w:pPr>
    </w:p>
    <w:p>
      <w:pPr>
        <w:ind w:left="-20" w:right="240" w:firstLine="990"/>
        <w:spacing w:after="0" w:line="301" w:lineRule="auto"/>
        <w:tabs>
          <w:tab w:leader="none" w:pos="1224" w:val="left"/>
        </w:tabs>
        <w:numPr>
          <w:ilvl w:val="1"/>
          <w:numId w:val="266"/>
        </w:numPr>
        <w:rPr>
          <w:rFonts w:ascii="Arial" w:cs="Arial" w:eastAsia="Arial" w:hAnsi="Arial"/>
          <w:sz w:val="17"/>
          <w:szCs w:val="17"/>
          <w:b w:val="1"/>
          <w:bCs w:val="1"/>
          <w:color w:val="auto"/>
        </w:rPr>
      </w:pPr>
      <w:r>
        <w:rPr>
          <w:rFonts w:ascii="Arial" w:cs="Arial" w:eastAsia="Arial" w:hAnsi="Arial"/>
          <w:sz w:val="17"/>
          <w:szCs w:val="17"/>
          <w:color w:val="auto"/>
        </w:rPr>
        <w:t>for an accounting or disgorgement of profits pursuant to Section 16(b) of the Exchange Act, or similar provisions of federal, state or local statutory law or common law, if Indemnitee is held liable therefor (including pursuant to any settlement arrangements);</w:t>
      </w:r>
    </w:p>
    <w:p>
      <w:pPr>
        <w:spacing w:after="0" w:line="44" w:lineRule="exact"/>
        <w:rPr>
          <w:rFonts w:ascii="Arial" w:cs="Arial" w:eastAsia="Arial" w:hAnsi="Arial"/>
          <w:sz w:val="17"/>
          <w:szCs w:val="17"/>
          <w:b w:val="1"/>
          <w:bCs w:val="1"/>
          <w:color w:val="auto"/>
        </w:rPr>
      </w:pPr>
    </w:p>
    <w:p>
      <w:pPr>
        <w:ind w:left="-20" w:right="120" w:firstLine="990"/>
        <w:spacing w:after="0" w:line="272" w:lineRule="auto"/>
        <w:tabs>
          <w:tab w:leader="none" w:pos="1204" w:val="left"/>
        </w:tabs>
        <w:numPr>
          <w:ilvl w:val="1"/>
          <w:numId w:val="266"/>
        </w:numPr>
        <w:rPr>
          <w:rFonts w:ascii="Arial" w:cs="Arial" w:eastAsia="Arial" w:hAnsi="Arial"/>
          <w:sz w:val="17"/>
          <w:szCs w:val="17"/>
          <w:b w:val="1"/>
          <w:bCs w:val="1"/>
          <w:color w:val="auto"/>
        </w:rPr>
      </w:pPr>
      <w:r>
        <w:rPr>
          <w:rFonts w:ascii="Arial" w:cs="Arial" w:eastAsia="Arial" w:hAnsi="Arial"/>
          <w:sz w:val="17"/>
          <w:szCs w:val="17"/>
          <w:color w:val="auto"/>
        </w:rPr>
        <w:t>for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7"/>
          <w:szCs w:val="17"/>
          <w:b w:val="1"/>
          <w:bCs w:val="1"/>
          <w:i w:val="1"/>
          <w:iCs w:val="1"/>
          <w:color w:val="auto"/>
        </w:rPr>
        <w:t>Sarbanes-Oxley Act</w:t>
      </w:r>
      <w:r>
        <w:rPr>
          <w:rFonts w:ascii="Arial" w:cs="Arial" w:eastAsia="Arial" w:hAnsi="Arial"/>
          <w:sz w:val="17"/>
          <w:szCs w:val="17"/>
          <w:color w:val="auto"/>
        </w:rPr>
        <w:t>”), or the payment to the Company of profits arising from the purchase and sale by Indemnitee of securities in violation of Section 306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Sarbanes-Oxley Act), if Indemnitee is held liable therefor (including pursuant to any settlement arrangements);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68" w:right="519" w:bottom="1440" w:gutter="0" w:footer="0" w:header="0"/>
        </w:sectPr>
      </w:pPr>
    </w:p>
    <w:bookmarkStart w:id="305" w:name="page306"/>
    <w:bookmarkEnd w:id="305"/>
    <w:p>
      <w:pPr>
        <w:ind w:firstLine="990"/>
        <w:spacing w:after="0" w:line="269" w:lineRule="auto"/>
        <w:tabs>
          <w:tab w:leader="none" w:pos="1244" w:val="left"/>
        </w:tabs>
        <w:numPr>
          <w:ilvl w:val="1"/>
          <w:numId w:val="26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10(d) or (iv) otherwise required by applicable law; provided, for the avoidance of doubt, Indemnitee shall not be deemed for purposes of this paragraph, to have initiated any Proceeding (or any part of a Proceeding) by reason of (i) having asserted any affirmative defenses in connection with a claim not initiated by Indemnitee or (ii) having made any counterclaim (whether permissive or mandatory) in connection with any claim not initiated by Indemnitee; or</w:t>
      </w:r>
    </w:p>
    <w:p>
      <w:pPr>
        <w:spacing w:after="0" w:line="71" w:lineRule="exact"/>
        <w:rPr>
          <w:rFonts w:ascii="Arial" w:cs="Arial" w:eastAsia="Arial" w:hAnsi="Arial"/>
          <w:sz w:val="17"/>
          <w:szCs w:val="17"/>
          <w:b w:val="1"/>
          <w:bCs w:val="1"/>
          <w:color w:val="auto"/>
        </w:rPr>
      </w:pPr>
    </w:p>
    <w:p>
      <w:pPr>
        <w:ind w:left="1240" w:hanging="250"/>
        <w:spacing w:after="0"/>
        <w:tabs>
          <w:tab w:leader="none" w:pos="1240"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if prohibited by the DGCL or other applicable law.</w:t>
      </w:r>
    </w:p>
    <w:p>
      <w:pPr>
        <w:spacing w:after="0" w:line="109" w:lineRule="exact"/>
        <w:rPr>
          <w:rFonts w:ascii="Arial" w:cs="Arial" w:eastAsia="Arial" w:hAnsi="Arial"/>
          <w:sz w:val="18"/>
          <w:szCs w:val="18"/>
          <w:b w:val="1"/>
          <w:bCs w:val="1"/>
          <w:color w:val="auto"/>
        </w:rPr>
      </w:pPr>
    </w:p>
    <w:p>
      <w:pPr>
        <w:ind w:right="40" w:firstLine="444"/>
        <w:spacing w:after="0" w:line="267" w:lineRule="auto"/>
        <w:tabs>
          <w:tab w:leader="none" w:pos="615"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Advances of Expenses</w:t>
      </w:r>
      <w:r>
        <w:rPr>
          <w:rFonts w:ascii="Arial" w:cs="Arial" w:eastAsia="Arial" w:hAnsi="Arial"/>
          <w:sz w:val="17"/>
          <w:szCs w:val="17"/>
          <w:color w:val="auto"/>
        </w:rPr>
        <w:t>. The Company shall advance the Expenses incurred by Indemnitee in connection with any Proceeding prior to its final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disposition, and such 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w:t>
      </w:r>
      <w:r>
        <w:rPr>
          <w:rFonts w:ascii="Arial" w:cs="Arial" w:eastAsia="Arial" w:hAnsi="Arial"/>
          <w:sz w:val="17"/>
          <w:szCs w:val="17"/>
          <w:i w:val="1"/>
          <w:iCs w:val="1"/>
          <w:color w:val="auto"/>
        </w:rPr>
        <w:t>except</w:t>
      </w:r>
      <w:r>
        <w:rPr>
          <w:rFonts w:ascii="Arial" w:cs="Arial" w:eastAsia="Arial" w:hAnsi="Arial"/>
          <w:sz w:val="17"/>
          <w:szCs w:val="17"/>
          <w:color w:val="auto"/>
        </w:rPr>
        <w:t>, with respect to advances of expenses made pursuant to Section 10(c), in which case Indemnitee makes the undertaking provided in Section 10(c). This Section 6 shall not apply to the extent advancement is prohibited by law and shall not apply to any Proceeding (or any part of any Proceeding) for which indemnity is not permitted under this Agreement, but shall apply to any Proceeding (or any part of any Proceeding) referenced in Section 5(b) or 5(c) prior to a determination that Indemnitee is not entitled to be indemnified by the Company.</w:t>
      </w:r>
    </w:p>
    <w:p>
      <w:pPr>
        <w:spacing w:after="0" w:line="68" w:lineRule="exact"/>
        <w:rPr>
          <w:rFonts w:ascii="Arial" w:cs="Arial" w:eastAsia="Arial" w:hAnsi="Arial"/>
          <w:sz w:val="17"/>
          <w:szCs w:val="17"/>
          <w:b w:val="1"/>
          <w:bCs w:val="1"/>
          <w:color w:val="auto"/>
        </w:rPr>
      </w:pPr>
    </w:p>
    <w:p>
      <w:pPr>
        <w:ind w:left="620" w:hanging="176"/>
        <w:spacing w:after="0"/>
        <w:tabs>
          <w:tab w:leader="none" w:pos="62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Notification and Defense of Claim</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990"/>
        <w:spacing w:after="0" w:line="252" w:lineRule="auto"/>
        <w:tabs>
          <w:tab w:leader="none" w:pos="1234" w:val="left"/>
        </w:tabs>
        <w:numPr>
          <w:ilvl w:val="1"/>
          <w:numId w:val="268"/>
        </w:numPr>
        <w:rPr>
          <w:rFonts w:ascii="Arial" w:cs="Arial" w:eastAsia="Arial" w:hAnsi="Arial"/>
          <w:sz w:val="18"/>
          <w:szCs w:val="18"/>
          <w:b w:val="1"/>
          <w:bCs w:val="1"/>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that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86" w:lineRule="exact"/>
        <w:rPr>
          <w:rFonts w:ascii="Arial" w:cs="Arial" w:eastAsia="Arial" w:hAnsi="Arial"/>
          <w:sz w:val="18"/>
          <w:szCs w:val="18"/>
          <w:b w:val="1"/>
          <w:bCs w:val="1"/>
          <w:color w:val="auto"/>
        </w:rPr>
      </w:pPr>
    </w:p>
    <w:p>
      <w:pPr>
        <w:ind w:right="120" w:firstLine="990"/>
        <w:spacing w:after="0" w:line="297" w:lineRule="auto"/>
        <w:tabs>
          <w:tab w:leader="none" w:pos="1244" w:val="left"/>
        </w:tabs>
        <w:numPr>
          <w:ilvl w:val="1"/>
          <w:numId w:val="268"/>
        </w:numPr>
        <w:rPr>
          <w:rFonts w:ascii="Arial" w:cs="Arial" w:eastAsia="Arial" w:hAnsi="Arial"/>
          <w:sz w:val="16"/>
          <w:szCs w:val="16"/>
          <w:b w:val="1"/>
          <w:bCs w:val="1"/>
          <w:color w:val="auto"/>
        </w:rPr>
      </w:pPr>
      <w:r>
        <w:rPr>
          <w:rFonts w:ascii="Arial" w:cs="Arial" w:eastAsia="Arial" w:hAnsi="Arial"/>
          <w:sz w:val="16"/>
          <w:szCs w:val="16"/>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w:t>
      </w:r>
    </w:p>
    <w:p>
      <w:pPr>
        <w:spacing w:after="0" w:line="52" w:lineRule="exact"/>
        <w:rPr>
          <w:rFonts w:ascii="Arial" w:cs="Arial" w:eastAsia="Arial" w:hAnsi="Arial"/>
          <w:sz w:val="16"/>
          <w:szCs w:val="16"/>
          <w:b w:val="1"/>
          <w:bCs w:val="1"/>
          <w:color w:val="auto"/>
        </w:rPr>
      </w:pPr>
    </w:p>
    <w:p>
      <w:pPr>
        <w:ind w:right="140" w:firstLine="990"/>
        <w:spacing w:after="0" w:line="281" w:lineRule="auto"/>
        <w:tabs>
          <w:tab w:leader="none" w:pos="1224" w:val="left"/>
        </w:tabs>
        <w:numPr>
          <w:ilvl w:val="1"/>
          <w:numId w:val="268"/>
        </w:numPr>
        <w:rPr>
          <w:rFonts w:ascii="Arial" w:cs="Arial" w:eastAsia="Arial" w:hAnsi="Arial"/>
          <w:sz w:val="17"/>
          <w:szCs w:val="17"/>
          <w:b w:val="1"/>
          <w:bCs w:val="1"/>
          <w:color w:val="auto"/>
        </w:rPr>
      </w:pPr>
      <w:r>
        <w:rPr>
          <w:rFonts w:ascii="Arial" w:cs="Arial" w:eastAsia="Arial" w:hAnsi="Arial"/>
          <w:sz w:val="17"/>
          <w:szCs w:val="17"/>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306" w:name="page307"/>
    <w:bookmarkEnd w:id="306"/>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76" w:lineRule="exact"/>
        <w:rPr>
          <w:sz w:val="20"/>
          <w:szCs w:val="20"/>
          <w:color w:val="auto"/>
        </w:rPr>
      </w:pPr>
    </w:p>
    <w:p>
      <w:pPr>
        <w:ind w:left="1260" w:hanging="270"/>
        <w:spacing w:after="0"/>
        <w:tabs>
          <w:tab w:leader="none" w:pos="1260" w:val="left"/>
        </w:tabs>
        <w:numPr>
          <w:ilvl w:val="0"/>
          <w:numId w:val="269"/>
        </w:numPr>
        <w:rPr>
          <w:rFonts w:ascii="Arial" w:cs="Arial" w:eastAsia="Arial" w:hAnsi="Arial"/>
          <w:sz w:val="17"/>
          <w:szCs w:val="17"/>
          <w:b w:val="1"/>
          <w:bCs w:val="1"/>
          <w:color w:val="auto"/>
        </w:rPr>
      </w:pPr>
      <w:r>
        <w:rPr>
          <w:rFonts w:ascii="Arial" w:cs="Arial" w:eastAsia="Arial" w:hAnsi="Arial"/>
          <w:sz w:val="17"/>
          <w:szCs w:val="17"/>
          <w:color w:val="auto"/>
        </w:rPr>
        <w:t>Indemnitee shall give the Company such information and cooperation in connection with the Proceeding as may be reasonably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appropriate.</w:t>
      </w:r>
    </w:p>
    <w:p>
      <w:pPr>
        <w:spacing w:after="0" w:line="101" w:lineRule="exact"/>
        <w:rPr>
          <w:sz w:val="20"/>
          <w:szCs w:val="20"/>
          <w:color w:val="auto"/>
        </w:rPr>
      </w:pPr>
    </w:p>
    <w:p>
      <w:pPr>
        <w:ind w:right="80" w:firstLine="990"/>
        <w:spacing w:after="0" w:line="293" w:lineRule="auto"/>
        <w:tabs>
          <w:tab w:leader="none" w:pos="1224"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The Company shall not be liable to indemnify Indemnitee for any settlement of any Proceeding (or any part thereof) effected without the Company’s prior written consent, which shall not be unreasonably withheld, conditioned or delayed.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 settlement to which the Company has given its prior written consent, such settlement shall be treated as a success on the merits in the settled action, suit or proceeding.</w:t>
      </w:r>
    </w:p>
    <w:p>
      <w:pPr>
        <w:spacing w:after="0" w:line="53" w:lineRule="exact"/>
        <w:rPr>
          <w:rFonts w:ascii="Arial" w:cs="Arial" w:eastAsia="Arial" w:hAnsi="Arial"/>
          <w:sz w:val="16"/>
          <w:szCs w:val="16"/>
          <w:b w:val="1"/>
          <w:bCs w:val="1"/>
          <w:color w:val="auto"/>
        </w:rPr>
      </w:pPr>
    </w:p>
    <w:p>
      <w:pPr>
        <w:ind w:right="140" w:firstLine="990"/>
        <w:spacing w:after="0" w:line="335" w:lineRule="auto"/>
        <w:tabs>
          <w:tab w:leader="none" w:pos="1205"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The Company shall not settle any Proceeding (or any part thereof) in a manner that imposes any penalty or liability on Indemnitee not paid by the Company without Indemnitee’s prior written consent, which shall not be unreasonably withheld, conditioned or delayed.</w:t>
      </w:r>
    </w:p>
    <w:p>
      <w:pPr>
        <w:spacing w:after="0" w:line="17" w:lineRule="exact"/>
        <w:rPr>
          <w:rFonts w:ascii="Arial" w:cs="Arial" w:eastAsia="Arial" w:hAnsi="Arial"/>
          <w:sz w:val="16"/>
          <w:szCs w:val="16"/>
          <w:b w:val="1"/>
          <w:bCs w:val="1"/>
          <w:color w:val="auto"/>
        </w:rPr>
      </w:pPr>
    </w:p>
    <w:p>
      <w:pPr>
        <w:ind w:left="620" w:hanging="176"/>
        <w:spacing w:after="0"/>
        <w:tabs>
          <w:tab w:leader="none" w:pos="62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upon Application for Indemnification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540" w:firstLine="990"/>
        <w:spacing w:after="0" w:line="275" w:lineRule="auto"/>
        <w:tabs>
          <w:tab w:leader="none" w:pos="1234" w:val="left"/>
        </w:tabs>
        <w:numPr>
          <w:ilvl w:val="1"/>
          <w:numId w:val="271"/>
        </w:numPr>
        <w:rPr>
          <w:rFonts w:ascii="Arial" w:cs="Arial" w:eastAsia="Arial" w:hAnsi="Arial"/>
          <w:sz w:val="17"/>
          <w:szCs w:val="17"/>
          <w:b w:val="1"/>
          <w:bCs w:val="1"/>
          <w:color w:val="auto"/>
        </w:rPr>
      </w:pPr>
      <w:r>
        <w:rPr>
          <w:rFonts w:ascii="Arial" w:cs="Arial" w:eastAsia="Arial" w:hAnsi="Arial"/>
          <w:sz w:val="17"/>
          <w:szCs w:val="17"/>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66" w:lineRule="exact"/>
        <w:rPr>
          <w:rFonts w:ascii="Arial" w:cs="Arial" w:eastAsia="Arial" w:hAnsi="Arial"/>
          <w:sz w:val="17"/>
          <w:szCs w:val="17"/>
          <w:b w:val="1"/>
          <w:bCs w:val="1"/>
          <w:color w:val="auto"/>
        </w:rPr>
      </w:pPr>
    </w:p>
    <w:p>
      <w:pPr>
        <w:ind w:firstLine="990"/>
        <w:spacing w:after="0" w:line="285" w:lineRule="auto"/>
        <w:tabs>
          <w:tab w:leader="none" w:pos="1244" w:val="left"/>
        </w:tabs>
        <w:numPr>
          <w:ilvl w:val="1"/>
          <w:numId w:val="271"/>
        </w:numPr>
        <w:rPr>
          <w:rFonts w:ascii="Arial" w:cs="Arial" w:eastAsia="Arial" w:hAnsi="Arial"/>
          <w:sz w:val="16"/>
          <w:szCs w:val="16"/>
          <w:b w:val="1"/>
          <w:bCs w:val="1"/>
          <w:color w:val="auto"/>
        </w:rPr>
      </w:pPr>
      <w:r>
        <w:rPr>
          <w:rFonts w:ascii="Arial" w:cs="Arial" w:eastAsia="Arial" w:hAnsi="Arial"/>
          <w:sz w:val="16"/>
          <w:szCs w:val="16"/>
          <w:color w:val="auto"/>
        </w:rPr>
        <w:t>Upon written request by Indemnitee for indemnification pursuant to Section 8(a), a determination with respect to Indemnitee’s entitlement thereto shall be made as follows, provided that a Change in Control shall not have occurred: (i) by a majority vote of the Disinterested Directors, even though less than a quorum of the Company’s board of directors; (ii) by a committee of Disinterested Directors designated by a majority vote of the Disinterested Directors, even though less than a quorum of the Company’s board of directors; (iii) if there are no such Disinterested Directors or, if a majority of Disinterested Directors so direct, by Independent Counsel in a written opinion to the Company’s board of directors, a copy of which shall be delivered to Indemnitee; or (iv) if so directed by the Company’s board of directors, by the stockholders of the Company. If a Change in Control shall have occurred, a determination with respect to Indemnitee’s entitlement to indemnification shall be made by Independent Counsel in a written opinion to the Company’s board of directors, a copy of which shall be delivered to Indemnitee.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307" w:name="page308"/>
    <w:bookmarkEnd w:id="307"/>
    <w:p>
      <w:pPr>
        <w:ind w:right="5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67" w:lineRule="exact"/>
        <w:rPr>
          <w:sz w:val="20"/>
          <w:szCs w:val="20"/>
          <w:color w:val="auto"/>
        </w:rPr>
      </w:pPr>
    </w:p>
    <w:p>
      <w:pPr>
        <w:ind w:firstLine="990"/>
        <w:spacing w:after="0" w:line="282" w:lineRule="auto"/>
        <w:tabs>
          <w:tab w:leader="none" w:pos="1224" w:val="left"/>
        </w:tabs>
        <w:numPr>
          <w:ilvl w:val="1"/>
          <w:numId w:val="272"/>
        </w:numPr>
        <w:rPr>
          <w:rFonts w:ascii="Arial" w:cs="Arial" w:eastAsia="Arial" w:hAnsi="Arial"/>
          <w:sz w:val="16"/>
          <w:szCs w:val="16"/>
          <w:b w:val="1"/>
          <w:bCs w:val="1"/>
          <w:color w:val="auto"/>
        </w:rPr>
      </w:pPr>
      <w:r>
        <w:rPr>
          <w:rFonts w:ascii="Arial" w:cs="Arial" w:eastAsia="Arial" w:hAnsi="Arial"/>
          <w:sz w:val="16"/>
          <w:szCs w:val="16"/>
          <w:color w:val="auto"/>
        </w:rPr>
        <w:t>In the event the determination of entitlement to indemnification is to be made by Independent Counsel pursuant to Section 8(b), the Independent Counsel shall be selected as provided in this Section 8(c).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1,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8(a) and (ii) the final disposition of the Proceeding, the parties have not agreed upon an Independent Counsel, either the Company or Indemnitee may petition a court of competent jurisdiction for resolution of any objection that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8(b). Upon the due commencement of any judicial proceeding or arbitration pursuant to Section 10(a), the Independent Counsel shall be discharged and relieved of any further responsibility in such capacity (subject to the applicable standards of professional conduct then prevailing).</w:t>
      </w:r>
    </w:p>
    <w:p>
      <w:pPr>
        <w:spacing w:after="0" w:line="65" w:lineRule="exact"/>
        <w:rPr>
          <w:rFonts w:ascii="Arial" w:cs="Arial" w:eastAsia="Arial" w:hAnsi="Arial"/>
          <w:sz w:val="16"/>
          <w:szCs w:val="16"/>
          <w:b w:val="1"/>
          <w:bCs w:val="1"/>
          <w:color w:val="auto"/>
        </w:rPr>
      </w:pPr>
    </w:p>
    <w:p>
      <w:pPr>
        <w:ind w:right="80" w:firstLine="990"/>
        <w:spacing w:after="0" w:line="301" w:lineRule="auto"/>
        <w:tabs>
          <w:tab w:leader="none" w:pos="1244" w:val="left"/>
        </w:tabs>
        <w:numPr>
          <w:ilvl w:val="1"/>
          <w:numId w:val="272"/>
        </w:numPr>
        <w:rPr>
          <w:rFonts w:ascii="Arial" w:cs="Arial" w:eastAsia="Arial" w:hAnsi="Arial"/>
          <w:sz w:val="17"/>
          <w:szCs w:val="17"/>
          <w:b w:val="1"/>
          <w:bCs w:val="1"/>
          <w:color w:val="auto"/>
        </w:rPr>
      </w:pPr>
      <w:r>
        <w:rPr>
          <w:rFonts w:ascii="Arial" w:cs="Arial" w:eastAsia="Arial" w:hAnsi="Arial"/>
          <w:sz w:val="17"/>
          <w:szCs w:val="17"/>
          <w:color w:val="auto"/>
        </w:rPr>
        <w:t>The Company shall pay the reasonable fees and expenses of any Independent Counsel and to fully indemnify such counsel against any and all Expenses, claims, liabilities and damages arising out of or relating to this Agreement or its engagement pursuant hereto.</w:t>
      </w:r>
    </w:p>
    <w:p>
      <w:pPr>
        <w:spacing w:after="0" w:line="40" w:lineRule="exact"/>
        <w:rPr>
          <w:rFonts w:ascii="Arial" w:cs="Arial" w:eastAsia="Arial" w:hAnsi="Arial"/>
          <w:sz w:val="17"/>
          <w:szCs w:val="17"/>
          <w:b w:val="1"/>
          <w:bCs w:val="1"/>
          <w:color w:val="auto"/>
        </w:rPr>
      </w:pPr>
    </w:p>
    <w:p>
      <w:pPr>
        <w:ind w:left="620" w:hanging="176"/>
        <w:spacing w:after="0"/>
        <w:tabs>
          <w:tab w:leader="none" w:pos="62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320" w:firstLine="990"/>
        <w:spacing w:after="0" w:line="307" w:lineRule="auto"/>
        <w:tabs>
          <w:tab w:leader="none" w:pos="1234" w:val="left"/>
        </w:tabs>
        <w:numPr>
          <w:ilvl w:val="1"/>
          <w:numId w:val="273"/>
        </w:numPr>
        <w:rPr>
          <w:rFonts w:ascii="Arial" w:cs="Arial" w:eastAsia="Arial" w:hAnsi="Arial"/>
          <w:sz w:val="16"/>
          <w:szCs w:val="16"/>
          <w:b w:val="1"/>
          <w:bCs w:val="1"/>
          <w:color w:val="auto"/>
        </w:rPr>
      </w:pPr>
      <w:r>
        <w:rPr>
          <w:rFonts w:ascii="Arial" w:cs="Arial" w:eastAsia="Arial" w:hAnsi="Arial"/>
          <w:sz w:val="16"/>
          <w:szCs w:val="16"/>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 by clear and convincing evidence.</w:t>
      </w:r>
    </w:p>
    <w:p>
      <w:pPr>
        <w:spacing w:after="0" w:line="42" w:lineRule="exact"/>
        <w:rPr>
          <w:rFonts w:ascii="Arial" w:cs="Arial" w:eastAsia="Arial" w:hAnsi="Arial"/>
          <w:sz w:val="16"/>
          <w:szCs w:val="16"/>
          <w:b w:val="1"/>
          <w:bCs w:val="1"/>
          <w:color w:val="auto"/>
        </w:rPr>
      </w:pPr>
    </w:p>
    <w:p>
      <w:pPr>
        <w:ind w:right="20" w:firstLine="990"/>
        <w:spacing w:after="0" w:line="253" w:lineRule="auto"/>
        <w:tabs>
          <w:tab w:leader="none" w:pos="1244" w:val="left"/>
        </w:tabs>
        <w:numPr>
          <w:ilvl w:val="1"/>
          <w:numId w:val="273"/>
        </w:numPr>
        <w:rPr>
          <w:rFonts w:ascii="Arial" w:cs="Arial" w:eastAsia="Arial" w:hAnsi="Arial"/>
          <w:sz w:val="18"/>
          <w:szCs w:val="18"/>
          <w:b w:val="1"/>
          <w:bCs w:val="1"/>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that he or she reasonably believed to be in or not opposed to the best interests of the Company or, with respect to any criminal Proceeding, that Indemnitee had reasonable cause to believe that his or her conduct was unlawful.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308" w:name="page309"/>
    <w:bookmarkEnd w:id="308"/>
    <w:p>
      <w:pPr>
        <w:ind w:right="20" w:firstLine="990"/>
        <w:spacing w:after="0" w:line="288" w:lineRule="auto"/>
        <w:tabs>
          <w:tab w:leader="none" w:pos="1224"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9(c) shall not be deemed to be exclusive or to limit in any way the other circumstances in which Indemnitee may be deemed to have met the applicable standard of conduct set forth in this Agreement.</w:t>
      </w:r>
    </w:p>
    <w:p>
      <w:pPr>
        <w:spacing w:after="0" w:line="59" w:lineRule="exact"/>
        <w:rPr>
          <w:rFonts w:ascii="Arial" w:cs="Arial" w:eastAsia="Arial" w:hAnsi="Arial"/>
          <w:sz w:val="16"/>
          <w:szCs w:val="16"/>
          <w:b w:val="1"/>
          <w:bCs w:val="1"/>
          <w:color w:val="auto"/>
        </w:rPr>
      </w:pPr>
    </w:p>
    <w:p>
      <w:pPr>
        <w:ind w:right="120" w:firstLine="990"/>
        <w:spacing w:after="0" w:line="271" w:lineRule="auto"/>
        <w:tabs>
          <w:tab w:leader="none" w:pos="1244" w:val="left"/>
        </w:tabs>
        <w:numPr>
          <w:ilvl w:val="1"/>
          <w:numId w:val="274"/>
        </w:numPr>
        <w:rPr>
          <w:rFonts w:ascii="Arial" w:cs="Arial" w:eastAsia="Arial" w:hAnsi="Arial"/>
          <w:sz w:val="18"/>
          <w:szCs w:val="18"/>
          <w:b w:val="1"/>
          <w:bCs w:val="1"/>
          <w:color w:val="auto"/>
        </w:rPr>
      </w:pPr>
      <w:r>
        <w:rPr>
          <w:rFonts w:ascii="Arial" w:cs="Arial" w:eastAsia="Arial" w:hAnsi="Arial"/>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63" w:lineRule="exact"/>
        <w:rPr>
          <w:rFonts w:ascii="Arial" w:cs="Arial" w:eastAsia="Arial" w:hAnsi="Arial"/>
          <w:sz w:val="18"/>
          <w:szCs w:val="18"/>
          <w:b w:val="1"/>
          <w:bCs w:val="1"/>
          <w:color w:val="auto"/>
        </w:rPr>
      </w:pPr>
    </w:p>
    <w:p>
      <w:pPr>
        <w:ind w:left="720" w:hanging="276"/>
        <w:spacing w:after="0"/>
        <w:tabs>
          <w:tab w:leader="none" w:pos="72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990"/>
        <w:spacing w:after="0" w:line="265" w:lineRule="auto"/>
        <w:tabs>
          <w:tab w:leader="none" w:pos="1234"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 xml:space="preserve">Subject to Section 10(e), in the event that (i) a determination is made pursuant to Section 9 that Indemnitee is not entitled to indemnification under this Agreement, (ii) advancement of Expenses is not timely made pursuant to Section 6 or 10(d), (iii) no determination of entitlement to indemnification shall have been made pursuant to Section 8 within 30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10(d),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12 months following the date on which Indemnitee first has the right to commence such proceeding pursuant to this Section 10(a);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clause shall not apply in respect of a proceeding brought by Indemnitee to enforce his or her rights under Section 4. The Company shall not oppose Indemnitee’s right to seek any such adjudication or award in arbitration in accordance with this Agreement.</w:t>
      </w:r>
    </w:p>
    <w:p>
      <w:pPr>
        <w:spacing w:after="0" w:line="79" w:lineRule="exact"/>
        <w:rPr>
          <w:rFonts w:ascii="Arial" w:cs="Arial" w:eastAsia="Arial" w:hAnsi="Arial"/>
          <w:sz w:val="17"/>
          <w:szCs w:val="17"/>
          <w:b w:val="1"/>
          <w:bCs w:val="1"/>
          <w:color w:val="auto"/>
        </w:rPr>
      </w:pPr>
    </w:p>
    <w:p>
      <w:pPr>
        <w:ind w:right="20" w:firstLine="990"/>
        <w:spacing w:after="0" w:line="251" w:lineRule="auto"/>
        <w:tabs>
          <w:tab w:leader="none" w:pos="1244"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8 that Indemnitee is not entitled to indemnification, any judicial proceeding or arbitration commenced pursuant to this Section 10 shall be conducted in all respects as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trial, or arbitration, on the merits,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309" w:name="page310"/>
    <w:bookmarkEnd w:id="309"/>
    <w:p>
      <w:pPr>
        <w:ind w:right="26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Indemnitee shall not be prejudiced by reason of that adverse determination. In any judicial proceeding or arbitration commenced pursuant to this Section 10, the Company shall, to the fullest extent not prohibited by law, have the burden of proving Indemnitee is not entitled to indemnification or advancement of Expenses, as the case may be, and the burden of proof shall be by clear and convincing evidence.</w:t>
      </w:r>
    </w:p>
    <w:p>
      <w:pPr>
        <w:spacing w:after="0" w:line="62" w:lineRule="exact"/>
        <w:rPr>
          <w:sz w:val="20"/>
          <w:szCs w:val="20"/>
          <w:color w:val="auto"/>
        </w:rPr>
      </w:pPr>
    </w:p>
    <w:p>
      <w:pPr>
        <w:ind w:firstLine="990"/>
        <w:spacing w:after="0" w:line="251" w:lineRule="auto"/>
        <w:tabs>
          <w:tab w:leader="none" w:pos="1224"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To the fullest extent not prohibited by law, 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that Indemnitee is entitled to indemnification, the Company shall be bound by such determination in any judicial proceeding or arbitration commenced pursuant to this Section 10,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89" w:lineRule="exact"/>
        <w:rPr>
          <w:rFonts w:ascii="Arial" w:cs="Arial" w:eastAsia="Arial" w:hAnsi="Arial"/>
          <w:sz w:val="18"/>
          <w:szCs w:val="18"/>
          <w:b w:val="1"/>
          <w:bCs w:val="1"/>
          <w:color w:val="auto"/>
        </w:rPr>
      </w:pPr>
    </w:p>
    <w:p>
      <w:pPr>
        <w:ind w:firstLine="990"/>
        <w:spacing w:after="0" w:line="290" w:lineRule="auto"/>
        <w:tabs>
          <w:tab w:leader="none" w:pos="1244" w:val="left"/>
        </w:tabs>
        <w:numPr>
          <w:ilvl w:val="1"/>
          <w:numId w:val="276"/>
        </w:numPr>
        <w:rPr>
          <w:rFonts w:ascii="Arial" w:cs="Arial" w:eastAsia="Arial" w:hAnsi="Arial"/>
          <w:sz w:val="16"/>
          <w:szCs w:val="16"/>
          <w:b w:val="1"/>
          <w:bCs w:val="1"/>
          <w:color w:val="auto"/>
        </w:rPr>
      </w:pPr>
      <w:r>
        <w:rPr>
          <w:rFonts w:ascii="Arial" w:cs="Arial" w:eastAsia="Arial" w:hAnsi="Arial"/>
          <w:sz w:val="16"/>
          <w:szCs w:val="16"/>
          <w:color w:val="auto"/>
        </w:rPr>
        <w:t>To the extent not prohibited by law, the Company shall indemnify Indemnitee against all Expenses incurred by Indemnitee in connection with any action for indemnification or advancement of Expenses from the Company under this Agreement, any other agreement, the Company’s certificate of incorporation or bylaws or under any directors’ and officers’ liability insurance policies maintained by the Company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6. Indemnitee hereby undertakes to repay such advances to the extent the Indemnitee is ultimately unsuccessful in such action or arbitration.</w:t>
      </w:r>
    </w:p>
    <w:p>
      <w:pPr>
        <w:spacing w:after="0" w:line="56" w:lineRule="exact"/>
        <w:rPr>
          <w:rFonts w:ascii="Arial" w:cs="Arial" w:eastAsia="Arial" w:hAnsi="Arial"/>
          <w:sz w:val="16"/>
          <w:szCs w:val="16"/>
          <w:b w:val="1"/>
          <w:bCs w:val="1"/>
          <w:color w:val="auto"/>
        </w:rPr>
      </w:pPr>
    </w:p>
    <w:p>
      <w:pPr>
        <w:ind w:right="120" w:firstLine="990"/>
        <w:spacing w:after="0" w:line="271" w:lineRule="auto"/>
        <w:tabs>
          <w:tab w:leader="none" w:pos="1224"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Agreement to the contrary, no determination as to entitlement to indemnification shall be required to be made prior to the final disposition of the Proceeding.</w:t>
      </w:r>
    </w:p>
    <w:p>
      <w:pPr>
        <w:spacing w:after="0" w:line="63" w:lineRule="exact"/>
        <w:rPr>
          <w:rFonts w:ascii="Arial" w:cs="Arial" w:eastAsia="Arial" w:hAnsi="Arial"/>
          <w:sz w:val="18"/>
          <w:szCs w:val="18"/>
          <w:b w:val="1"/>
          <w:bCs w:val="1"/>
          <w:color w:val="auto"/>
        </w:rPr>
      </w:pPr>
    </w:p>
    <w:p>
      <w:pPr>
        <w:ind w:right="200" w:firstLine="444"/>
        <w:spacing w:after="0" w:line="291" w:lineRule="auto"/>
        <w:tabs>
          <w:tab w:leader="none" w:pos="694"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52" w:lineRule="exact"/>
        <w:rPr>
          <w:rFonts w:ascii="Arial" w:cs="Arial" w:eastAsia="Arial" w:hAnsi="Arial"/>
          <w:sz w:val="16"/>
          <w:szCs w:val="16"/>
          <w:b w:val="1"/>
          <w:bCs w:val="1"/>
          <w:color w:val="auto"/>
        </w:rPr>
      </w:pPr>
    </w:p>
    <w:p>
      <w:pPr>
        <w:ind w:right="80" w:firstLine="444"/>
        <w:spacing w:after="0" w:line="286" w:lineRule="auto"/>
        <w:tabs>
          <w:tab w:leader="none" w:pos="704"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Non-exclusivity</w:t>
      </w:r>
      <w:r>
        <w:rPr>
          <w:rFonts w:ascii="Arial" w:cs="Arial" w:eastAsia="Arial" w:hAnsi="Arial"/>
          <w:sz w:val="16"/>
          <w:szCs w:val="16"/>
          <w:color w:val="auto"/>
        </w:rPr>
        <w:t>. The rights of indemnification and to receive advancement of Expenses as provided by this Agreement shall not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310" w:name="page311"/>
    <w:bookmarkEnd w:id="310"/>
    <w:p>
      <w:pPr>
        <w:ind w:left="-20" w:firstLine="444"/>
        <w:spacing w:after="0" w:line="283" w:lineRule="auto"/>
        <w:tabs>
          <w:tab w:leader="none" w:pos="684" w:val="left"/>
        </w:tabs>
        <w:numPr>
          <w:ilvl w:val="0"/>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Primary Responsibility</w:t>
      </w:r>
      <w:r>
        <w:rPr>
          <w:rFonts w:ascii="Arial" w:cs="Arial" w:eastAsia="Arial" w:hAnsi="Arial"/>
          <w:sz w:val="16"/>
          <w:szCs w:val="16"/>
          <w:color w:val="auto"/>
        </w:rPr>
        <w:t>. The Company acknowledges that to the extent Indemnitee is serving as a director on the Company’s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at the request or direction of a private equity or venture capital fund or other entity and/or certain of its affiliates (collectively, the “</w:t>
      </w:r>
      <w:r>
        <w:rPr>
          <w:rFonts w:ascii="Arial" w:cs="Arial" w:eastAsia="Arial" w:hAnsi="Arial"/>
          <w:sz w:val="16"/>
          <w:szCs w:val="16"/>
          <w:b w:val="1"/>
          <w:bCs w:val="1"/>
          <w:i w:val="1"/>
          <w:iCs w:val="1"/>
          <w:color w:val="auto"/>
        </w:rPr>
        <w:t>Secondary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Indemnitors</w:t>
      </w:r>
      <w:r>
        <w:rPr>
          <w:rFonts w:ascii="Arial" w:cs="Arial" w:eastAsia="Arial" w:hAnsi="Arial"/>
          <w:sz w:val="16"/>
          <w:szCs w:val="16"/>
          <w:color w:val="auto"/>
        </w:rPr>
        <w:t>”), Indemnitee may have certain rights to indemnification and advancement of expenses provided by such Secondary Indemnitors.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13.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13.</w:t>
      </w:r>
    </w:p>
    <w:p>
      <w:pPr>
        <w:spacing w:after="0" w:line="65" w:lineRule="exact"/>
        <w:rPr>
          <w:rFonts w:ascii="Arial" w:cs="Arial" w:eastAsia="Arial" w:hAnsi="Arial"/>
          <w:sz w:val="16"/>
          <w:szCs w:val="16"/>
          <w:b w:val="1"/>
          <w:bCs w:val="1"/>
          <w:color w:val="auto"/>
        </w:rPr>
      </w:pPr>
    </w:p>
    <w:p>
      <w:pPr>
        <w:ind w:left="-20" w:right="80" w:firstLine="444"/>
        <w:spacing w:after="0" w:line="261" w:lineRule="auto"/>
        <w:tabs>
          <w:tab w:leader="none" w:pos="684"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No Duplication of Payments</w:t>
      </w:r>
      <w:r>
        <w:rPr>
          <w:rFonts w:ascii="Arial" w:cs="Arial" w:eastAsia="Arial" w:hAnsi="Arial"/>
          <w:sz w:val="18"/>
          <w:szCs w:val="18"/>
          <w:color w:val="auto"/>
        </w:rPr>
        <w:t>. Subject to Section 13, the Company shall not be liable under this Agreement to make any payment of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indemnifiable hereunder (or for which advancement is provided hereunder) if and to the extent that Indemnitee has otherwise actually received payment for such amounts under any insurance policy, contract, agreement or otherwise.</w:t>
      </w:r>
    </w:p>
    <w:p>
      <w:pPr>
        <w:spacing w:after="0" w:line="73" w:lineRule="exact"/>
        <w:rPr>
          <w:rFonts w:ascii="Arial" w:cs="Arial" w:eastAsia="Arial" w:hAnsi="Arial"/>
          <w:sz w:val="18"/>
          <w:szCs w:val="18"/>
          <w:b w:val="1"/>
          <w:bCs w:val="1"/>
          <w:color w:val="auto"/>
        </w:rPr>
      </w:pPr>
    </w:p>
    <w:p>
      <w:pPr>
        <w:ind w:left="-20" w:right="60" w:firstLine="444"/>
        <w:spacing w:after="0" w:line="309" w:lineRule="auto"/>
        <w:tabs>
          <w:tab w:leader="none" w:pos="684" w:val="left"/>
        </w:tabs>
        <w:numPr>
          <w:ilvl w:val="0"/>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To the extent that the Company maintains an insurance policy or policies providing liability insurance for directors, trustees,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38" w:lineRule="exact"/>
        <w:rPr>
          <w:rFonts w:ascii="Arial" w:cs="Arial" w:eastAsia="Arial" w:hAnsi="Arial"/>
          <w:sz w:val="16"/>
          <w:szCs w:val="16"/>
          <w:b w:val="1"/>
          <w:bCs w:val="1"/>
          <w:color w:val="auto"/>
        </w:rPr>
      </w:pPr>
    </w:p>
    <w:p>
      <w:pPr>
        <w:ind w:left="-20" w:right="20" w:firstLine="444"/>
        <w:spacing w:after="0" w:line="284" w:lineRule="auto"/>
        <w:tabs>
          <w:tab w:leader="none" w:pos="684" w:val="left"/>
        </w:tabs>
        <w:numPr>
          <w:ilvl w:val="0"/>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Subrogation</w:t>
      </w:r>
      <w:r>
        <w:rPr>
          <w:rFonts w:ascii="Arial" w:cs="Arial" w:eastAsia="Arial" w:hAnsi="Arial"/>
          <w:sz w:val="17"/>
          <w:szCs w:val="17"/>
          <w:color w:val="auto"/>
        </w:rPr>
        <w:t>. Subject to Section 13, in the event of any payment under this Agreement, the Company shall be subrogated to the extent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55" w:lineRule="exact"/>
        <w:rPr>
          <w:rFonts w:ascii="Arial" w:cs="Arial" w:eastAsia="Arial" w:hAnsi="Arial"/>
          <w:sz w:val="17"/>
          <w:szCs w:val="17"/>
          <w:b w:val="1"/>
          <w:bCs w:val="1"/>
          <w:color w:val="auto"/>
        </w:rPr>
      </w:pPr>
    </w:p>
    <w:p>
      <w:pPr>
        <w:ind w:left="-20" w:right="80" w:firstLine="444"/>
        <w:spacing w:after="0" w:line="287" w:lineRule="auto"/>
        <w:tabs>
          <w:tab w:leader="none" w:pos="684" w:val="left"/>
        </w:tabs>
        <w:numPr>
          <w:ilvl w:val="0"/>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t>Services to the Company</w:t>
      </w:r>
      <w:r>
        <w:rPr>
          <w:rFonts w:ascii="Arial" w:cs="Arial" w:eastAsia="Arial" w:hAnsi="Arial"/>
          <w:sz w:val="16"/>
          <w:szCs w:val="16"/>
          <w:color w:val="auto"/>
        </w:rPr>
        <w:t>. Indemnitee agrees to serve as a director or officer of the Company or, at the request of the Company, as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500" w:top="268" w:right="519" w:bottom="1440" w:gutter="0" w:footer="0" w:header="0"/>
        </w:sectPr>
      </w:pPr>
    </w:p>
    <w:bookmarkStart w:id="311" w:name="page312"/>
    <w:bookmarkEnd w:id="3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75" w:lineRule="exact"/>
        <w:rPr>
          <w:sz w:val="20"/>
          <w:szCs w:val="20"/>
          <w:color w:val="auto"/>
        </w:rPr>
      </w:pPr>
    </w:p>
    <w:p>
      <w:pPr>
        <w:ind w:right="40" w:firstLine="444"/>
        <w:spacing w:after="0" w:line="255" w:lineRule="auto"/>
        <w:tabs>
          <w:tab w:leader="none" w:pos="70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Duration</w:t>
      </w:r>
      <w:r>
        <w:rPr>
          <w:rFonts w:ascii="Arial" w:cs="Arial" w:eastAsia="Arial" w:hAnsi="Arial"/>
          <w:sz w:val="18"/>
          <w:szCs w:val="18"/>
          <w:color w:val="auto"/>
        </w:rPr>
        <w:t>. This Agreement shall continue until and terminate upon the later of (a) five years after the date that Indemnitee shall have ceased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10 relating thereto.</w:t>
      </w:r>
    </w:p>
    <w:p>
      <w:pPr>
        <w:spacing w:after="0" w:line="77" w:lineRule="exact"/>
        <w:rPr>
          <w:rFonts w:ascii="Arial" w:cs="Arial" w:eastAsia="Arial" w:hAnsi="Arial"/>
          <w:sz w:val="18"/>
          <w:szCs w:val="18"/>
          <w:b w:val="1"/>
          <w:bCs w:val="1"/>
          <w:color w:val="auto"/>
        </w:rPr>
      </w:pPr>
    </w:p>
    <w:p>
      <w:pPr>
        <w:ind w:right="60" w:firstLine="444"/>
        <w:spacing w:after="0" w:line="253" w:lineRule="auto"/>
        <w:tabs>
          <w:tab w:leader="none" w:pos="70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w:t>
      </w:r>
      <w:r>
        <w:rPr>
          <w:rFonts w:ascii="Arial" w:cs="Arial" w:eastAsia="Arial" w:hAnsi="Arial"/>
          <w:sz w:val="18"/>
          <w:szCs w:val="18"/>
          <w:color w:val="auto"/>
        </w:rPr>
        <w:t>. This Agreement shall be binding upon the Company and its successors and assigns, including any direct or indirect successor,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merger, consolidation or otherwise, to all or substantially all of 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81" w:lineRule="exact"/>
        <w:rPr>
          <w:rFonts w:ascii="Arial" w:cs="Arial" w:eastAsia="Arial" w:hAnsi="Arial"/>
          <w:sz w:val="18"/>
          <w:szCs w:val="18"/>
          <w:b w:val="1"/>
          <w:bCs w:val="1"/>
          <w:color w:val="auto"/>
        </w:rPr>
      </w:pPr>
    </w:p>
    <w:p>
      <w:pPr>
        <w:ind w:right="140" w:firstLine="444"/>
        <w:spacing w:after="0" w:line="267" w:lineRule="auto"/>
        <w:tabs>
          <w:tab w:leader="none" w:pos="704"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Nothing in this Agreement is intended to require or shall be construed as requiring the Company to do or fail to do any act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72" w:lineRule="exact"/>
        <w:rPr>
          <w:rFonts w:ascii="Arial" w:cs="Arial" w:eastAsia="Arial" w:hAnsi="Arial"/>
          <w:sz w:val="17"/>
          <w:szCs w:val="17"/>
          <w:b w:val="1"/>
          <w:bCs w:val="1"/>
          <w:color w:val="auto"/>
        </w:rPr>
      </w:pPr>
    </w:p>
    <w:p>
      <w:pPr>
        <w:ind w:right="80" w:firstLine="444"/>
        <w:spacing w:after="0" w:line="261" w:lineRule="auto"/>
        <w:tabs>
          <w:tab w:leader="none" w:pos="70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The Company expressly confirms and agrees that it has entered into this Agreement and assumed the obligations imposed on it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73" w:lineRule="exact"/>
        <w:rPr>
          <w:rFonts w:ascii="Arial" w:cs="Arial" w:eastAsia="Arial" w:hAnsi="Arial"/>
          <w:sz w:val="18"/>
          <w:szCs w:val="18"/>
          <w:b w:val="1"/>
          <w:bCs w:val="1"/>
          <w:color w:val="auto"/>
        </w:rPr>
      </w:pPr>
    </w:p>
    <w:p>
      <w:pPr>
        <w:ind w:right="180" w:firstLine="444"/>
        <w:spacing w:after="0" w:line="257" w:lineRule="auto"/>
        <w:tabs>
          <w:tab w:leader="none" w:pos="70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between the parties hereto with respect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supersedes all prior agreements and understandings, oral, written and implied, between the parties hereto with respect to the subject matter 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Agreement is a supplement to and in furtherance of the Company’s certificate of incorporation and bylaws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w:t>
      </w:r>
    </w:p>
    <w:p>
      <w:pPr>
        <w:spacing w:after="0" w:line="76" w:lineRule="exact"/>
        <w:rPr>
          <w:rFonts w:ascii="Arial" w:cs="Arial" w:eastAsia="Arial" w:hAnsi="Arial"/>
          <w:sz w:val="18"/>
          <w:szCs w:val="18"/>
          <w:b w:val="1"/>
          <w:bCs w:val="1"/>
          <w:color w:val="auto"/>
        </w:rPr>
      </w:pPr>
    </w:p>
    <w:p>
      <w:pPr>
        <w:ind w:right="160" w:firstLine="444"/>
        <w:spacing w:after="0" w:line="255" w:lineRule="auto"/>
        <w:tabs>
          <w:tab w:leader="none" w:pos="70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to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312" w:name="page313"/>
    <w:bookmarkEnd w:id="312"/>
    <w:p>
      <w:pPr>
        <w:ind w:right="580" w:firstLine="444"/>
        <w:spacing w:after="0" w:line="340" w:lineRule="auto"/>
        <w:tabs>
          <w:tab w:leader="none" w:pos="704" w:val="left"/>
        </w:tabs>
        <w:numPr>
          <w:ilvl w:val="0"/>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Notices</w:t>
      </w:r>
      <w:r>
        <w:rPr>
          <w:rFonts w:ascii="Arial" w:cs="Arial" w:eastAsia="Arial" w:hAnsi="Arial"/>
          <w:sz w:val="16"/>
          <w:szCs w:val="16"/>
          <w:color w:val="auto"/>
        </w:rPr>
        <w:t>. All notices and other communications required or permitted hereunder shall be in writing and shall be mailed by registered or</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mail, postage prepaid, sent by facsimile or electronic mail or otherwise delivered by hand, messenger or courier service addressed:</w:t>
      </w:r>
    </w:p>
    <w:p>
      <w:pPr>
        <w:spacing w:after="0" w:line="17" w:lineRule="exact"/>
        <w:rPr>
          <w:rFonts w:ascii="Arial" w:cs="Arial" w:eastAsia="Arial" w:hAnsi="Arial"/>
          <w:sz w:val="16"/>
          <w:szCs w:val="16"/>
          <w:b w:val="1"/>
          <w:bCs w:val="1"/>
          <w:color w:val="auto"/>
        </w:rPr>
      </w:pPr>
    </w:p>
    <w:p>
      <w:pPr>
        <w:ind w:right="760" w:firstLine="990"/>
        <w:spacing w:after="0" w:line="271" w:lineRule="auto"/>
        <w:tabs>
          <w:tab w:leader="none" w:pos="1234"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67" w:lineRule="exact"/>
        <w:rPr>
          <w:rFonts w:ascii="Arial" w:cs="Arial" w:eastAsia="Arial" w:hAnsi="Arial"/>
          <w:sz w:val="18"/>
          <w:szCs w:val="18"/>
          <w:b w:val="1"/>
          <w:bCs w:val="1"/>
          <w:color w:val="auto"/>
        </w:rPr>
      </w:pPr>
    </w:p>
    <w:p>
      <w:pPr>
        <w:ind w:right="300" w:firstLine="990"/>
        <w:spacing w:after="0" w:line="271" w:lineRule="auto"/>
        <w:tabs>
          <w:tab w:leader="none" w:pos="1244"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if to the Company, to Xometry, Inc., 7529 Standish Place, Suite 200, Derwood, Maryland 20855, Attention: General Counsel, or at such other current address as the Company shall have furnished to Indemnitee.</w:t>
      </w:r>
    </w:p>
    <w:p>
      <w:pPr>
        <w:spacing w:after="0" w:line="68" w:lineRule="exact"/>
        <w:rPr>
          <w:sz w:val="20"/>
          <w:szCs w:val="20"/>
          <w:color w:val="auto"/>
        </w:rPr>
      </w:pPr>
    </w:p>
    <w:p>
      <w:pPr>
        <w:ind w:right="60" w:firstLine="436"/>
        <w:spacing w:after="0" w:line="251" w:lineRule="auto"/>
        <w:rPr>
          <w:sz w:val="20"/>
          <w:szCs w:val="20"/>
          <w:color w:val="auto"/>
        </w:rPr>
      </w:pPr>
      <w:r>
        <w:rPr>
          <w:rFonts w:ascii="Arial" w:cs="Arial" w:eastAsia="Arial" w:hAnsi="Arial"/>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86" w:lineRule="exact"/>
        <w:rPr>
          <w:sz w:val="20"/>
          <w:szCs w:val="20"/>
          <w:color w:val="auto"/>
        </w:rPr>
      </w:pPr>
    </w:p>
    <w:p>
      <w:pPr>
        <w:ind w:right="20" w:firstLine="444"/>
        <w:spacing w:after="0" w:line="285" w:lineRule="auto"/>
        <w:tabs>
          <w:tab w:leader="none" w:pos="704"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shall be governed by, and construed and enforced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Delaware, without regard to its conflict of laws rules. Except with respect to any arbitration commenced by Indemnitee pursuant to Section 10(a),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57" w:lineRule="exact"/>
        <w:rPr>
          <w:rFonts w:ascii="Arial" w:cs="Arial" w:eastAsia="Arial" w:hAnsi="Arial"/>
          <w:sz w:val="16"/>
          <w:szCs w:val="16"/>
          <w:b w:val="1"/>
          <w:bCs w:val="1"/>
          <w:color w:val="auto"/>
        </w:rPr>
      </w:pPr>
    </w:p>
    <w:p>
      <w:pPr>
        <w:ind w:firstLine="444"/>
        <w:spacing w:after="0" w:line="299" w:lineRule="auto"/>
        <w:tabs>
          <w:tab w:leader="none" w:pos="704"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two or more counterparts, each of which shall for all purposes be deemed to be an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480" w:top="268" w:right="539" w:bottom="1440" w:gutter="0" w:footer="0" w:header="0"/>
        </w:sectPr>
      </w:pPr>
    </w:p>
    <w:bookmarkStart w:id="313" w:name="page314"/>
    <w:bookmarkEnd w:id="313"/>
    <w:p>
      <w:pPr>
        <w:ind w:left="-260" w:firstLine="444"/>
        <w:spacing w:after="0" w:line="275" w:lineRule="auto"/>
        <w:tabs>
          <w:tab w:leader="none" w:pos="444"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Captions</w:t>
      </w:r>
      <w:r>
        <w:rPr>
          <w:rFonts w:ascii="Arial" w:cs="Arial" w:eastAsia="Arial" w:hAnsi="Arial"/>
          <w:sz w:val="18"/>
          <w:szCs w:val="18"/>
          <w:color w:val="auto"/>
        </w:rPr>
        <w:t>. The headings of the paragraphs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20"/>
          </w:cols>
          <w:pgMar w:left="740" w:top="268" w:right="739" w:bottom="1440" w:gutter="0" w:footer="0" w:header="0"/>
        </w:sectPr>
      </w:pPr>
    </w:p>
    <w:bookmarkStart w:id="314" w:name="page315"/>
    <w:bookmarkEnd w:id="3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parties are signing this Indemnification Agreement as of the date stated in the introductory sentence.</w:t>
      </w:r>
    </w:p>
    <w:p>
      <w:pPr>
        <w:spacing w:after="0" w:line="26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13335</wp:posOffset>
            </wp:positionV>
            <wp:extent cx="24034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13335</wp:posOffset>
            </wp:positionV>
            <wp:extent cx="24034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13335</wp:posOffset>
            </wp:positionV>
            <wp:extent cx="24034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2403475"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302260</wp:posOffset>
            </wp:positionV>
            <wp:extent cx="27686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INDEMNITEE NAME</w:t>
      </w:r>
      <w:r>
        <w:rPr>
          <w:rFonts w:ascii="Arial" w:cs="Arial" w:eastAsia="Arial" w:hAnsi="Arial"/>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13335</wp:posOffset>
            </wp:positionV>
            <wp:extent cx="229298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2292985" cy="8255"/>
                    </a:xfrm>
                    <a:prstGeom prst="rect">
                      <a:avLst/>
                    </a:prstGeom>
                    <a:noFill/>
                  </pic:spPr>
                </pic:pic>
              </a:graphicData>
            </a:graphic>
          </wp:anchor>
        </w:drawing>
        <w:drawing>
          <wp:anchor simplePos="0" relativeHeight="251657728" behindDoc="1" locked="0" layoutInCell="0" allowOverlap="1">
            <wp:simplePos x="0" y="0"/>
            <wp:positionH relativeFrom="column">
              <wp:posOffset>4362450</wp:posOffset>
            </wp:positionH>
            <wp:positionV relativeFrom="paragraph">
              <wp:posOffset>166370</wp:posOffset>
            </wp:positionV>
            <wp:extent cx="22929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ectPr>
          <w:pgSz w:w="11900" w:h="16838" w:orient="portrait"/>
          <w:cols w:equalWidth="0" w:num="1">
            <w:col w:w="9539"/>
          </w:cols>
          <w:pgMar w:left="920" w:top="272" w:right="1440"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NEXTLINE MANUFACTURING CORP.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STOCK OPTION PLAN</w:t>
      </w:r>
    </w:p>
    <w:p>
      <w:pPr>
        <w:spacing w:after="0" w:line="221" w:lineRule="exact"/>
        <w:rPr>
          <w:sz w:val="20"/>
          <w:szCs w:val="20"/>
          <w:color w:val="auto"/>
        </w:rPr>
      </w:pPr>
    </w:p>
    <w:p>
      <w:pPr>
        <w:ind w:right="40" w:firstLine="7"/>
        <w:spacing w:after="0" w:line="294" w:lineRule="auto"/>
        <w:tabs>
          <w:tab w:leader="none" w:pos="178"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Purposes of the Plan. </w:t>
      </w:r>
      <w:r>
        <w:rPr>
          <w:rFonts w:ascii="Arial" w:cs="Arial" w:eastAsia="Arial" w:hAnsi="Arial"/>
          <w:sz w:val="16"/>
          <w:szCs w:val="16"/>
          <w:color w:val="auto"/>
        </w:rPr>
        <w:t>The purposes of this Stock Option Plan are to attract and retain the best available personnel for positions of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to provide additional incentive to Employees, Directors and Consultants (including prospective Employees, Directors and Consultants) and to promote the success of the Company’s business. Shares granted under the Plan may be Common Stock, as determined by the Administrator at the time of grant. Options granted under the Plan may be Incentive Stock Options or Nonstatutory Stock Options, as determined by the Administrator at the time of grant. Stock Purchase Rights, Restricted Stock Awards or Stock Awards may also be granted under the Plan.</w:t>
      </w:r>
    </w:p>
    <w:p>
      <w:pPr>
        <w:spacing w:after="0" w:line="49" w:lineRule="exact"/>
        <w:rPr>
          <w:rFonts w:ascii="Arial" w:cs="Arial" w:eastAsia="Arial" w:hAnsi="Arial"/>
          <w:sz w:val="16"/>
          <w:szCs w:val="16"/>
          <w:b w:val="1"/>
          <w:bCs w:val="1"/>
          <w:color w:val="auto"/>
        </w:rPr>
      </w:pPr>
    </w:p>
    <w:p>
      <w:pPr>
        <w:ind w:left="180" w:hanging="173"/>
        <w:spacing w:after="0"/>
        <w:tabs>
          <w:tab w:leader="none" w:pos="1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herein, the following definitions shall apply: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shall be administering the Plan in accordance with Section 4 hereof.</w:t>
      </w:r>
    </w:p>
    <w:p>
      <w:pPr>
        <w:spacing w:after="0" w:line="125" w:lineRule="exact"/>
        <w:rPr>
          <w:sz w:val="20"/>
          <w:szCs w:val="20"/>
          <w:color w:val="auto"/>
        </w:rPr>
      </w:pPr>
    </w:p>
    <w:p>
      <w:pPr>
        <w:jc w:val="both"/>
        <w:ind w:right="60" w:firstLine="436"/>
        <w:spacing w:after="0" w:line="30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requirements relating to the administration of stock plans under U.S. state corporate laws, U.S. federal and state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laws, the Code, any stock exchange or quotation system on which the Common Stock is listed or quoted and the applicable laws of any other country or jurisdiction where Options, Stock Purchase Rights, Restricted Stock Awards or Stock Awards are granted under the Plan.</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any Option, Restricted Stock Award, Stock Award or other Stock Purchase Right.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appointed by the Board in accordance with Section 4 hereof.</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$.000001 par value, of the Company.</w:t>
      </w:r>
    </w:p>
    <w:p>
      <w:pPr>
        <w:spacing w:after="0" w:line="114" w:lineRule="exact"/>
        <w:rPr>
          <w:sz w:val="20"/>
          <w:szCs w:val="20"/>
          <w:color w:val="auto"/>
        </w:rPr>
      </w:pPr>
    </w:p>
    <w:p>
      <w:pPr>
        <w:ind w:right="20" w:firstLine="436"/>
        <w:spacing w:after="0" w:line="284"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color w:val="auto"/>
        </w:rPr>
        <w:t>“</w:t>
      </w:r>
      <w:r>
        <w:rPr>
          <w:rFonts w:ascii="Arial" w:cs="Arial" w:eastAsia="Arial" w:hAnsi="Arial"/>
          <w:sz w:val="17"/>
          <w:szCs w:val="17"/>
          <w:u w:val="single" w:color="auto"/>
          <w:color w:val="auto"/>
        </w:rPr>
        <w:t>Competing Business</w:t>
      </w:r>
      <w:r>
        <w:rPr>
          <w:rFonts w:ascii="Arial" w:cs="Arial" w:eastAsia="Arial" w:hAnsi="Arial"/>
          <w:sz w:val="17"/>
          <w:szCs w:val="17"/>
          <w:color w:val="auto"/>
        </w:rPr>
        <w:t>” means any person, corporation or other entity engaged in the business of developing or selling or attempting to develop</w:t>
      </w:r>
      <w:r>
        <w:rPr>
          <w:rFonts w:ascii="Arial" w:cs="Arial" w:eastAsia="Arial" w:hAnsi="Arial"/>
          <w:sz w:val="17"/>
          <w:szCs w:val="17"/>
          <w:b w:val="1"/>
          <w:bCs w:val="1"/>
          <w:color w:val="auto"/>
        </w:rPr>
        <w:t xml:space="preserve"> </w:t>
      </w:r>
      <w:r>
        <w:rPr>
          <w:rFonts w:ascii="Arial" w:cs="Arial" w:eastAsia="Arial" w:hAnsi="Arial"/>
          <w:sz w:val="17"/>
          <w:szCs w:val="17"/>
          <w:color w:val="auto"/>
        </w:rPr>
        <w:t>or sell any product or service which is the same as or similar to products or services sold by the Company within the last year prior to termination of such Optionee’s employment, consulting relationship or director status, as the case may be, hereunder.</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NextLine Manufacturing Corp., a Delaware corporation.</w:t>
      </w:r>
    </w:p>
    <w:p>
      <w:pPr>
        <w:spacing w:after="0" w:line="114"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who is engaged by the Company or any Parent or Subsidiary to render consulting or advisory services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entity.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316" w:name="page317"/>
    <w:bookmarkEnd w:id="31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2.11 </w:t>
      </w: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114"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b w:val="1"/>
          <w:bCs w:val="1"/>
          <w:color w:val="auto"/>
        </w:rPr>
        <w:t xml:space="preserve">2.13 </w:t>
      </w: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Officers and Directors, employed by the Company or any Parent or Subsidiary of the Company. A</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Provider shall not cease to be an Employee in the case of (i) any leave of absence approved by the Company or (ii) transfers between locations of the Company or between the Company, any Parent or Subsidiary, or any successor. For purposes of Incentive Stock Options, unless the Code provides otherwise, no such leave may exceed ninety (90) days, unless reemployment upon expiration of such leave is guaranteed by statute or contract. Unless the Code provides otherwise for Incentive Stock Options, if reemployment upon expiration of a leave of absence approved by the Company is not so guaranteed, on the 181St day of such leave any Incentive Stock Option held by the Optionee shall cease to be treated as an Incentive Stock Option and shall be treated for tax purposes as a Nonstatutory Stock Option. Neither service as a Director nor payment of a director’s fee by the Company shall be sufficient to constitute “employment” by the Company.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118" w:lineRule="exact"/>
        <w:rPr>
          <w:sz w:val="20"/>
          <w:szCs w:val="20"/>
          <w:color w:val="auto"/>
        </w:rPr>
      </w:pPr>
    </w:p>
    <w:p>
      <w:pPr>
        <w:ind w:right="80" w:firstLine="990"/>
        <w:spacing w:after="0" w:line="259" w:lineRule="auto"/>
        <w:tabs>
          <w:tab w:leader="none" w:pos="122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its Fair Market Value shall be the closing sales price for such stock (or the closing bid, if no sales were reported) as quoted on such exchange or system for the last market trading day prior to the time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78" w:lineRule="exact"/>
        <w:rPr>
          <w:rFonts w:ascii="Arial" w:cs="Arial" w:eastAsia="Arial" w:hAnsi="Arial"/>
          <w:sz w:val="18"/>
          <w:szCs w:val="18"/>
          <w:color w:val="auto"/>
        </w:rPr>
      </w:pPr>
    </w:p>
    <w:p>
      <w:pPr>
        <w:ind w:right="160" w:firstLine="990"/>
        <w:spacing w:after="0" w:line="335" w:lineRule="auto"/>
        <w:tabs>
          <w:tab w:leader="none" w:pos="123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If the Common Stock is regularly quoted by a recognized securities dealer but selling prices are not reported, its Fair Market Value shall be the mean between the high bid and low asked prices for the Common Stock on the last market trading day prior to the day of determination; or</w:t>
      </w:r>
    </w:p>
    <w:p>
      <w:pPr>
        <w:spacing w:after="0" w:line="21" w:lineRule="exact"/>
        <w:rPr>
          <w:rFonts w:ascii="Arial" w:cs="Arial" w:eastAsia="Arial" w:hAnsi="Arial"/>
          <w:sz w:val="16"/>
          <w:szCs w:val="16"/>
          <w:color w:val="auto"/>
        </w:rPr>
      </w:pPr>
    </w:p>
    <w:p>
      <w:pPr>
        <w:ind w:left="1240" w:hanging="250"/>
        <w:spacing w:after="0"/>
        <w:tabs>
          <w:tab w:leader="none" w:pos="124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thereof shall be determined in good faith by the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97"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with respect to any person, any spouse, child, stepchild or grandchild, and shall include relationships arising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legal adoption.</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2.17 </w:t>
      </w: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intended to qualify as an incentive stock option within the meaning of Section 422 of the Code.</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not intended to qualify as an Incentive Stock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68" w:right="499" w:bottom="1440" w:gutter="0" w:footer="0" w:header="0"/>
        </w:sectPr>
      </w:pPr>
    </w:p>
    <w:bookmarkStart w:id="317" w:name="page318"/>
    <w:bookmarkEnd w:id="317"/>
    <w:p>
      <w:pPr>
        <w:ind w:right="64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2.19 </w:t>
      </w: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promulgated thereunder.</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14"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or electronic agreement between the Company and an Optionee evidencing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 individual Option grant. Option Agreements remain subject to the terms and conditions of the Plan.</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color w:val="auto"/>
        </w:rPr>
        <w:t>“</w:t>
      </w:r>
      <w:r>
        <w:rPr>
          <w:rFonts w:ascii="Arial" w:cs="Arial" w:eastAsia="Arial" w:hAnsi="Arial"/>
          <w:sz w:val="17"/>
          <w:szCs w:val="17"/>
          <w:u w:val="single" w:color="auto"/>
          <w:color w:val="auto"/>
        </w:rPr>
        <w:t>Option Exchange Program</w:t>
      </w:r>
      <w:r>
        <w:rPr>
          <w:rFonts w:ascii="Arial" w:cs="Arial" w:eastAsia="Arial" w:hAnsi="Arial"/>
          <w:sz w:val="17"/>
          <w:szCs w:val="17"/>
          <w:color w:val="auto"/>
        </w:rPr>
        <w:t>” means a program whereby outstanding Options are exchanged for Options with a lower exercise price.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u w:val="single" w:color="auto"/>
          <w:color w:val="auto"/>
        </w:rPr>
        <w:t>Optioned Stock</w:t>
      </w:r>
      <w:r>
        <w:rPr>
          <w:rFonts w:ascii="Arial" w:cs="Arial" w:eastAsia="Arial" w:hAnsi="Arial"/>
          <w:sz w:val="18"/>
          <w:szCs w:val="18"/>
          <w:color w:val="auto"/>
        </w:rPr>
        <w:t>” means the Common Stock subject to an Option or a Stock Purchase Right.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the holder of an outstanding Option or Stock Purchase Right granted under the Plan.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NextLine Manufacturing Corp. 2014 Stock Option Plan, as it may be amended from time to time.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w:t>
      </w:r>
      <w:r>
        <w:rPr>
          <w:rFonts w:ascii="Arial" w:cs="Arial" w:eastAsia="Arial" w:hAnsi="Arial"/>
          <w:sz w:val="18"/>
          <w:szCs w:val="18"/>
          <w:u w:val="single" w:color="auto"/>
          <w:color w:val="auto"/>
        </w:rPr>
        <w:t>Restricted Stock Award</w:t>
      </w:r>
      <w:r>
        <w:rPr>
          <w:rFonts w:ascii="Arial" w:cs="Arial" w:eastAsia="Arial" w:hAnsi="Arial"/>
          <w:sz w:val="18"/>
          <w:szCs w:val="18"/>
          <w:color w:val="auto"/>
        </w:rPr>
        <w:t>” shall have the meaning given to it in Section 12.1 hereof.</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shall mean Section 409A of the Code, the regulations and other binding guidance promulgated thereunder.</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as adjusted in accordance with Section 14 below.</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w:t>
      </w:r>
      <w:r>
        <w:rPr>
          <w:rFonts w:ascii="Arial" w:cs="Arial" w:eastAsia="Arial" w:hAnsi="Arial"/>
          <w:sz w:val="18"/>
          <w:szCs w:val="18"/>
          <w:u w:val="single" w:color="auto"/>
          <w:color w:val="auto"/>
        </w:rPr>
        <w:t>Stock Award</w:t>
      </w:r>
      <w:r>
        <w:rPr>
          <w:rFonts w:ascii="Arial" w:cs="Arial" w:eastAsia="Arial" w:hAnsi="Arial"/>
          <w:sz w:val="18"/>
          <w:szCs w:val="18"/>
          <w:color w:val="auto"/>
        </w:rPr>
        <w:t>” shall have the meaning given to it in Section 13 hereof.</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color w:val="auto"/>
        </w:rPr>
        <w:t>“</w:t>
      </w:r>
      <w:r>
        <w:rPr>
          <w:rFonts w:ascii="Arial" w:cs="Arial" w:eastAsia="Arial" w:hAnsi="Arial"/>
          <w:sz w:val="18"/>
          <w:szCs w:val="18"/>
          <w:u w:val="single" w:color="auto"/>
          <w:color w:val="auto"/>
        </w:rPr>
        <w:t>Stock Purchase Right</w:t>
      </w:r>
      <w:r>
        <w:rPr>
          <w:rFonts w:ascii="Arial" w:cs="Arial" w:eastAsia="Arial" w:hAnsi="Arial"/>
          <w:sz w:val="18"/>
          <w:szCs w:val="18"/>
          <w:color w:val="auto"/>
        </w:rPr>
        <w:t>” means a right to purchase Common Stock pursuant to Section 11 below.</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80" w:top="268" w:right="559" w:bottom="1440" w:gutter="0" w:footer="0" w:header="0"/>
        </w:sectPr>
      </w:pPr>
    </w:p>
    <w:bookmarkStart w:id="318" w:name="page319"/>
    <w:bookmarkEnd w:id="318"/>
    <w:p>
      <w:pPr>
        <w:ind w:right="60" w:firstLine="436"/>
        <w:spacing w:after="0" w:line="28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2.35 </w:t>
      </w:r>
      <w:r>
        <w:rPr>
          <w:rFonts w:ascii="Arial" w:cs="Arial" w:eastAsia="Arial" w:hAnsi="Arial"/>
          <w:sz w:val="16"/>
          <w:szCs w:val="16"/>
          <w:color w:val="auto"/>
        </w:rPr>
        <w:t>“</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shall mean a finding by the Board of the Service Provider’s: (i) commission of any act of fraud, insubordination,</w:t>
      </w:r>
      <w:r>
        <w:rPr>
          <w:rFonts w:ascii="Arial" w:cs="Arial" w:eastAsia="Arial" w:hAnsi="Arial"/>
          <w:sz w:val="16"/>
          <w:szCs w:val="16"/>
          <w:b w:val="1"/>
          <w:bCs w:val="1"/>
          <w:color w:val="auto"/>
        </w:rPr>
        <w:t xml:space="preserve"> </w:t>
      </w:r>
      <w:r>
        <w:rPr>
          <w:rFonts w:ascii="Arial" w:cs="Arial" w:eastAsia="Arial" w:hAnsi="Arial"/>
          <w:sz w:val="16"/>
          <w:szCs w:val="16"/>
          <w:color w:val="auto"/>
        </w:rPr>
        <w:t>misappropriation or personal dishonesty relating to or involving the Company in any material way; (ii) gross negligence; (iii) violation of any express direction of the Company or any material violation of any rule, regulation, policy or plan established by the Company from time to time regarding the conduct of its employees or its business, if any such violation is not remedied by the Service Provider within thirty (30) days of receiving notice of such violation from the Company; (iv) disclosure or use of confidential information of the Company, other than as required in the performance of the Service Provider’s duties; (v) actions that cause substantial economic damage to the Company or substantial injury to the business reputation of the Company;</w:t>
      </w:r>
    </w:p>
    <w:p>
      <w:pPr>
        <w:spacing w:after="0" w:line="4" w:lineRule="exact"/>
        <w:rPr>
          <w:sz w:val="20"/>
          <w:szCs w:val="20"/>
          <w:color w:val="auto"/>
        </w:rPr>
      </w:pPr>
    </w:p>
    <w:p>
      <w:pPr>
        <w:ind w:right="300" w:firstLine="7"/>
        <w:spacing w:after="0" w:line="298" w:lineRule="auto"/>
        <w:tabs>
          <w:tab w:leader="none" w:pos="30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conviction of a crime constituting a felony or any other crime involving moral turpitude or, in the event of no conviction, the presence of a substantial weight of credible evidence indicating that the Service Provider has committed such a crime; or (vii) the Service Provider’s use of any unlawful controlled substance or use of alcohol to an extent that such use of alcohol interferes with the performance of the Service Provider’s duties.</w:t>
      </w:r>
    </w:p>
    <w:p>
      <w:pPr>
        <w:spacing w:after="0" w:line="47" w:lineRule="exact"/>
        <w:rPr>
          <w:sz w:val="20"/>
          <w:szCs w:val="20"/>
          <w:color w:val="auto"/>
        </w:rPr>
      </w:pPr>
    </w:p>
    <w:p>
      <w:pPr>
        <w:ind w:right="80" w:firstLine="7"/>
        <w:spacing w:after="0" w:line="291" w:lineRule="auto"/>
        <w:tabs>
          <w:tab w:leader="none" w:pos="178"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Subject to the Plan. </w:t>
      </w:r>
      <w:r>
        <w:rPr>
          <w:rFonts w:ascii="Arial" w:cs="Arial" w:eastAsia="Arial" w:hAnsi="Arial"/>
          <w:sz w:val="16"/>
          <w:szCs w:val="16"/>
          <w:color w:val="auto"/>
        </w:rPr>
        <w:t>Subject to the provisions of Section 14 hereof, the maximum number of Shares which may be subject to the Plan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560,000 Shares (including those subject to Incentive Stock Options). The Shares may be authorized but unissued, or reacquired Common Stock. If an Option or Stock Purchase Right expires or becomes unexercisable without having been exercised in full, or is surrendered pursuant to an Option Exchange Program, the unpurchased Shares which were subject thereto shall become available for future grant or sale under the Plan. In addition, any Shares delivered to the Company under the Plan in payment of the exercise price of an Option, in payment of taxes, or otherwise, and any Shares of Restricted Stock that are repurchased by the Company at their original purchase price, shall become available for future grant under the Plan.</w:t>
      </w:r>
    </w:p>
    <w:p>
      <w:pPr>
        <w:spacing w:after="0" w:line="52" w:lineRule="exact"/>
        <w:rPr>
          <w:rFonts w:ascii="Arial" w:cs="Arial" w:eastAsia="Arial" w:hAnsi="Arial"/>
          <w:sz w:val="16"/>
          <w:szCs w:val="16"/>
          <w:b w:val="1"/>
          <w:bCs w:val="1"/>
          <w:color w:val="auto"/>
        </w:rPr>
      </w:pPr>
    </w:p>
    <w:p>
      <w:pPr>
        <w:ind w:left="180" w:hanging="173"/>
        <w:spacing w:after="0"/>
        <w:tabs>
          <w:tab w:leader="none" w:pos="1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14" w:lineRule="exact"/>
        <w:rPr>
          <w:sz w:val="20"/>
          <w:szCs w:val="20"/>
          <w:color w:val="auto"/>
        </w:rPr>
      </w:pPr>
    </w:p>
    <w:p>
      <w:pPr>
        <w:ind w:right="20" w:firstLine="436"/>
        <w:spacing w:after="0" w:line="275" w:lineRule="auto"/>
        <w:rPr>
          <w:sz w:val="20"/>
          <w:szCs w:val="20"/>
          <w:color w:val="auto"/>
        </w:rPr>
      </w:pPr>
      <w:r>
        <w:rPr>
          <w:rFonts w:ascii="Arial" w:cs="Arial" w:eastAsia="Arial" w:hAnsi="Arial"/>
          <w:sz w:val="18"/>
          <w:szCs w:val="18"/>
          <w:b w:val="1"/>
          <w:bCs w:val="1"/>
          <w:color w:val="auto"/>
        </w:rPr>
        <w:t xml:space="preserve">4.1 Administrator. </w:t>
      </w:r>
      <w:r>
        <w:rPr>
          <w:rFonts w:ascii="Arial" w:cs="Arial" w:eastAsia="Arial" w:hAnsi="Arial"/>
          <w:sz w:val="18"/>
          <w:szCs w:val="18"/>
          <w:color w:val="auto"/>
        </w:rPr>
        <w:t>The Plan shall be administered by the Board or a Committee appointed by the Board, which Committee shall be constituted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Applicable Laws.</w:t>
      </w:r>
    </w:p>
    <w:p>
      <w:pPr>
        <w:spacing w:after="0" w:line="61" w:lineRule="exact"/>
        <w:rPr>
          <w:sz w:val="20"/>
          <w:szCs w:val="20"/>
          <w:color w:val="auto"/>
        </w:rPr>
      </w:pPr>
    </w:p>
    <w:p>
      <w:pPr>
        <w:ind w:firstLine="436"/>
        <w:spacing w:after="0" w:line="306" w:lineRule="auto"/>
        <w:rPr>
          <w:sz w:val="20"/>
          <w:szCs w:val="20"/>
          <w:color w:val="auto"/>
        </w:rPr>
      </w:pPr>
      <w:r>
        <w:rPr>
          <w:rFonts w:ascii="Arial" w:cs="Arial" w:eastAsia="Arial" w:hAnsi="Arial"/>
          <w:sz w:val="17"/>
          <w:szCs w:val="17"/>
          <w:b w:val="1"/>
          <w:bCs w:val="1"/>
          <w:color w:val="auto"/>
        </w:rPr>
        <w:t xml:space="preserve">4.2 Powers of the Administrator. </w:t>
      </w:r>
      <w:r>
        <w:rPr>
          <w:rFonts w:ascii="Arial" w:cs="Arial" w:eastAsia="Arial" w:hAnsi="Arial"/>
          <w:sz w:val="17"/>
          <w:szCs w:val="17"/>
          <w:color w:val="auto"/>
        </w:rPr>
        <w:t>Subject to the provisions of the Plan and, in the case of a Committee, the specific duties delegated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to such Committee, and subject to the approval of any relevant authorities, the Administrator shall have the authority in its discretion:</w:t>
      </w:r>
    </w:p>
    <w:p>
      <w:pPr>
        <w:spacing w:after="0" w:line="40" w:lineRule="exact"/>
        <w:rPr>
          <w:sz w:val="20"/>
          <w:szCs w:val="20"/>
          <w:color w:val="auto"/>
        </w:rPr>
      </w:pPr>
    </w:p>
    <w:p>
      <w:pPr>
        <w:ind w:left="1240" w:hanging="250"/>
        <w:spacing w:after="0"/>
        <w:tabs>
          <w:tab w:leader="none" w:pos="12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determine the Fair Market Value in accordance with Section 409A;</w:t>
      </w:r>
    </w:p>
    <w:p>
      <w:pPr>
        <w:spacing w:after="0" w:line="113" w:lineRule="exact"/>
        <w:rPr>
          <w:rFonts w:ascii="Arial" w:cs="Arial" w:eastAsia="Arial" w:hAnsi="Arial"/>
          <w:sz w:val="18"/>
          <w:szCs w:val="18"/>
          <w:color w:val="auto"/>
        </w:rPr>
      </w:pPr>
    </w:p>
    <w:p>
      <w:pPr>
        <w:ind w:right="20" w:firstLine="990"/>
        <w:spacing w:after="0" w:line="271" w:lineRule="auto"/>
        <w:tabs>
          <w:tab w:leader="none" w:pos="123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select the Service Providers or prospective Service Providers to whom Options, Stock Purchase Rights, Restricted Stock Awards and Stock Awards may from time to time be granted hereunder;</w:t>
      </w:r>
    </w:p>
    <w:p>
      <w:pPr>
        <w:spacing w:after="0" w:line="67" w:lineRule="exact"/>
        <w:rPr>
          <w:rFonts w:ascii="Arial" w:cs="Arial" w:eastAsia="Arial" w:hAnsi="Arial"/>
          <w:sz w:val="18"/>
          <w:szCs w:val="18"/>
          <w:color w:val="auto"/>
        </w:rPr>
      </w:pPr>
    </w:p>
    <w:p>
      <w:pPr>
        <w:ind w:left="1240" w:hanging="250"/>
        <w:spacing w:after="0"/>
        <w:tabs>
          <w:tab w:leader="none" w:pos="12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such award granted hereunder;</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68" w:right="519" w:bottom="1440" w:gutter="0" w:footer="0" w:header="0"/>
        </w:sectPr>
      </w:pPr>
    </w:p>
    <w:bookmarkStart w:id="319" w:name="page320"/>
    <w:bookmarkEnd w:id="319"/>
    <w:p>
      <w:pPr>
        <w:ind w:right="40" w:firstLine="990"/>
        <w:spacing w:after="0" w:line="272" w:lineRule="auto"/>
        <w:tabs>
          <w:tab w:leader="none" w:pos="1225" w:val="left"/>
        </w:tabs>
        <w:numPr>
          <w:ilvl w:val="0"/>
          <w:numId w:val="2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determine the terms and conditions of any Option, Stock Purchase Right, Restricted Stock Award or Stock Award granted hereunder including, but not limited to, the exercise price, the time or times when Options or Stock Purchase Rights may be exercised or Restricted Stock Awards vest (which may be based on performance criteria), any vesting acceleration or waiver of forfeiture restrictions, and any restriction or limitation regarding any Option, Stock Purchase Right, Restricted Stock Award or Stock Award or the Common Stock relating thereto, based in each case on such factors as the Administrator, in its sole discretion, shall determine;</w:t>
      </w:r>
    </w:p>
    <w:p>
      <w:pPr>
        <w:spacing w:after="0" w:line="69" w:lineRule="exact"/>
        <w:rPr>
          <w:rFonts w:ascii="Arial" w:cs="Arial" w:eastAsia="Arial" w:hAnsi="Arial"/>
          <w:sz w:val="17"/>
          <w:szCs w:val="17"/>
          <w:color w:val="auto"/>
        </w:rPr>
      </w:pPr>
    </w:p>
    <w:p>
      <w:pPr>
        <w:ind w:right="20" w:firstLine="990"/>
        <w:spacing w:after="0" w:line="271" w:lineRule="auto"/>
        <w:tabs>
          <w:tab w:leader="none" w:pos="120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then current Fair Market Value if the Fair Market Value of the Common Stock covered by such Option has declined since the date the Option was granted;</w:t>
      </w:r>
    </w:p>
    <w:p>
      <w:pPr>
        <w:spacing w:after="0" w:line="67" w:lineRule="exact"/>
        <w:rPr>
          <w:rFonts w:ascii="Arial" w:cs="Arial" w:eastAsia="Arial" w:hAnsi="Arial"/>
          <w:sz w:val="18"/>
          <w:szCs w:val="18"/>
          <w:color w:val="auto"/>
        </w:rPr>
      </w:pPr>
    </w:p>
    <w:p>
      <w:pPr>
        <w:ind w:left="1240" w:hanging="250"/>
        <w:spacing w:after="0"/>
        <w:tabs>
          <w:tab w:leader="none" w:pos="12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initiate an Option Exchange Program;</w:t>
      </w:r>
    </w:p>
    <w:p>
      <w:pPr>
        <w:spacing w:after="0" w:line="113" w:lineRule="exact"/>
        <w:rPr>
          <w:rFonts w:ascii="Arial" w:cs="Arial" w:eastAsia="Arial" w:hAnsi="Arial"/>
          <w:sz w:val="18"/>
          <w:szCs w:val="18"/>
          <w:color w:val="auto"/>
        </w:rPr>
      </w:pPr>
    </w:p>
    <w:p>
      <w:pPr>
        <w:ind w:right="660" w:firstLine="990"/>
        <w:spacing w:after="0" w:line="271" w:lineRule="auto"/>
        <w:tabs>
          <w:tab w:leader="none" w:pos="123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67" w:lineRule="exact"/>
        <w:rPr>
          <w:rFonts w:ascii="Arial" w:cs="Arial" w:eastAsia="Arial" w:hAnsi="Arial"/>
          <w:sz w:val="18"/>
          <w:szCs w:val="18"/>
          <w:color w:val="auto"/>
        </w:rPr>
      </w:pPr>
    </w:p>
    <w:p>
      <w:pPr>
        <w:ind w:right="40" w:firstLine="990"/>
        <w:spacing w:after="0" w:line="288" w:lineRule="auto"/>
        <w:tabs>
          <w:tab w:leader="none" w:pos="119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to allow Optionees to satisfy withholding tax obligations by delivering to the Company or by electing to have the Company withhold from the Shares to be issued upon exercise of an Option or Stock Purchase Right that number of Shares having a Fair Market Value equal to the amount required to be withheld (but not in excess of such amount). The Fair Market Value of the Shares to be withheld shall be determined on the date that the amount of tax to be withheld is to be determined. All elections by Optionees to have Shares withheld for this purpose shall be made in such form and under such conditions as the Administrator may deem necessary or advisable. Notwithstanding the foregoing or any provisions of the Plan to the contrary, any broker-assisted cashless exercise shall comply with the requirements for equity classification of Paragraph 35 of FASB Statement No. 123(R) and any withholding satisfied through a net-settlement shall be limited to the minimum statutory withholding requirements; and</w:t>
      </w:r>
    </w:p>
    <w:p>
      <w:pPr>
        <w:spacing w:after="0" w:line="59" w:lineRule="exact"/>
        <w:rPr>
          <w:rFonts w:ascii="Arial" w:cs="Arial" w:eastAsia="Arial" w:hAnsi="Arial"/>
          <w:sz w:val="16"/>
          <w:szCs w:val="16"/>
          <w:color w:val="auto"/>
        </w:rPr>
      </w:pPr>
    </w:p>
    <w:p>
      <w:pPr>
        <w:ind w:left="1200" w:hanging="210"/>
        <w:spacing w:after="0"/>
        <w:tabs>
          <w:tab w:leader="none" w:pos="1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10"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 xml:space="preserve">4.3 Effect of Administrator’s Decision. </w:t>
      </w:r>
      <w:r>
        <w:rPr>
          <w:rFonts w:ascii="Arial" w:cs="Arial" w:eastAsia="Arial" w:hAnsi="Arial"/>
          <w:sz w:val="18"/>
          <w:szCs w:val="18"/>
          <w:color w:val="auto"/>
        </w:rPr>
        <w:t>All decisions, determinations and interpretations of the Administrator shall be final and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No person serving as the Administrator shall be liable for any such action taken or decision made provided such action or decision was made in good faith.</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Eligibility.</w:t>
      </w:r>
    </w:p>
    <w:p>
      <w:pPr>
        <w:spacing w:after="0" w:line="114" w:lineRule="exact"/>
        <w:rPr>
          <w:sz w:val="20"/>
          <w:szCs w:val="20"/>
          <w:color w:val="auto"/>
        </w:rPr>
      </w:pPr>
    </w:p>
    <w:p>
      <w:pPr>
        <w:ind w:right="480" w:firstLine="436"/>
        <w:spacing w:after="0" w:line="340" w:lineRule="auto"/>
        <w:rPr>
          <w:sz w:val="20"/>
          <w:szCs w:val="20"/>
          <w:color w:val="auto"/>
        </w:rPr>
      </w:pPr>
      <w:r>
        <w:rPr>
          <w:rFonts w:ascii="Arial" w:cs="Arial" w:eastAsia="Arial" w:hAnsi="Arial"/>
          <w:sz w:val="16"/>
          <w:szCs w:val="16"/>
          <w:b w:val="1"/>
          <w:bCs w:val="1"/>
          <w:color w:val="auto"/>
        </w:rPr>
        <w:t xml:space="preserve">5.1 Grant of Options and Rights. </w:t>
      </w:r>
      <w:r>
        <w:rPr>
          <w:rFonts w:ascii="Arial" w:cs="Arial" w:eastAsia="Arial" w:hAnsi="Arial"/>
          <w:sz w:val="16"/>
          <w:szCs w:val="16"/>
          <w:color w:val="auto"/>
        </w:rPr>
        <w:t>Nonstatutory Stock Options and Stock Purchase Rights may be granted to any Service Provider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prospective Service Provider in connection with an offer of employment or service. Incentive Stock Options may be granted only to Employees.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80" w:top="272" w:right="539" w:bottom="1440" w:gutter="0" w:footer="0" w:header="0"/>
        </w:sectPr>
      </w:pPr>
    </w:p>
    <w:bookmarkStart w:id="320" w:name="page321"/>
    <w:bookmarkEnd w:id="320"/>
    <w:p>
      <w:pPr>
        <w:ind w:right="40" w:firstLine="43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5.2 Incentive or Nonstatutory Stock Options. </w:t>
      </w:r>
      <w:r>
        <w:rPr>
          <w:rFonts w:ascii="Arial" w:cs="Arial" w:eastAsia="Arial" w:hAnsi="Arial"/>
          <w:sz w:val="18"/>
          <w:szCs w:val="18"/>
          <w:color w:val="auto"/>
        </w:rPr>
        <w:t>Each Option shall be designated in the Option Agreement as either an Incentive Stock Option or a</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 However, notwithstanding such designation, to the extent that Options intended to qualify as Incentive Stock Options fail to qualify as such for any reason, such Options shall be treated as Nonstatutory Stock Options. For purposes of this Section 5.2, Incentive Stock Options shall be taken into account in the order in which they were granted. The Fair Market Value of the Shares shall be determined as of the time the Option with respect to such Shares is granted.</w:t>
      </w:r>
    </w:p>
    <w:p>
      <w:pPr>
        <w:spacing w:after="0" w:line="77" w:lineRule="exact"/>
        <w:rPr>
          <w:sz w:val="20"/>
          <w:szCs w:val="20"/>
          <w:color w:val="auto"/>
        </w:rPr>
      </w:pPr>
    </w:p>
    <w:p>
      <w:pPr>
        <w:ind w:right="300" w:firstLine="436"/>
        <w:spacing w:after="0" w:line="261" w:lineRule="auto"/>
        <w:rPr>
          <w:sz w:val="20"/>
          <w:szCs w:val="20"/>
          <w:color w:val="auto"/>
        </w:rPr>
      </w:pPr>
      <w:r>
        <w:rPr>
          <w:rFonts w:ascii="Arial" w:cs="Arial" w:eastAsia="Arial" w:hAnsi="Arial"/>
          <w:sz w:val="18"/>
          <w:szCs w:val="18"/>
          <w:b w:val="1"/>
          <w:bCs w:val="1"/>
          <w:color w:val="auto"/>
        </w:rPr>
        <w:t xml:space="preserve">5.3 No Right to Continued Service. </w:t>
      </w:r>
      <w:r>
        <w:rPr>
          <w:rFonts w:ascii="Arial" w:cs="Arial" w:eastAsia="Arial" w:hAnsi="Arial"/>
          <w:sz w:val="18"/>
          <w:szCs w:val="18"/>
          <w:color w:val="auto"/>
        </w:rPr>
        <w:t>Neither the Plan nor any Option or Stock Purchase Right shall confer upon any Optionee any right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continuing the Optionee’s relationship as a Service Provider with the Company, nor shall it interfere in any way with his or her right or the Company’s right to terminate such relationship at any time, with or without cause.</w:t>
      </w:r>
    </w:p>
    <w:p>
      <w:pPr>
        <w:spacing w:after="0" w:line="74" w:lineRule="exact"/>
        <w:rPr>
          <w:sz w:val="20"/>
          <w:szCs w:val="20"/>
          <w:color w:val="auto"/>
        </w:rPr>
      </w:pPr>
    </w:p>
    <w:p>
      <w:pPr>
        <w:ind w:right="280" w:firstLine="7"/>
        <w:spacing w:after="0" w:line="275" w:lineRule="auto"/>
        <w:tabs>
          <w:tab w:leader="none" w:pos="178"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shall become effective upon its adoption by the Board. It shall continue in effect for a term of ten (10) years unless sooner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under Section 16 hereof.</w:t>
      </w:r>
    </w:p>
    <w:p>
      <w:pPr>
        <w:spacing w:after="0" w:line="60" w:lineRule="exact"/>
        <w:rPr>
          <w:rFonts w:ascii="Arial" w:cs="Arial" w:eastAsia="Arial" w:hAnsi="Arial"/>
          <w:sz w:val="18"/>
          <w:szCs w:val="18"/>
          <w:b w:val="1"/>
          <w:bCs w:val="1"/>
          <w:color w:val="auto"/>
        </w:rPr>
      </w:pPr>
    </w:p>
    <w:p>
      <w:pPr>
        <w:ind w:right="120" w:firstLine="7"/>
        <w:spacing w:after="0" w:line="255" w:lineRule="auto"/>
        <w:tabs>
          <w:tab w:leader="none" w:pos="178"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Option. </w:t>
      </w:r>
      <w:r>
        <w:rPr>
          <w:rFonts w:ascii="Arial" w:cs="Arial" w:eastAsia="Arial" w:hAnsi="Arial"/>
          <w:sz w:val="18"/>
          <w:szCs w:val="18"/>
          <w:color w:val="auto"/>
        </w:rPr>
        <w:t>The term of each Option shall be stated in the Option Agreement; provided, however, that in the case of an 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shall be no more than ten (10) years from the date of grant thereof. In the case of an Incentive Stock Option granted to an Optionee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Option Agreement.</w:t>
      </w:r>
    </w:p>
    <w:p>
      <w:pPr>
        <w:spacing w:after="0" w:line="77" w:lineRule="exact"/>
        <w:rPr>
          <w:rFonts w:ascii="Arial" w:cs="Arial" w:eastAsia="Arial" w:hAnsi="Arial"/>
          <w:sz w:val="18"/>
          <w:szCs w:val="18"/>
          <w:b w:val="1"/>
          <w:bCs w:val="1"/>
          <w:color w:val="auto"/>
        </w:rPr>
      </w:pPr>
    </w:p>
    <w:p>
      <w:pPr>
        <w:ind w:left="180" w:hanging="173"/>
        <w:spacing w:after="0"/>
        <w:tabs>
          <w:tab w:leader="none" w:pos="18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Option Exercise Price and Consideration.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8.1 Exercise Price. </w:t>
      </w:r>
      <w:r>
        <w:rPr>
          <w:rFonts w:ascii="Arial" w:cs="Arial" w:eastAsia="Arial" w:hAnsi="Arial"/>
          <w:sz w:val="16"/>
          <w:szCs w:val="16"/>
          <w:color w:val="auto"/>
        </w:rPr>
        <w:t>The per share exercise price for the Shares to be issued upon exercise of an Option shall be such price as is determined by the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Administrator, but shall be subject to the following:</w:t>
      </w:r>
    </w:p>
    <w:p>
      <w:pPr>
        <w:spacing w:after="0" w:line="101" w:lineRule="exact"/>
        <w:rPr>
          <w:sz w:val="20"/>
          <w:szCs w:val="20"/>
          <w:color w:val="auto"/>
        </w:rPr>
      </w:pPr>
    </w:p>
    <w:p>
      <w:pPr>
        <w:ind w:right="20" w:firstLine="990"/>
        <w:spacing w:after="0" w:line="271" w:lineRule="auto"/>
        <w:tabs>
          <w:tab w:leader="none" w:pos="122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the case of an Option (whether Incentive or Nonstatutory), the per Share exercise price shall be no less than 100% of the Fair Market Value per Share on the date of grant.</w:t>
      </w:r>
    </w:p>
    <w:p>
      <w:pPr>
        <w:spacing w:after="0" w:line="67" w:lineRule="exact"/>
        <w:rPr>
          <w:rFonts w:ascii="Arial" w:cs="Arial" w:eastAsia="Arial" w:hAnsi="Arial"/>
          <w:sz w:val="18"/>
          <w:szCs w:val="18"/>
          <w:color w:val="auto"/>
        </w:rPr>
      </w:pPr>
    </w:p>
    <w:p>
      <w:pPr>
        <w:ind w:right="420" w:firstLine="990"/>
        <w:spacing w:after="0" w:line="271" w:lineRule="auto"/>
        <w:tabs>
          <w:tab w:leader="none" w:pos="123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other than as required above pursuant to a merger or other corporate transaction to the extent consistent with Section 22 hereof.</w:t>
      </w:r>
    </w:p>
    <w:p>
      <w:pPr>
        <w:spacing w:after="0" w:line="64"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b w:val="1"/>
          <w:bCs w:val="1"/>
          <w:color w:val="auto"/>
        </w:rPr>
        <w:t xml:space="preserve">8.2 Payment of Consideration. </w:t>
      </w:r>
      <w:r>
        <w:rPr>
          <w:rFonts w:ascii="Arial" w:cs="Arial" w:eastAsia="Arial" w:hAnsi="Arial"/>
          <w:sz w:val="17"/>
          <w:szCs w:val="17"/>
          <w:color w:val="auto"/>
        </w:rPr>
        <w:t>The consideration to be paid for the Shares to be issued upon exercise of an Option, including the method of</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shall be determined by the Administrator (and, in the case of an Incentive Stock Option, shall be determined at the time of grant). Such consideration may consist of (i) cash, (ii) check, (iii) full recourse promissory note, (iv) 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such Option shall be exercised, (v) consideration received by the Company under a cashless exercise program implemented by the Company in connection with the Plan, or (vi)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68" w:right="49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9. Exercise of Option.</w:t>
      </w:r>
    </w:p>
    <w:p>
      <w:pPr>
        <w:spacing w:after="0" w:line="114" w:lineRule="exact"/>
        <w:rPr>
          <w:sz w:val="20"/>
          <w:szCs w:val="20"/>
          <w:color w:val="auto"/>
        </w:rPr>
      </w:pPr>
    </w:p>
    <w:p>
      <w:pPr>
        <w:ind w:right="160" w:firstLine="436"/>
        <w:spacing w:after="0" w:line="257" w:lineRule="auto"/>
        <w:rPr>
          <w:sz w:val="20"/>
          <w:szCs w:val="20"/>
          <w:color w:val="auto"/>
        </w:rPr>
      </w:pPr>
      <w:r>
        <w:rPr>
          <w:rFonts w:ascii="Arial" w:cs="Arial" w:eastAsia="Arial" w:hAnsi="Arial"/>
          <w:sz w:val="18"/>
          <w:szCs w:val="18"/>
          <w:b w:val="1"/>
          <w:bCs w:val="1"/>
          <w:color w:val="auto"/>
        </w:rPr>
        <w:t xml:space="preserve">9.1 Procedure for Exercise; Rights as a Shareholder. </w:t>
      </w:r>
      <w:r>
        <w:rPr>
          <w:rFonts w:ascii="Arial" w:cs="Arial" w:eastAsia="Arial" w:hAnsi="Arial"/>
          <w:sz w:val="18"/>
          <w:szCs w:val="18"/>
          <w:color w:val="auto"/>
        </w:rPr>
        <w:t>Any Option granted hereunder shall be exercisable according to the terms hereof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times and under such conditions as determined by the Administrator and set forth in the Option Agreement. Unless the Administrator provides otherwise, vesting of Options granted hereunder shall be tolled during any unpaid leave of absence. An Option may not be exercised for a fraction of a Share.</w:t>
      </w:r>
    </w:p>
    <w:p>
      <w:pPr>
        <w:spacing w:after="0" w:line="80" w:lineRule="exact"/>
        <w:rPr>
          <w:sz w:val="20"/>
          <w:szCs w:val="20"/>
          <w:color w:val="auto"/>
        </w:rPr>
      </w:pPr>
    </w:p>
    <w:p>
      <w:pPr>
        <w:ind w:right="40" w:firstLine="982"/>
        <w:spacing w:after="0" w:line="287" w:lineRule="auto"/>
        <w:rPr>
          <w:sz w:val="20"/>
          <w:szCs w:val="20"/>
          <w:color w:val="auto"/>
        </w:rPr>
      </w:pPr>
      <w:r>
        <w:rPr>
          <w:rFonts w:ascii="Arial" w:cs="Arial" w:eastAsia="Arial" w:hAnsi="Arial"/>
          <w:sz w:val="16"/>
          <w:szCs w:val="16"/>
          <w:color w:val="auto"/>
        </w:rPr>
        <w:t>An Option shall be deemed exercised when the Company receives: (i) written or electronic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Shares,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14 hereof.</w:t>
      </w:r>
    </w:p>
    <w:p>
      <w:pPr>
        <w:spacing w:after="0" w:line="59" w:lineRule="exact"/>
        <w:rPr>
          <w:sz w:val="20"/>
          <w:szCs w:val="20"/>
          <w:color w:val="auto"/>
        </w:rPr>
      </w:pPr>
    </w:p>
    <w:p>
      <w:pPr>
        <w:ind w:right="20" w:firstLine="982"/>
        <w:spacing w:after="0" w:line="271" w:lineRule="auto"/>
        <w:rPr>
          <w:sz w:val="20"/>
          <w:szCs w:val="20"/>
          <w:color w:val="auto"/>
        </w:rPr>
      </w:pPr>
      <w:r>
        <w:rPr>
          <w:rFonts w:ascii="Arial" w:cs="Arial" w:eastAsia="Arial" w:hAnsi="Arial"/>
          <w:sz w:val="18"/>
          <w:szCs w:val="18"/>
          <w:color w:val="auto"/>
        </w:rPr>
        <w:t>Exercise of an Option in any manner shall result in a decrease in the number of Shares thereafter available for sale under the Option by the number of Shares as to which the Option is exercised.</w:t>
      </w:r>
    </w:p>
    <w:p>
      <w:pPr>
        <w:spacing w:after="0" w:line="64"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b w:val="1"/>
          <w:bCs w:val="1"/>
          <w:color w:val="auto"/>
        </w:rPr>
        <w:t xml:space="preserve">9.2 Termination of Relationship as a Service Provider. </w:t>
      </w:r>
      <w:r>
        <w:rPr>
          <w:rFonts w:ascii="Arial" w:cs="Arial" w:eastAsia="Arial" w:hAnsi="Arial"/>
          <w:sz w:val="16"/>
          <w:szCs w:val="16"/>
          <w:color w:val="auto"/>
        </w:rPr>
        <w:t>Except as provided below, if an Optionee ceases to be a Service Provider, such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may exercise his or her Option within such period of time as is specified in the Option Agreement (of at least thirty (30) days) to the extent that the Option is vested on the date of termination (but in no event later than the expiration of the term of the Option as set forth in the Option Agreement). In the absence of a specified time in the Option Agreement, the vested Option shall remain exercisable for three (3) months following the Optionee’s termination. If, on the date of termination, the Optionee is not vested as to his or her entire Option, the unvested portion of the Option shall terminate and the Shares covered by the unvested portion of the Option shall revert to the Plan. If, after termination, the Optionee does not exercise his or her Option within the time specified by the Administrator, the Option shall terminate, and the Shares covered by such Option shall revert to the Plan.</w:t>
      </w:r>
    </w:p>
    <w:p>
      <w:pPr>
        <w:spacing w:after="0" w:line="54" w:lineRule="exact"/>
        <w:rPr>
          <w:sz w:val="20"/>
          <w:szCs w:val="20"/>
          <w:color w:val="auto"/>
        </w:rPr>
      </w:pPr>
    </w:p>
    <w:p>
      <w:pPr>
        <w:ind w:firstLine="436"/>
        <w:spacing w:after="0" w:line="257" w:lineRule="auto"/>
        <w:rPr>
          <w:sz w:val="20"/>
          <w:szCs w:val="20"/>
          <w:color w:val="auto"/>
        </w:rPr>
      </w:pPr>
      <w:r>
        <w:rPr>
          <w:rFonts w:ascii="Arial" w:cs="Arial" w:eastAsia="Arial" w:hAnsi="Arial"/>
          <w:sz w:val="18"/>
          <w:szCs w:val="18"/>
          <w:b w:val="1"/>
          <w:bCs w:val="1"/>
          <w:color w:val="auto"/>
        </w:rPr>
        <w:t xml:space="preserve">9.3 Disability of Optionee. </w:t>
      </w:r>
      <w:r>
        <w:rPr>
          <w:rFonts w:ascii="Arial" w:cs="Arial" w:eastAsia="Arial" w:hAnsi="Arial"/>
          <w:sz w:val="18"/>
          <w:szCs w:val="18"/>
          <w:color w:val="auto"/>
        </w:rPr>
        <w:t>If an Optionee ceases to be a Service Provider as a result of the Optionee’s Disability, the Optionee may exercise his</w:t>
      </w:r>
      <w:r>
        <w:rPr>
          <w:rFonts w:ascii="Arial" w:cs="Arial" w:eastAsia="Arial" w:hAnsi="Arial"/>
          <w:sz w:val="18"/>
          <w:szCs w:val="18"/>
          <w:b w:val="1"/>
          <w:bCs w:val="1"/>
          <w:color w:val="auto"/>
        </w:rPr>
        <w:t xml:space="preserve"> </w:t>
      </w:r>
      <w:r>
        <w:rPr>
          <w:rFonts w:ascii="Arial" w:cs="Arial" w:eastAsia="Arial" w:hAnsi="Arial"/>
          <w:sz w:val="18"/>
          <w:szCs w:val="18"/>
          <w:color w:val="auto"/>
        </w:rPr>
        <w:t>or her Option within such period of time as is specified in the Option Agreement (of at least six (6) months) to the extent the Option is vested on the date of termination (but in no event later than the expiration of the term of such Option as set forth in the Option Agreement). In the absence of a specified time in the Option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68" w:right="519" w:bottom="1440" w:gutter="0" w:footer="0" w:header="0"/>
        </w:sectPr>
      </w:pPr>
    </w:p>
    <w:bookmarkStart w:id="322" w:name="page323"/>
    <w:bookmarkEnd w:id="322"/>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Agreement, the vested Option shall remain exercisable for twelve (12) months following the Optionee’s termination. If, on the date of termination, the Optionee is not vested as to his or her entire Option, the Shares covered by the unvested portion of the Option shall revert to the Plan. If, after termination, the Optionee does not exercise his or her Option within the time specified herein, the Option shall terminate, and the Shares covered by such Option shall revert to the Plan.</w:t>
      </w:r>
    </w:p>
    <w:p>
      <w:pPr>
        <w:spacing w:after="0" w:line="79"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b w:val="1"/>
          <w:bCs w:val="1"/>
          <w:color w:val="auto"/>
        </w:rPr>
        <w:t xml:space="preserve">9.4 Death of Optionee. </w:t>
      </w:r>
      <w:r>
        <w:rPr>
          <w:rFonts w:ascii="Arial" w:cs="Arial" w:eastAsia="Arial" w:hAnsi="Arial"/>
          <w:sz w:val="16"/>
          <w:szCs w:val="16"/>
          <w:color w:val="auto"/>
        </w:rPr>
        <w:t>If an Optionee dies while a Service Provider, the Option may be exercised within such period of time as is specified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Agreement (of at least six (6) months) to the extent that the Option is vested on the date of death (but in no event later than the expiration of the term of such Option as set forth in the Option Agreement) by the Optionee’s estate or by a person who acquires the right to exercise the Option by bequest or inheritance. In the absence of a specified time in the Option Agreement, the vested Option shall remain exercisable for twelve (12) months following the Optionee’s termination. If, at the time of death, the Optionee is not vested as to the entire Option, the unvested portion of the Option shall terminate and the Shares covered by the unvested portion of the Option shall immediately revert to the Plan. If the Option is not so exercised within the time specified herein, the Option shall terminate, and the Shares covered by such Option shall revert to the Plan.</w:t>
      </w:r>
    </w:p>
    <w:p>
      <w:pPr>
        <w:spacing w:after="0" w:line="54" w:lineRule="exact"/>
        <w:rPr>
          <w:sz w:val="20"/>
          <w:szCs w:val="20"/>
          <w:color w:val="auto"/>
        </w:rPr>
      </w:pPr>
    </w:p>
    <w:p>
      <w:pPr>
        <w:ind w:right="100" w:firstLine="436"/>
        <w:spacing w:after="0" w:line="252" w:lineRule="auto"/>
        <w:rPr>
          <w:sz w:val="20"/>
          <w:szCs w:val="20"/>
          <w:color w:val="auto"/>
        </w:rPr>
      </w:pPr>
      <w:r>
        <w:rPr>
          <w:rFonts w:ascii="Arial" w:cs="Arial" w:eastAsia="Arial" w:hAnsi="Arial"/>
          <w:sz w:val="18"/>
          <w:szCs w:val="18"/>
          <w:b w:val="1"/>
          <w:bCs w:val="1"/>
          <w:color w:val="auto"/>
        </w:rPr>
        <w:t xml:space="preserve">9.5 Termination for Cause, Voluntary Termination or Post-Termination Relationship with Competing Business. </w:t>
      </w:r>
      <w:r>
        <w:rPr>
          <w:rFonts w:ascii="Arial" w:cs="Arial" w:eastAsia="Arial" w:hAnsi="Arial"/>
          <w:sz w:val="18"/>
          <w:szCs w:val="18"/>
          <w:color w:val="auto"/>
        </w:rPr>
        <w:t>Notwithstanding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Sections 9.2, 9.3, or 9.4 above, in the event of a Service Provider’s Termination for Cause, in the event that an Optionee voluntary ceases to be a Service Provider, or in the event that an Optionee within the option term becomes an employee, consultant or director of a Competing Business, any Option held by the Optionee, whether vested or unvested, shall forthwith terminate. In addition to the immediate forfeiture of all Options upon the occurrence of the events specified in the preceding sentence, Optionee shall automatically forfeit all Shares underlying any exercised portion of an Option for which the Company has not yet delivered the share certificates, upon refund by the Company of the exercise price paid by the Optionee for such Shares.</w:t>
      </w:r>
    </w:p>
    <w:p>
      <w:pPr>
        <w:spacing w:after="0" w:line="84" w:lineRule="exact"/>
        <w:rPr>
          <w:sz w:val="20"/>
          <w:szCs w:val="20"/>
          <w:color w:val="auto"/>
        </w:rPr>
      </w:pPr>
    </w:p>
    <w:p>
      <w:pPr>
        <w:ind w:firstLine="7"/>
        <w:spacing w:after="0" w:line="267" w:lineRule="auto"/>
        <w:tabs>
          <w:tab w:leader="none" w:pos="267"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Non-Transferability of Options, Restricted Stock Awards and Stock Purchase Rights. </w:t>
      </w:r>
      <w:r>
        <w:rPr>
          <w:rFonts w:ascii="Arial" w:cs="Arial" w:eastAsia="Arial" w:hAnsi="Arial"/>
          <w:sz w:val="17"/>
          <w:szCs w:val="17"/>
          <w:color w:val="auto"/>
        </w:rPr>
        <w:t>A Service Provider’s rights under the Plan, including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Options, Restricted Stock Awards, Stock Purchase Rights or the right to any Shares or amounts payable, may not be assigned, pledged, or otherwise transferred except, in the event of a Service Provider’s death, by will or by the laws of descent and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Administrator may, in its discretion, at the time of grant of a Nonstatutory Stock Option or by amendment of an Option Agreement for an Incentive Stock Option or a Nonstatutory Stock Option, provide that Options granted to or held by a Service Provider may be transferred, in whole or in part, to one or more transferees and exercised by any such transferee, provided further that; (i) any such transfer must be without consideration; (ii) each transferee must be a member of such Service Provider’s Immediate Family or a trust, family limited partnership or other estate planning vehicle established for the exclusive benefit of one or more members of the Service Provider’s Immediate Family; and (iii) such transfer is specifically approved by the Administrator following the receipt of a written request for approval of the transfer; and provided further that any Incentive Stock Option which is amended to permit transfers during the lifetime of the Service Provider shall, upon the effectiveness of such amendment, be treated thereafter as a Nonstatutory Stock Option.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72" w:right="519" w:bottom="1440" w:gutter="0" w:footer="0" w:header="0"/>
        </w:sectPr>
      </w:pPr>
    </w:p>
    <w:bookmarkStart w:id="323" w:name="page324"/>
    <w:bookmarkEnd w:id="32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an Option is transferred as contemplated in this section, such transfer shall become effective when approved by the Administrator and such Option may not be subsequently transferred by the transferee other than by will or the laws of descent and distribution. Any transferred Option shall continue to be governed by and subject to the terms and conditions of this Plan and the relevant Option Agreement, and the transferee shall be entitled to the same rights as the Service Provider as if no transfer had taken place.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Purchase Rights.</w:t>
      </w:r>
    </w:p>
    <w:p>
      <w:pPr>
        <w:spacing w:after="0" w:line="114" w:lineRule="exact"/>
        <w:rPr>
          <w:sz w:val="20"/>
          <w:szCs w:val="20"/>
          <w:color w:val="auto"/>
        </w:rPr>
      </w:pPr>
    </w:p>
    <w:p>
      <w:pPr>
        <w:ind w:right="60" w:firstLine="436"/>
        <w:spacing w:after="0" w:line="273" w:lineRule="auto"/>
        <w:rPr>
          <w:sz w:val="20"/>
          <w:szCs w:val="20"/>
          <w:color w:val="auto"/>
        </w:rPr>
      </w:pPr>
      <w:r>
        <w:rPr>
          <w:rFonts w:ascii="Arial" w:cs="Arial" w:eastAsia="Arial" w:hAnsi="Arial"/>
          <w:sz w:val="17"/>
          <w:szCs w:val="17"/>
          <w:b w:val="1"/>
          <w:bCs w:val="1"/>
          <w:color w:val="auto"/>
        </w:rPr>
        <w:t xml:space="preserve">11.1 Rights to Purchase. </w:t>
      </w:r>
      <w:r>
        <w:rPr>
          <w:rFonts w:ascii="Arial" w:cs="Arial" w:eastAsia="Arial" w:hAnsi="Arial"/>
          <w:sz w:val="17"/>
          <w:szCs w:val="17"/>
          <w:color w:val="auto"/>
        </w:rPr>
        <w:t>Stock Purchase Rights may be issued either alone, in addition to, or in tandem with other awards granted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and/or cash awards made outside of the Plan. After the Administrator determines that it will offer Stock Purchase Rights under the Plan, it shall advise the offeree in writing or electronically of the terms, conditions and restrictions related to the offer, including the number of Shares that such person shall be entitled to purchase, the price to be paid, and the time within which such person must accept such offer. The offer shall be accepted by execution of a Restricted Stock Purchase Agreement in the form determined by the Administrator.</w:t>
      </w:r>
    </w:p>
    <w:p>
      <w:pPr>
        <w:spacing w:after="0" w:line="6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b w:val="1"/>
          <w:bCs w:val="1"/>
          <w:color w:val="auto"/>
        </w:rPr>
        <w:t xml:space="preserve">11.2 Repurchase Option. </w:t>
      </w:r>
      <w:r>
        <w:rPr>
          <w:rFonts w:ascii="Arial" w:cs="Arial" w:eastAsia="Arial" w:hAnsi="Arial"/>
          <w:sz w:val="18"/>
          <w:szCs w:val="18"/>
          <w:color w:val="auto"/>
        </w:rPr>
        <w:t>Unless the Administrator determines otherwise, the Restricted Stock Purchase Agreement shall grant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option exercisable upon the voluntary or involuntary termination of the purchaser’s service with the Company for any reason (including death or disability). The purchase price for Shares repurchased pursuant to the Restricted Stock Purchase Agreement shall be the original price paid by the purchaser and may be paid by cancellation of any indebtedness of the purchaser to the Company. The repurchase option shall lapse at such rate as the Administrator may determine.</w:t>
      </w:r>
    </w:p>
    <w:p>
      <w:pPr>
        <w:spacing w:after="0" w:line="77" w:lineRule="exact"/>
        <w:rPr>
          <w:sz w:val="20"/>
          <w:szCs w:val="20"/>
          <w:color w:val="auto"/>
        </w:rPr>
      </w:pPr>
    </w:p>
    <w:p>
      <w:pPr>
        <w:ind w:right="100" w:firstLine="436"/>
        <w:spacing w:after="0" w:line="275" w:lineRule="auto"/>
        <w:rPr>
          <w:sz w:val="20"/>
          <w:szCs w:val="20"/>
          <w:color w:val="auto"/>
        </w:rPr>
      </w:pPr>
      <w:r>
        <w:rPr>
          <w:rFonts w:ascii="Arial" w:cs="Arial" w:eastAsia="Arial" w:hAnsi="Arial"/>
          <w:sz w:val="18"/>
          <w:szCs w:val="18"/>
          <w:b w:val="1"/>
          <w:bCs w:val="1"/>
          <w:color w:val="auto"/>
        </w:rPr>
        <w:t xml:space="preserve">11.3 Other Provisions. </w:t>
      </w:r>
      <w:r>
        <w:rPr>
          <w:rFonts w:ascii="Arial" w:cs="Arial" w:eastAsia="Arial" w:hAnsi="Arial"/>
          <w:sz w:val="18"/>
          <w:szCs w:val="18"/>
          <w:color w:val="auto"/>
        </w:rPr>
        <w:t>The Restricted Stock Purchase Agreement shall contain such other terms, provisions and conditions not inconsistent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as may be determined by the Administrator in its sole discretion.</w:t>
      </w:r>
    </w:p>
    <w:p>
      <w:pPr>
        <w:spacing w:after="0" w:line="61" w:lineRule="exact"/>
        <w:rPr>
          <w:sz w:val="20"/>
          <w:szCs w:val="20"/>
          <w:color w:val="auto"/>
        </w:rPr>
      </w:pPr>
    </w:p>
    <w:p>
      <w:pPr>
        <w:ind w:firstLine="436"/>
        <w:spacing w:after="0" w:line="257" w:lineRule="auto"/>
        <w:rPr>
          <w:sz w:val="20"/>
          <w:szCs w:val="20"/>
          <w:color w:val="auto"/>
        </w:rPr>
      </w:pPr>
      <w:r>
        <w:rPr>
          <w:rFonts w:ascii="Arial" w:cs="Arial" w:eastAsia="Arial" w:hAnsi="Arial"/>
          <w:sz w:val="18"/>
          <w:szCs w:val="18"/>
          <w:b w:val="1"/>
          <w:bCs w:val="1"/>
          <w:color w:val="auto"/>
        </w:rPr>
        <w:t xml:space="preserve">11.4 Rights as a Shareholder. </w:t>
      </w:r>
      <w:r>
        <w:rPr>
          <w:rFonts w:ascii="Arial" w:cs="Arial" w:eastAsia="Arial" w:hAnsi="Arial"/>
          <w:sz w:val="18"/>
          <w:szCs w:val="18"/>
          <w:color w:val="auto"/>
        </w:rPr>
        <w:t>Once the Stock Purchase Right is exercised, the purchaser shall have rights equivalent to those of a shareholder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 shareholder when his or her purchase is entered upon the records of the duly authorized transfer agent of the Company. No adjustment shall be made for a dividend or other right for which the record date is prior to the date the Stock Purchase Right is exercised, except as provided in Section 14 hereof.</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Restricted Stock Awards.</w:t>
      </w:r>
    </w:p>
    <w:p>
      <w:pPr>
        <w:spacing w:after="0" w:line="114"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The Administrator may grant restricted stock awards (“</w:t>
      </w:r>
      <w:r>
        <w:rPr>
          <w:rFonts w:ascii="Arial" w:cs="Arial" w:eastAsia="Arial" w:hAnsi="Arial"/>
          <w:sz w:val="18"/>
          <w:szCs w:val="18"/>
          <w:u w:val="single" w:color="auto"/>
          <w:color w:val="auto"/>
        </w:rPr>
        <w:t>Restricted Stock Awards</w:t>
      </w:r>
      <w:r>
        <w:rPr>
          <w:rFonts w:ascii="Arial" w:cs="Arial" w:eastAsia="Arial" w:hAnsi="Arial"/>
          <w:sz w:val="18"/>
          <w:szCs w:val="18"/>
          <w:color w:val="auto"/>
        </w:rPr>
        <w:t>”) to any Service Provider or any prospective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in connection with an offer of employment or service, with such terms and conditions as determined by the Administrator. A Restricted Stock Award entitles the grantee to acquire shares of Common Stock subject to such restrictions and conditions as the Administrator may determine at the time of grant. Conditions may be based on continuing employment (or other business relationship) and/or achievement of pre-established performance goals and objectives.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324" w:name="page325"/>
    <w:bookmarkEnd w:id="324"/>
    <w:p>
      <w:pPr>
        <w:ind w:right="100" w:firstLine="436"/>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12.2 </w:t>
      </w:r>
      <w:r>
        <w:rPr>
          <w:rFonts w:ascii="Arial" w:cs="Arial" w:eastAsia="Arial" w:hAnsi="Arial"/>
          <w:sz w:val="16"/>
          <w:szCs w:val="16"/>
          <w:color w:val="auto"/>
        </w:rPr>
        <w:t>Upon execution of a written instrument setting forth the Restricted Stock Award and paying any applicable purchase price, a grantee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the rights of a shareholder with respect to the Common Stock subject to the Restricted Stock Award, including, but not limited to, the right to vote and receive dividends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shares of Common Stock subject to Restricted Stock Awards that have not vested shall be subject to the restrictions on transferability described in Section 12.4 below. Unless the Administrator shall otherwise determine, certificates evidencing the Restricted Stock shall remain in the possession of the Company until such Restricted Stock is vested as provided in Section 12.3 below.</w:t>
      </w:r>
    </w:p>
    <w:p>
      <w:pPr>
        <w:spacing w:after="0" w:line="50"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The Administrator at the time of grant shall specify the date or dates and/or the attainment of pre-established performance goals, objectives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conditions on which Restricted Stock shall become vested, subject to such further rights of the Company or its assigns as may be specified in the instrument evidencing the Restricted Stock Award. If the grantee or the Company, as the case may be, fails to achieve the designated goals or the grantee’s relationship with the Company is terminated prior to the expiration of the vesting period, the grantee shall forfeit all shares of Common Stock subject to the Restricted Stock Award which have not then vested.</w:t>
      </w:r>
    </w:p>
    <w:p>
      <w:pPr>
        <w:spacing w:after="0" w:line="77" w:lineRule="exact"/>
        <w:rPr>
          <w:sz w:val="20"/>
          <w:szCs w:val="20"/>
          <w:color w:val="auto"/>
        </w:rPr>
      </w:pPr>
    </w:p>
    <w:p>
      <w:pPr>
        <w:ind w:right="180" w:firstLine="436"/>
        <w:spacing w:after="0" w:line="306"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Shares subject to a Restricted Stock Award that have not vested may not be sold, assigned transferred, pledged or otherwise encumbered or</w:t>
      </w:r>
      <w:r>
        <w:rPr>
          <w:rFonts w:ascii="Arial" w:cs="Arial" w:eastAsia="Arial" w:hAnsi="Arial"/>
          <w:sz w:val="17"/>
          <w:szCs w:val="17"/>
          <w:b w:val="1"/>
          <w:bCs w:val="1"/>
          <w:color w:val="auto"/>
        </w:rPr>
        <w:t xml:space="preserve"> </w:t>
      </w:r>
      <w:r>
        <w:rPr>
          <w:rFonts w:ascii="Arial" w:cs="Arial" w:eastAsia="Arial" w:hAnsi="Arial"/>
          <w:sz w:val="17"/>
          <w:szCs w:val="17"/>
          <w:color w:val="auto"/>
        </w:rPr>
        <w:t>disposed of except as specifically provided herein or in the written instrument evidencing the Restricted Stock Award.</w:t>
      </w:r>
    </w:p>
    <w:p>
      <w:pPr>
        <w:spacing w:after="0" w:line="36" w:lineRule="exact"/>
        <w:rPr>
          <w:sz w:val="20"/>
          <w:szCs w:val="20"/>
          <w:color w:val="auto"/>
        </w:rPr>
      </w:pPr>
    </w:p>
    <w:p>
      <w:pPr>
        <w:ind w:firstLine="7"/>
        <w:spacing w:after="0" w:line="255" w:lineRule="auto"/>
        <w:tabs>
          <w:tab w:leader="none" w:pos="267"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The Administrator may, in its sole discretion, grant (or sell at a purchase price determined by the Administrator) Shares (a “</w:t>
      </w:r>
      <w:r>
        <w:rPr>
          <w:rFonts w:ascii="Arial" w:cs="Arial" w:eastAsia="Arial" w:hAnsi="Arial"/>
          <w:sz w:val="18"/>
          <w:szCs w:val="18"/>
          <w:u w:val="single" w:color="auto"/>
          <w:color w:val="auto"/>
        </w:rPr>
        <w:t>Stock</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Award</w:t>
      </w:r>
      <w:r>
        <w:rPr>
          <w:rFonts w:ascii="Arial" w:cs="Arial" w:eastAsia="Arial" w:hAnsi="Arial"/>
          <w:sz w:val="18"/>
          <w:szCs w:val="18"/>
          <w:color w:val="auto"/>
        </w:rPr>
        <w:t>”) to any Service Provider or any prospective Service Provider in connection with an offer of employment or service pursuant to which such individual may receive shares of Common Stock free of any vesting restrictions under the Plan. Stock Awards may be granted or sold as described in the preceding sentence in respect of past services or other valid consideration, or in lieu of any cash compensation due to such individual, with such terms and conditions as determined by the Administrator.</w:t>
      </w:r>
    </w:p>
    <w:p>
      <w:pPr>
        <w:spacing w:after="0" w:line="77" w:lineRule="exact"/>
        <w:rPr>
          <w:rFonts w:ascii="Arial" w:cs="Arial" w:eastAsia="Arial" w:hAnsi="Arial"/>
          <w:sz w:val="18"/>
          <w:szCs w:val="18"/>
          <w:b w:val="1"/>
          <w:bCs w:val="1"/>
          <w:color w:val="auto"/>
        </w:rPr>
      </w:pPr>
    </w:p>
    <w:p>
      <w:pPr>
        <w:ind w:left="280" w:hanging="273"/>
        <w:spacing w:after="0"/>
        <w:tabs>
          <w:tab w:leader="none" w:pos="28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Capitalization; Merger or Asset Sale.</w:t>
      </w:r>
    </w:p>
    <w:p>
      <w:pPr>
        <w:spacing w:after="0" w:line="114" w:lineRule="exact"/>
        <w:rPr>
          <w:sz w:val="20"/>
          <w:szCs w:val="20"/>
          <w:color w:val="auto"/>
        </w:rPr>
      </w:pPr>
    </w:p>
    <w:p>
      <w:pPr>
        <w:ind w:right="40" w:firstLine="436"/>
        <w:spacing w:after="0" w:line="285" w:lineRule="auto"/>
        <w:rPr>
          <w:sz w:val="20"/>
          <w:szCs w:val="20"/>
          <w:color w:val="auto"/>
        </w:rPr>
      </w:pPr>
      <w:r>
        <w:rPr>
          <w:rFonts w:ascii="Arial" w:cs="Arial" w:eastAsia="Arial" w:hAnsi="Arial"/>
          <w:sz w:val="16"/>
          <w:szCs w:val="16"/>
          <w:b w:val="1"/>
          <w:bCs w:val="1"/>
          <w:color w:val="auto"/>
        </w:rPr>
        <w:t xml:space="preserve">14.1 Changes in Capitalization. </w:t>
      </w:r>
      <w:r>
        <w:rPr>
          <w:rFonts w:ascii="Arial" w:cs="Arial" w:eastAsia="Arial" w:hAnsi="Arial"/>
          <w:sz w:val="16"/>
          <w:szCs w:val="16"/>
          <w:color w:val="auto"/>
        </w:rPr>
        <w:t>Subject to any required action by the shareholders of the Company, the number of Shares covered by each</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Option or Stock Purchase Right, and the number of Shares which have been authorized for issuance under the Plan but as to which no Options or Stock Purchase Rights have yet been granted or which have been returned to the Plan upon cancellation or expiration of an Option or Stock Purchase Right, as well as the price per Share covered by each such outstanding Option or Stock Purchase Right, shall be proportionately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The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or Stock Purchase Right.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68" w:right="519" w:bottom="1440" w:gutter="0" w:footer="0" w:header="0"/>
        </w:sectPr>
      </w:pPr>
    </w:p>
    <w:bookmarkStart w:id="325" w:name="page326"/>
    <w:bookmarkEnd w:id="325"/>
    <w:p>
      <w:pPr>
        <w:ind w:right="60" w:firstLine="43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14.2 Dissolution or Liquidation. </w:t>
      </w:r>
      <w:r>
        <w:rPr>
          <w:rFonts w:ascii="Arial" w:cs="Arial" w:eastAsia="Arial" w:hAnsi="Arial"/>
          <w:sz w:val="16"/>
          <w:szCs w:val="16"/>
          <w:color w:val="auto"/>
        </w:rPr>
        <w:t>In the event of the proposed dissolution or liquidation of the Company, the Administrator shall notify each</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as soon as practicable prior to the effective date of such proposed transaction. The Administrator in its discretion may provide for an Optionee to have the right to exercise his or her Option or Stock Purchase Right until fifteen (15) days prior to such transaction as to all of the Optioned Stock covered thereby, including Shares as to which the Option or Stock Purchase Right would not otherwise be exercisable. In addition, the Administrator may provide that any Company repurchase option applicable to any Shares purchased upon exercise of an Option or Stock Purchase Right shall lapse as to all such Shares, provided the proposed dissolution or liquidation takes place at the time and in the manner contemplated. To the extent it has not been previously exercised, an Option or Stock Purchase Right will terminate immediately prior to the consummation of such proposed action.</w:t>
      </w:r>
    </w:p>
    <w:p>
      <w:pPr>
        <w:spacing w:after="0" w:line="54" w:lineRule="exact"/>
        <w:rPr>
          <w:sz w:val="20"/>
          <w:szCs w:val="20"/>
          <w:color w:val="auto"/>
        </w:rPr>
      </w:pPr>
    </w:p>
    <w:p>
      <w:pPr>
        <w:ind w:right="20" w:firstLine="436"/>
        <w:spacing w:after="0" w:line="268" w:lineRule="auto"/>
        <w:rPr>
          <w:sz w:val="20"/>
          <w:szCs w:val="20"/>
          <w:color w:val="auto"/>
        </w:rPr>
      </w:pPr>
      <w:r>
        <w:rPr>
          <w:rFonts w:ascii="Arial" w:cs="Arial" w:eastAsia="Arial" w:hAnsi="Arial"/>
          <w:sz w:val="17"/>
          <w:szCs w:val="17"/>
          <w:b w:val="1"/>
          <w:bCs w:val="1"/>
          <w:color w:val="auto"/>
        </w:rPr>
        <w:t xml:space="preserve">14.3 Merger or Asset Sale. </w:t>
      </w:r>
      <w:r>
        <w:rPr>
          <w:rFonts w:ascii="Arial" w:cs="Arial" w:eastAsia="Arial" w:hAnsi="Arial"/>
          <w:sz w:val="17"/>
          <w:szCs w:val="17"/>
          <w:color w:val="auto"/>
        </w:rPr>
        <w:t>In the event of a consolidation or merger in which the Company is not the surviving corporation or which results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acquisition of substantially all the Company’s outstanding Common Stock, or shares convertible into Common Stock, by a single person or entity or by a group of persons and/or entities acting in concert, or in the event of the sale or transfer of substantially all the Company’s assets, all outstanding Options and Stock Purchase Rights shall thereupon terminate, provided that all outstanding Options and Stock Purchase Rights shall become exercisable immediately prior to consummation of such merger, consolidation or sale of assets unless, if there is a surviving or acquiring corporation, the Board has arranged, subject to consummation of the merger, consolidation or sale of assets, for the assumption of the awards or the grant to participants of replacement awards by that corporation or an affiliate of that corporation, which awards in the case of Incentive Stock Options shall satisfy the requirements of section 424(a) of the Code.</w:t>
      </w:r>
    </w:p>
    <w:p>
      <w:pPr>
        <w:spacing w:after="0" w:line="73" w:lineRule="exact"/>
        <w:rPr>
          <w:sz w:val="20"/>
          <w:szCs w:val="20"/>
          <w:color w:val="auto"/>
        </w:rPr>
      </w:pPr>
    </w:p>
    <w:p>
      <w:pPr>
        <w:ind w:right="640" w:firstLine="436"/>
        <w:spacing w:after="0" w:line="275" w:lineRule="auto"/>
        <w:rPr>
          <w:sz w:val="20"/>
          <w:szCs w:val="20"/>
          <w:color w:val="auto"/>
        </w:rPr>
      </w:pPr>
      <w:r>
        <w:rPr>
          <w:rFonts w:ascii="Arial" w:cs="Arial" w:eastAsia="Arial" w:hAnsi="Arial"/>
          <w:sz w:val="18"/>
          <w:szCs w:val="18"/>
          <w:b w:val="1"/>
          <w:bCs w:val="1"/>
          <w:color w:val="auto"/>
        </w:rPr>
        <w:t xml:space="preserve">14.4 Applicable law. </w:t>
      </w:r>
      <w:r>
        <w:rPr>
          <w:rFonts w:ascii="Arial" w:cs="Arial" w:eastAsia="Arial" w:hAnsi="Arial"/>
          <w:sz w:val="18"/>
          <w:szCs w:val="18"/>
          <w:color w:val="auto"/>
        </w:rPr>
        <w:t>No adjustment or other action shall be taken under this section14 unless it is consistent with Section 409A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w:t>
      </w:r>
    </w:p>
    <w:p>
      <w:pPr>
        <w:spacing w:after="0" w:line="61" w:lineRule="exact"/>
        <w:rPr>
          <w:sz w:val="20"/>
          <w:szCs w:val="20"/>
          <w:color w:val="auto"/>
        </w:rPr>
      </w:pPr>
    </w:p>
    <w:p>
      <w:pPr>
        <w:ind w:right="100" w:firstLine="7"/>
        <w:spacing w:after="0" w:line="257" w:lineRule="auto"/>
        <w:tabs>
          <w:tab w:leader="none" w:pos="267"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of Granting Options and Stock Purchase Rights. </w:t>
      </w:r>
      <w:r>
        <w:rPr>
          <w:rFonts w:ascii="Arial" w:cs="Arial" w:eastAsia="Arial" w:hAnsi="Arial"/>
          <w:sz w:val="18"/>
          <w:szCs w:val="18"/>
          <w:color w:val="auto"/>
        </w:rPr>
        <w:t>The date of grant of an Option or Stock Purchase Right shall, for all purposes, be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Administrator makes the determination granting such Option or Stock Purchase Right, or such other date as is determined by the Administrator. Notice of the determination shall be given to each Service Provider to whom an Option or Stock Purchase Right is so granted within a reasonable time after the date of such grant.</w:t>
      </w:r>
    </w:p>
    <w:p>
      <w:pPr>
        <w:spacing w:after="0" w:line="76" w:lineRule="exact"/>
        <w:rPr>
          <w:rFonts w:ascii="Arial" w:cs="Arial" w:eastAsia="Arial" w:hAnsi="Arial"/>
          <w:sz w:val="18"/>
          <w:szCs w:val="18"/>
          <w:b w:val="1"/>
          <w:bCs w:val="1"/>
          <w:color w:val="auto"/>
        </w:rPr>
      </w:pPr>
    </w:p>
    <w:p>
      <w:pPr>
        <w:ind w:left="280" w:hanging="273"/>
        <w:spacing w:after="0"/>
        <w:tabs>
          <w:tab w:leader="none" w:pos="28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 of the Plan.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16.1 Amendment and Termination. </w:t>
      </w:r>
      <w:r>
        <w:rPr>
          <w:rFonts w:ascii="Arial" w:cs="Arial" w:eastAsia="Arial" w:hAnsi="Arial"/>
          <w:sz w:val="18"/>
          <w:szCs w:val="18"/>
          <w:color w:val="auto"/>
        </w:rPr>
        <w:t>The Board may at any time amend, alter, suspend or terminate the Plan.</w:t>
      </w:r>
    </w:p>
    <w:p>
      <w:pPr>
        <w:spacing w:after="0" w:line="114" w:lineRule="exact"/>
        <w:rPr>
          <w:sz w:val="20"/>
          <w:szCs w:val="20"/>
          <w:color w:val="auto"/>
        </w:rPr>
      </w:pPr>
    </w:p>
    <w:p>
      <w:pPr>
        <w:ind w:firstLine="436"/>
        <w:spacing w:after="0" w:line="275" w:lineRule="auto"/>
        <w:rPr>
          <w:sz w:val="20"/>
          <w:szCs w:val="20"/>
          <w:color w:val="auto"/>
        </w:rPr>
      </w:pPr>
      <w:r>
        <w:rPr>
          <w:rFonts w:ascii="Arial" w:cs="Arial" w:eastAsia="Arial" w:hAnsi="Arial"/>
          <w:sz w:val="18"/>
          <w:szCs w:val="18"/>
          <w:b w:val="1"/>
          <w:bCs w:val="1"/>
          <w:color w:val="auto"/>
        </w:rPr>
        <w:t xml:space="preserve">16.2 Shareholder Approval. </w:t>
      </w:r>
      <w:r>
        <w:rPr>
          <w:rFonts w:ascii="Arial" w:cs="Arial" w:eastAsia="Arial" w:hAnsi="Arial"/>
          <w:sz w:val="18"/>
          <w:szCs w:val="18"/>
          <w:color w:val="auto"/>
        </w:rPr>
        <w:t>The Board shall obtain shareholder approval of any Plan amendment to the extent necessary and desirable to comply</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68" w:right="499" w:bottom="1440" w:gutter="0" w:footer="0" w:header="0"/>
        </w:sectPr>
      </w:pPr>
    </w:p>
    <w:bookmarkStart w:id="326" w:name="page327"/>
    <w:bookmarkEnd w:id="326"/>
    <w:p>
      <w:pPr>
        <w:ind w:right="120" w:firstLine="43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16.3 Effect of Amendment or Termination. </w:t>
      </w:r>
      <w:r>
        <w:rPr>
          <w:rFonts w:ascii="Arial" w:cs="Arial" w:eastAsia="Arial" w:hAnsi="Arial"/>
          <w:sz w:val="16"/>
          <w:szCs w:val="16"/>
          <w:color w:val="auto"/>
        </w:rPr>
        <w:t>No amendment, alteration, suspension or termination of the Plan shall impair the rights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unless mutually agreed otherwise between the Optionee and the Administrator, which agreement must be in writing and signed by the Optionee and the Company. Termination of the Plan shall not affect the Administrator’s ability to exercise the powers granted to it hereunder with respect to Options granted under the Plan prior to the date of such termination. Notwithstanding the foregoing or any provision of the Plan or an Award Agreement to the contrary, the Board may at any time (without the consent of any Service Provider) modify, amend or terminate any or all of the provisions of this Plan or an Award Agreement to the extent necessary to conform the provisions of the Plan and/or Award with Section 409A or any other provision of the Code or other applicable law, the regulations issued thereunder or an exception thereto, regardless of whether such modification, amendment or termination of the Plan and/or Award shall adversely affect the rights of a Service Provider.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Conditions Upon Issuance of Shares.</w:t>
      </w:r>
    </w:p>
    <w:p>
      <w:pPr>
        <w:spacing w:after="0" w:line="114" w:lineRule="exact"/>
        <w:rPr>
          <w:sz w:val="20"/>
          <w:szCs w:val="20"/>
          <w:color w:val="auto"/>
        </w:rPr>
      </w:pPr>
    </w:p>
    <w:p>
      <w:pPr>
        <w:jc w:val="both"/>
        <w:ind w:right="60" w:firstLine="436"/>
        <w:spacing w:after="0" w:line="261" w:lineRule="auto"/>
        <w:rPr>
          <w:sz w:val="20"/>
          <w:szCs w:val="20"/>
          <w:color w:val="auto"/>
        </w:rPr>
      </w:pPr>
      <w:r>
        <w:rPr>
          <w:rFonts w:ascii="Arial" w:cs="Arial" w:eastAsia="Arial" w:hAnsi="Arial"/>
          <w:sz w:val="18"/>
          <w:szCs w:val="18"/>
          <w:b w:val="1"/>
          <w:bCs w:val="1"/>
          <w:color w:val="auto"/>
        </w:rPr>
        <w:t xml:space="preserve">17.1 Legal Compliance. </w:t>
      </w:r>
      <w:r>
        <w:rPr>
          <w:rFonts w:ascii="Arial" w:cs="Arial" w:eastAsia="Arial" w:hAnsi="Arial"/>
          <w:sz w:val="18"/>
          <w:szCs w:val="18"/>
          <w:color w:val="auto"/>
        </w:rPr>
        <w:t>Shares shall not be issued pursuant to the exercise of an Option unless the exercise of such Option and the issuance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such Shares shall comply with Applicable Laws and shall be further subject to the approval of counsel for the Company with respect to such compliance.</w:t>
      </w:r>
    </w:p>
    <w:p>
      <w:pPr>
        <w:spacing w:after="0" w:line="74" w:lineRule="exact"/>
        <w:rPr>
          <w:sz w:val="20"/>
          <w:szCs w:val="20"/>
          <w:color w:val="auto"/>
        </w:rPr>
      </w:pPr>
    </w:p>
    <w:p>
      <w:pPr>
        <w:ind w:right="100" w:firstLine="436"/>
        <w:spacing w:after="0" w:line="284" w:lineRule="auto"/>
        <w:rPr>
          <w:sz w:val="20"/>
          <w:szCs w:val="20"/>
          <w:color w:val="auto"/>
        </w:rPr>
      </w:pPr>
      <w:r>
        <w:rPr>
          <w:rFonts w:ascii="Arial" w:cs="Arial" w:eastAsia="Arial" w:hAnsi="Arial"/>
          <w:sz w:val="17"/>
          <w:szCs w:val="17"/>
          <w:b w:val="1"/>
          <w:bCs w:val="1"/>
          <w:color w:val="auto"/>
        </w:rPr>
        <w:t xml:space="preserve">17.2 Investment Representations. </w:t>
      </w:r>
      <w:r>
        <w:rPr>
          <w:rFonts w:ascii="Arial" w:cs="Arial" w:eastAsia="Arial" w:hAnsi="Arial"/>
          <w:sz w:val="17"/>
          <w:szCs w:val="17"/>
          <w:color w:val="auto"/>
        </w:rPr>
        <w:t>As a condition to the exercise of an Option, the Administrator may require the person exercising such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55" w:lineRule="exact"/>
        <w:rPr>
          <w:sz w:val="20"/>
          <w:szCs w:val="20"/>
          <w:color w:val="auto"/>
        </w:rPr>
      </w:pPr>
    </w:p>
    <w:p>
      <w:pPr>
        <w:ind w:right="60" w:firstLine="7"/>
        <w:spacing w:after="0" w:line="284" w:lineRule="auto"/>
        <w:tabs>
          <w:tab w:leader="none" w:pos="267"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Inability to Obtain Authority. </w:t>
      </w:r>
      <w:r>
        <w:rPr>
          <w:rFonts w:ascii="Arial" w:cs="Arial" w:eastAsia="Arial" w:hAnsi="Arial"/>
          <w:sz w:val="17"/>
          <w:szCs w:val="17"/>
          <w:color w:val="auto"/>
        </w:rPr>
        <w:t>The inability of the Company to obtain authority from any regulatory body having jurisdiction, which authority is</w:t>
      </w:r>
      <w:r>
        <w:rPr>
          <w:rFonts w:ascii="Arial" w:cs="Arial" w:eastAsia="Arial" w:hAnsi="Arial"/>
          <w:sz w:val="17"/>
          <w:szCs w:val="17"/>
          <w:b w:val="1"/>
          <w:bCs w:val="1"/>
          <w:color w:val="auto"/>
        </w:rPr>
        <w:t xml:space="preserve"> </w:t>
      </w:r>
      <w:r>
        <w:rPr>
          <w:rFonts w:ascii="Arial" w:cs="Arial" w:eastAsia="Arial" w:hAnsi="Arial"/>
          <w:sz w:val="17"/>
          <w:szCs w:val="17"/>
          <w:color w:val="auto"/>
        </w:rPr>
        <w:t>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55" w:lineRule="exact"/>
        <w:rPr>
          <w:rFonts w:ascii="Arial" w:cs="Arial" w:eastAsia="Arial" w:hAnsi="Arial"/>
          <w:sz w:val="17"/>
          <w:szCs w:val="17"/>
          <w:b w:val="1"/>
          <w:bCs w:val="1"/>
          <w:color w:val="auto"/>
        </w:rPr>
      </w:pPr>
    </w:p>
    <w:p>
      <w:pPr>
        <w:ind w:right="180" w:firstLine="7"/>
        <w:spacing w:after="0" w:line="275" w:lineRule="auto"/>
        <w:tabs>
          <w:tab w:leader="none" w:pos="267"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Reservation of Shares. </w:t>
      </w:r>
      <w:r>
        <w:rPr>
          <w:rFonts w:ascii="Arial" w:cs="Arial" w:eastAsia="Arial" w:hAnsi="Arial"/>
          <w:sz w:val="18"/>
          <w:szCs w:val="18"/>
          <w:color w:val="auto"/>
        </w:rPr>
        <w:t>The Company, during the term of this Plan, shall at all times reserve and keep available such number of Shares as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to satisfy the requirements of the Plan.</w:t>
      </w:r>
    </w:p>
    <w:p>
      <w:pPr>
        <w:spacing w:after="0" w:line="60" w:lineRule="exact"/>
        <w:rPr>
          <w:rFonts w:ascii="Arial" w:cs="Arial" w:eastAsia="Arial" w:hAnsi="Arial"/>
          <w:sz w:val="18"/>
          <w:szCs w:val="18"/>
          <w:b w:val="1"/>
          <w:bCs w:val="1"/>
          <w:color w:val="auto"/>
        </w:rPr>
      </w:pPr>
    </w:p>
    <w:p>
      <w:pPr>
        <w:ind w:right="40" w:firstLine="7"/>
        <w:spacing w:after="0" w:line="275" w:lineRule="auto"/>
        <w:tabs>
          <w:tab w:leader="none" w:pos="267"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Approval. </w:t>
      </w:r>
      <w:r>
        <w:rPr>
          <w:rFonts w:ascii="Arial" w:cs="Arial" w:eastAsia="Arial" w:hAnsi="Arial"/>
          <w:sz w:val="18"/>
          <w:szCs w:val="18"/>
          <w:color w:val="auto"/>
        </w:rPr>
        <w:t>The Plan shall be subject to approval by the shareholders of the Company within twelve (12) months after the date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is adopted. Such shareholder approval shall be obtained in the degree and manner required under Applicable Laws.</w:t>
      </w:r>
    </w:p>
    <w:p>
      <w:pPr>
        <w:spacing w:after="0" w:line="60" w:lineRule="exact"/>
        <w:rPr>
          <w:rFonts w:ascii="Arial" w:cs="Arial" w:eastAsia="Arial" w:hAnsi="Arial"/>
          <w:sz w:val="18"/>
          <w:szCs w:val="18"/>
          <w:b w:val="1"/>
          <w:bCs w:val="1"/>
          <w:color w:val="auto"/>
        </w:rPr>
      </w:pPr>
    </w:p>
    <w:p>
      <w:pPr>
        <w:ind w:firstLine="7"/>
        <w:spacing w:after="0" w:line="277" w:lineRule="auto"/>
        <w:tabs>
          <w:tab w:leader="none" w:pos="267"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 Certain Forfeitures. </w:t>
      </w:r>
      <w:r>
        <w:rPr>
          <w:rFonts w:ascii="Arial" w:cs="Arial" w:eastAsia="Arial" w:hAnsi="Arial"/>
          <w:sz w:val="17"/>
          <w:szCs w:val="17"/>
          <w:color w:val="auto"/>
        </w:rPr>
        <w:t>Notwithstanding any other provision of the Plan to the contrary, a Service Provider (including for all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Section 21, a prospective Service Provider) shall have no right to exercise any Option or Stock Purchase Right or vest or receive payment of any Restricted Stock Award or Stock Award if: (a) the Service Provider is Terminated for Cause; or (b) if, prior to the Company’s delivery of the Shares underlying an award, the Service Provider becomes an officer or director of, a consultant to or employed by 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68" w:right="519" w:bottom="1440" w:gutter="0" w:footer="0" w:header="0"/>
        </w:sectPr>
      </w:pPr>
    </w:p>
    <w:bookmarkStart w:id="327" w:name="page328"/>
    <w:bookmarkEnd w:id="32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Competing Business. Furthermore, notwithstanding any other provision of the Plan to the contrary, in the event that a Service Provider received or receives or was or is entitled to the delivery or vesting of Shares pursuant to an award during the twelve (12) month period prior to the Service Provider’s termination from the Company or during the twelve (12) months following the Service Provider’s termination from the Company, the Company, in its sole discretion, may require the Service Provider to return or forfeit the cash and/or Shares received with respect to such award (or its economic value as of (i) the date of the exercise of Options; (ii) the date immediately following the end of the restricted period for any Restricted Stock Awards; (iii) the date immediately following the date of vesting of a Stock Purchase Right; or (iv) the date of grant with respect to Stock Awards, as the case may be) in the event that the Service Provider becomes an officer or director of, a consultant to or employed by a Competing Business within twelve (12) months of such Service Provider’s termination from the Company or, if such Service Provider was never employed by, on the Board of or engaged by the Company, within twelve (12) months of the date of grant of the amount. The Company’s right to require forfeiture under this Section 21 must be exercised within ninety (90) days after the discovery of an occurrence triggering the Administrator’s right to require forfeiture but in no event later than twenty-four (24) months after the Service Provider’s termination from the Company or, if such Service Provider was never employed by, on the Board of or engaged by the Company, within twenty four (24) months of the date of grant of the award,</w:t>
      </w:r>
    </w:p>
    <w:p>
      <w:pPr>
        <w:spacing w:after="0" w:line="58" w:lineRule="exact"/>
        <w:rPr>
          <w:sz w:val="20"/>
          <w:szCs w:val="20"/>
          <w:color w:val="auto"/>
        </w:rPr>
      </w:pPr>
    </w:p>
    <w:p>
      <w:pPr>
        <w:jc w:val="both"/>
        <w:ind w:right="300" w:firstLine="7"/>
        <w:spacing w:after="0" w:line="277" w:lineRule="auto"/>
        <w:tabs>
          <w:tab w:leader="none" w:pos="267"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Code Section 409A. </w:t>
      </w:r>
      <w:r>
        <w:rPr>
          <w:rFonts w:ascii="Arial" w:cs="Arial" w:eastAsia="Arial" w:hAnsi="Arial"/>
          <w:sz w:val="17"/>
          <w:szCs w:val="17"/>
          <w:color w:val="auto"/>
        </w:rPr>
        <w:t>Notwithstanding any provision of the Plan or an Award to the contrary, if any Award or benefit provided under this Plan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409A, the provisions of the Plan and any applicable Award shall be administered, interpreted and construed in a manner necessary to comply with Section 409A or an exception thereto (or disregarded to the extent such provision cannot be so administered, interpreted or construed). The following provisions shall apply, as applicable:</w:t>
      </w:r>
    </w:p>
    <w:p>
      <w:pPr>
        <w:spacing w:after="0" w:line="60" w:lineRule="exact"/>
        <w:rPr>
          <w:sz w:val="20"/>
          <w:szCs w:val="20"/>
          <w:color w:val="auto"/>
        </w:rPr>
      </w:pPr>
    </w:p>
    <w:p>
      <w:pPr>
        <w:ind w:right="100" w:firstLine="436"/>
        <w:spacing w:after="0" w:line="294" w:lineRule="auto"/>
        <w:rPr>
          <w:sz w:val="20"/>
          <w:szCs w:val="20"/>
          <w:color w:val="auto"/>
        </w:rPr>
      </w:pPr>
      <w:r>
        <w:rPr>
          <w:rFonts w:ascii="Arial" w:cs="Arial" w:eastAsia="Arial" w:hAnsi="Arial"/>
          <w:sz w:val="16"/>
          <w:szCs w:val="16"/>
          <w:b w:val="1"/>
          <w:bCs w:val="1"/>
          <w:color w:val="auto"/>
        </w:rPr>
        <w:t xml:space="preserve">22.1 </w:t>
      </w:r>
      <w:r>
        <w:rPr>
          <w:rFonts w:ascii="Arial" w:cs="Arial" w:eastAsia="Arial" w:hAnsi="Arial"/>
          <w:sz w:val="16"/>
          <w:szCs w:val="16"/>
          <w:color w:val="auto"/>
        </w:rPr>
        <w:t>If a Service Provider is a Specified Employee ( as defined under Section 409A) and a payment subject to Section 409A (and not excepted</w:t>
      </w:r>
      <w:r>
        <w:rPr>
          <w:rFonts w:ascii="Arial" w:cs="Arial" w:eastAsia="Arial" w:hAnsi="Arial"/>
          <w:sz w:val="16"/>
          <w:szCs w:val="16"/>
          <w:b w:val="1"/>
          <w:bCs w:val="1"/>
          <w:color w:val="auto"/>
        </w:rPr>
        <w:t xml:space="preserve"> </w:t>
      </w:r>
      <w:r>
        <w:rPr>
          <w:rFonts w:ascii="Arial" w:cs="Arial" w:eastAsia="Arial" w:hAnsi="Arial"/>
          <w:sz w:val="16"/>
          <w:szCs w:val="16"/>
          <w:color w:val="auto"/>
        </w:rPr>
        <w:t>therefrom) to the Service Provider is due upon Separation from Service, such payment shall be delayed for a period of six (6) months after the date the Service Provider Separates from Service (or, if earlier, the death of the Service Provider). Any payment that would otherwise have been due or owing during such six-month period will be paid immediately following the end of the six-month period in the month following the month containing the 6-month anniversary of the date of termination unless another compliant date is specified in the applicable agreement.</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22.2 </w:t>
      </w:r>
      <w:r>
        <w:rPr>
          <w:rFonts w:ascii="Arial" w:cs="Arial" w:eastAsia="Arial" w:hAnsi="Arial"/>
          <w:sz w:val="16"/>
          <w:szCs w:val="16"/>
          <w:color w:val="auto"/>
        </w:rPr>
        <w:t>For purposes of Section 409A, and to the extent applicable to any Award or benefit under the Plan, it is intended that distribution events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qualify as permissible distribution events for purposes of Section 409A and shall be interpreted and construed accordingly. With respect to payments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subject to Section 409A, the Company reserves the right to accelerate and/or defer any payment to the extent permitted and consistent with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Section 409A. Whether a Service Provider has Separated from Service or employment will be determined based on all of the facts and circumstances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to the extent applicable to any Award or benefit, in accordance with the guidance issued under Section 409A. For this purpose, a Service Provider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will be presumed to have experienced a Separation from Service when the level of bona fide services performed permanently decreases to a level less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than twenty percent (20%) of the average level of bona fide services performed during the immediately preceding thirty-six (36) month period or such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other applicable period as provided by Section 409A.</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480" w:top="272" w:right="579" w:bottom="1440" w:gutter="0" w:footer="0" w:header="0"/>
        </w:sectPr>
      </w:pPr>
    </w:p>
    <w:bookmarkStart w:id="328" w:name="page329"/>
    <w:bookmarkEnd w:id="328"/>
    <w:p>
      <w:pPr>
        <w:ind w:firstLine="43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22.3 </w:t>
      </w:r>
      <w:r>
        <w:rPr>
          <w:rFonts w:ascii="Arial" w:cs="Arial" w:eastAsia="Arial" w:hAnsi="Arial"/>
          <w:sz w:val="16"/>
          <w:szCs w:val="16"/>
          <w:color w:val="auto"/>
        </w:rPr>
        <w:t>The Board, in its discretion, may specify the conditions under which the payment of all or any portion of any Award may be deferred until a</w:t>
      </w:r>
      <w:r>
        <w:rPr>
          <w:rFonts w:ascii="Arial" w:cs="Arial" w:eastAsia="Arial" w:hAnsi="Arial"/>
          <w:sz w:val="16"/>
          <w:szCs w:val="16"/>
          <w:b w:val="1"/>
          <w:bCs w:val="1"/>
          <w:color w:val="auto"/>
        </w:rPr>
        <w:t xml:space="preserve"> </w:t>
      </w:r>
      <w:r>
        <w:rPr>
          <w:rFonts w:ascii="Arial" w:cs="Arial" w:eastAsia="Arial" w:hAnsi="Arial"/>
          <w:sz w:val="16"/>
          <w:szCs w:val="16"/>
          <w:color w:val="auto"/>
        </w:rPr>
        <w:t>later date. Deferrals shall be for such periods or until the occurrence of such events, and upon such terms and conditions, as the Board shall determine in its discretion, in accordance with the provisions of Section 409A, the regulations and other binding guidance promulgated thereunder; provided, however, that no deferral shall be permitted with respect to Options, Stock Appreciation Rights and other stock rights subject to Section 409A. An election shall be made by filing an election with the Company (on a form provided by the Company) on or prior to December 31st of the calendar year immediately preceding the beginning of the calendar year (or other applicable service period) to which such election relates (or at such other date as may be specified by the Board to the extent consistent with Section 409A) and shall be irrevocable for such applicable calendar year (or other applicable service period). To the extent authorized, a Service Provider who first becomes eligible to participate in the Plan may file an election (“Initial Election”) at any time prior to the 30-day period following the date on which the Service Provider initially becomes eligible to participate in the Plan (or at such other date as may be specified by the Board to the extent consistent with Section 409A). Any such Initial Election shall only apply to compensation earned and payable for services rendered after the effective date of the Election.</w:t>
      </w:r>
    </w:p>
    <w:p>
      <w:pPr>
        <w:spacing w:after="0" w:line="57" w:lineRule="exact"/>
        <w:rPr>
          <w:sz w:val="20"/>
          <w:szCs w:val="20"/>
          <w:color w:val="auto"/>
        </w:rPr>
      </w:pPr>
    </w:p>
    <w:p>
      <w:pPr>
        <w:ind w:right="160" w:firstLine="436"/>
        <w:spacing w:after="0" w:line="284" w:lineRule="auto"/>
        <w:rPr>
          <w:sz w:val="20"/>
          <w:szCs w:val="20"/>
          <w:color w:val="auto"/>
        </w:rPr>
      </w:pPr>
      <w:r>
        <w:rPr>
          <w:rFonts w:ascii="Arial" w:cs="Arial" w:eastAsia="Arial" w:hAnsi="Arial"/>
          <w:sz w:val="16"/>
          <w:szCs w:val="16"/>
          <w:b w:val="1"/>
          <w:bCs w:val="1"/>
          <w:color w:val="auto"/>
        </w:rPr>
        <w:t xml:space="preserve">22.4 </w:t>
      </w:r>
      <w:r>
        <w:rPr>
          <w:rFonts w:ascii="Arial" w:cs="Arial" w:eastAsia="Arial" w:hAnsi="Arial"/>
          <w:sz w:val="16"/>
          <w:szCs w:val="16"/>
          <w:color w:val="auto"/>
        </w:rPr>
        <w:t>The grant of Non-Qualified Stock Options, Stock Appreciation Rights and other stock rights subject to Section 409A shall be granted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consistent with Treas. Reg. § 1.409A-1(b)(5) such that any such Award does not constitute a deferral of compensation under Section 409A. Accordingly, any such Award may be granted to Employees and Eligible Directors of the Company and its subsidiaries and affiliates in which the Company has a controlling interest. In determining whether the Company has a controlling interest, the rules of Treas. Reg. §</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1.414(c)-2(b)(2)(i) shall apply; provided that the language “at least 50 percent” shall be used instead of “at least 80 percent” in each place it appears; provided, further, where legitimate business reasons exist (within the meaning of Treas. Reg. § 1.409A-1(b)(5)(iii)(E)(i)), the language “at least 20 percent” shall be used instead of “at least 80 percent” in each place it appears. The rules of Treas. Reg. §§ 1.414(c)-3 and 1.414(c)-4 shall apply for purposes of determining ownership interests.</w:t>
      </w:r>
    </w:p>
    <w:p>
      <w:pPr>
        <w:spacing w:after="0" w:line="84" w:lineRule="exact"/>
        <w:rPr>
          <w:sz w:val="20"/>
          <w:szCs w:val="20"/>
          <w:color w:val="auto"/>
        </w:rPr>
      </w:pPr>
    </w:p>
    <w:p>
      <w:pPr>
        <w:ind w:right="200" w:firstLine="436"/>
        <w:spacing w:after="0" w:line="275"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In no event shall any member of the Board, the Administrator, or the Company (or its employees, officers or directors) have any liability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Service Provider (or any other Person) due to the failure of an Award to satisfy the requirements of Section 409A.</w:t>
      </w:r>
    </w:p>
    <w:p>
      <w:pPr>
        <w:spacing w:after="0" w:line="172"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68" w:right="49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NEXTLINE MANUFACTURING CORP.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Under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STOCK OPTION PLAN</w:t>
      </w:r>
    </w:p>
    <w:p>
      <w:pPr>
        <w:spacing w:after="0" w:line="208" w:lineRule="exact"/>
        <w:rPr>
          <w:sz w:val="20"/>
          <w:szCs w:val="20"/>
          <w:color w:val="auto"/>
        </w:rPr>
      </w:pPr>
    </w:p>
    <w:p>
      <w:pPr>
        <w:ind w:right="580" w:firstLine="436"/>
        <w:spacing w:after="0" w:line="271" w:lineRule="auto"/>
        <w:rPr>
          <w:sz w:val="20"/>
          <w:szCs w:val="20"/>
          <w:color w:val="auto"/>
        </w:rPr>
      </w:pPr>
      <w:r>
        <w:rPr>
          <w:rFonts w:ascii="Arial" w:cs="Arial" w:eastAsia="Arial" w:hAnsi="Arial"/>
          <w:sz w:val="18"/>
          <w:szCs w:val="18"/>
          <w:color w:val="auto"/>
        </w:rPr>
        <w:t>Unless otherwise defined herein, each capitalized term used in this Stock Option Agreement shall have the meaning given such term in the NextLine Manufacturing Corp. 2014 Stock Option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77" w:lineRule="exact"/>
        <w:rPr>
          <w:sz w:val="20"/>
          <w:szCs w:val="20"/>
          <w:color w:val="auto"/>
        </w:rPr>
      </w:pPr>
    </w:p>
    <w:p>
      <w:pPr>
        <w:ind w:left="360" w:right="7480" w:hanging="353"/>
        <w:spacing w:after="0" w:line="399" w:lineRule="auto"/>
        <w:tabs>
          <w:tab w:leader="none" w:pos="342"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STOCK OPTION GRANT </w:t>
      </w: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-85090</wp:posOffset>
            </wp:positionV>
            <wp:extent cx="36010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3601085"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135255</wp:posOffset>
            </wp:positionV>
            <wp:extent cx="360108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3601085"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356235</wp:posOffset>
            </wp:positionV>
            <wp:extent cx="360108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3601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The undersigned Optionee has been granted an Option to purchase Common Stock of the Company, subject to the terms and conditions of the Plan and this Option Agreement, as follows:</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color w:val="auto"/>
              </w:rPr>
              <w:t>Date of Grant</w:t>
            </w:r>
          </w:p>
        </w:tc>
        <w:tc>
          <w:tcPr>
            <w:tcW w:w="26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3500" w:type="dxa"/>
            <w:vAlign w:val="bottom"/>
          </w:tcPr>
          <w:p>
            <w:pPr>
              <w:spacing w:after="0"/>
              <w:rPr>
                <w:sz w:val="17"/>
                <w:szCs w:val="17"/>
                <w:color w:val="auto"/>
              </w:rPr>
            </w:pPr>
          </w:p>
        </w:tc>
      </w:tr>
      <w:tr>
        <w:trPr>
          <w:trHeight w:val="301"/>
        </w:trPr>
        <w:tc>
          <w:tcPr>
            <w:tcW w:w="2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6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500" w:type="dxa"/>
            <w:vAlign w:val="bottom"/>
          </w:tcPr>
          <w:p>
            <w:pPr>
              <w:spacing w:after="0"/>
              <w:rPr>
                <w:sz w:val="24"/>
                <w:szCs w:val="24"/>
                <w:color w:val="auto"/>
              </w:rPr>
            </w:pPr>
          </w:p>
        </w:tc>
      </w:tr>
      <w:tr>
        <w:trPr>
          <w:trHeight w:val="301"/>
        </w:trPr>
        <w:tc>
          <w:tcPr>
            <w:tcW w:w="2380" w:type="dxa"/>
            <w:vAlign w:val="bottom"/>
          </w:tcPr>
          <w:p>
            <w:pPr>
              <w:spacing w:after="0"/>
              <w:rPr>
                <w:sz w:val="20"/>
                <w:szCs w:val="20"/>
                <w:color w:val="auto"/>
              </w:rPr>
            </w:pPr>
            <w:r>
              <w:rPr>
                <w:rFonts w:ascii="Arial" w:cs="Arial" w:eastAsia="Arial" w:hAnsi="Arial"/>
                <w:sz w:val="18"/>
                <w:szCs w:val="18"/>
                <w:color w:val="auto"/>
              </w:rPr>
              <w:t>Number of Shares Granted</w:t>
            </w:r>
          </w:p>
        </w:tc>
        <w:tc>
          <w:tcPr>
            <w:tcW w:w="26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500" w:type="dxa"/>
            <w:vAlign w:val="bottom"/>
          </w:tcPr>
          <w:p>
            <w:pPr>
              <w:spacing w:after="0"/>
              <w:rPr>
                <w:sz w:val="24"/>
                <w:szCs w:val="24"/>
                <w:color w:val="auto"/>
              </w:rPr>
            </w:pPr>
          </w:p>
        </w:tc>
      </w:tr>
      <w:tr>
        <w:trPr>
          <w:trHeight w:val="301"/>
        </w:trPr>
        <w:tc>
          <w:tcPr>
            <w:tcW w:w="2380" w:type="dxa"/>
            <w:vAlign w:val="bottom"/>
          </w:tcPr>
          <w:p>
            <w:pPr>
              <w:spacing w:after="0"/>
              <w:rPr>
                <w:sz w:val="20"/>
                <w:szCs w:val="20"/>
                <w:color w:val="auto"/>
              </w:rPr>
            </w:pPr>
            <w:r>
              <w:rPr>
                <w:rFonts w:ascii="Arial" w:cs="Arial" w:eastAsia="Arial" w:hAnsi="Arial"/>
                <w:sz w:val="18"/>
                <w:szCs w:val="18"/>
                <w:color w:val="auto"/>
              </w:rPr>
              <w:t>Total Exercise Price</w:t>
            </w:r>
          </w:p>
        </w:tc>
        <w:tc>
          <w:tcPr>
            <w:tcW w:w="26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500" w:type="dxa"/>
            <w:vAlign w:val="bottom"/>
          </w:tcPr>
          <w:p>
            <w:pPr>
              <w:spacing w:after="0"/>
              <w:rPr>
                <w:sz w:val="24"/>
                <w:szCs w:val="24"/>
                <w:color w:val="auto"/>
              </w:rPr>
            </w:pPr>
          </w:p>
        </w:tc>
      </w:tr>
      <w:tr>
        <w:trPr>
          <w:trHeight w:val="340"/>
        </w:trPr>
        <w:tc>
          <w:tcPr>
            <w:tcW w:w="2380" w:type="dxa"/>
            <w:vAlign w:val="bottom"/>
          </w:tcPr>
          <w:p>
            <w:pPr>
              <w:spacing w:after="0"/>
              <w:rPr>
                <w:sz w:val="20"/>
                <w:szCs w:val="20"/>
                <w:color w:val="auto"/>
              </w:rPr>
            </w:pPr>
            <w:r>
              <w:rPr>
                <w:rFonts w:ascii="Arial" w:cs="Arial" w:eastAsia="Arial" w:hAnsi="Arial"/>
                <w:sz w:val="18"/>
                <w:szCs w:val="18"/>
                <w:color w:val="auto"/>
              </w:rPr>
              <w:t>Type of Shares:</w:t>
            </w:r>
          </w:p>
        </w:tc>
        <w:tc>
          <w:tcPr>
            <w:tcW w:w="7940" w:type="dxa"/>
            <w:vAlign w:val="bottom"/>
            <w:gridSpan w:val="3"/>
          </w:tcPr>
          <w:p>
            <w:pPr>
              <w:ind w:left="2620"/>
              <w:spacing w:after="0"/>
              <w:rPr>
                <w:sz w:val="20"/>
                <w:szCs w:val="20"/>
                <w:color w:val="auto"/>
              </w:rPr>
            </w:pPr>
            <w:r>
              <w:rPr>
                <w:rFonts w:ascii="Arial" w:cs="Arial" w:eastAsia="Arial" w:hAnsi="Arial"/>
                <w:sz w:val="18"/>
                <w:szCs w:val="18"/>
                <w:color w:val="auto"/>
              </w:rPr>
              <w:t>Common Stock (“Common Stock”)</w:t>
            </w:r>
          </w:p>
        </w:tc>
      </w:tr>
      <w:tr>
        <w:trPr>
          <w:trHeight w:val="341"/>
        </w:trPr>
        <w:tc>
          <w:tcPr>
            <w:tcW w:w="2380" w:type="dxa"/>
            <w:vAlign w:val="bottom"/>
          </w:tcPr>
          <w:p>
            <w:pPr>
              <w:spacing w:after="0"/>
              <w:rPr>
                <w:sz w:val="20"/>
                <w:szCs w:val="20"/>
                <w:color w:val="auto"/>
              </w:rPr>
            </w:pPr>
            <w:r>
              <w:rPr>
                <w:rFonts w:ascii="Arial" w:cs="Arial" w:eastAsia="Arial" w:hAnsi="Arial"/>
                <w:sz w:val="18"/>
                <w:szCs w:val="18"/>
                <w:color w:val="auto"/>
              </w:rPr>
              <w:t>Type of Option:</w:t>
            </w:r>
          </w:p>
        </w:tc>
        <w:tc>
          <w:tcPr>
            <w:tcW w:w="7940" w:type="dxa"/>
            <w:vAlign w:val="bottom"/>
            <w:gridSpan w:val="3"/>
          </w:tcPr>
          <w:p>
            <w:pPr>
              <w:ind w:left="2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r>
      <w:tr>
        <w:trPr>
          <w:trHeight w:val="321"/>
        </w:trPr>
        <w:tc>
          <w:tcPr>
            <w:tcW w:w="2380" w:type="dxa"/>
            <w:vAlign w:val="bottom"/>
          </w:tcPr>
          <w:p>
            <w:pPr>
              <w:spacing w:after="0"/>
              <w:rPr>
                <w:sz w:val="20"/>
                <w:szCs w:val="20"/>
                <w:color w:val="auto"/>
              </w:rPr>
            </w:pPr>
            <w:r>
              <w:rPr>
                <w:rFonts w:ascii="Arial" w:cs="Arial" w:eastAsia="Arial" w:hAnsi="Arial"/>
                <w:sz w:val="18"/>
                <w:szCs w:val="18"/>
                <w:color w:val="auto"/>
              </w:rPr>
              <w:t>Nonstatutory Stock Option</w:t>
            </w:r>
          </w:p>
        </w:tc>
        <w:tc>
          <w:tcPr>
            <w:tcW w:w="7940" w:type="dxa"/>
            <w:vAlign w:val="bottom"/>
            <w:gridSpan w:val="3"/>
          </w:tcPr>
          <w:p>
            <w:pPr>
              <w:ind w:left="2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262"/>
        </w:trPr>
        <w:tc>
          <w:tcPr>
            <w:tcW w:w="2380" w:type="dxa"/>
            <w:vAlign w:val="bottom"/>
          </w:tcPr>
          <w:p>
            <w:pPr>
              <w:spacing w:after="0"/>
              <w:rPr>
                <w:sz w:val="20"/>
                <w:szCs w:val="20"/>
                <w:color w:val="auto"/>
              </w:rPr>
            </w:pPr>
            <w:r>
              <w:rPr>
                <w:rFonts w:ascii="Arial" w:cs="Arial" w:eastAsia="Arial" w:hAnsi="Arial"/>
                <w:sz w:val="18"/>
                <w:szCs w:val="18"/>
                <w:color w:val="auto"/>
              </w:rPr>
              <w:t>Term/Expiration Date:</w:t>
            </w:r>
          </w:p>
        </w:tc>
        <w:tc>
          <w:tcPr>
            <w:tcW w:w="2620" w:type="dxa"/>
            <w:vAlign w:val="bottom"/>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3500" w:type="dxa"/>
            <w:vAlign w:val="bottom"/>
          </w:tcPr>
          <w:p>
            <w:pPr>
              <w:spacing w:after="0"/>
              <w:rPr>
                <w:sz w:val="22"/>
                <w:szCs w:val="22"/>
                <w:color w:val="auto"/>
              </w:rPr>
            </w:pPr>
          </w:p>
        </w:tc>
      </w:tr>
      <w:tr>
        <w:trPr>
          <w:trHeight w:val="340"/>
        </w:trPr>
        <w:tc>
          <w:tcPr>
            <w:tcW w:w="2380" w:type="dxa"/>
            <w:vAlign w:val="bottom"/>
          </w:tcPr>
          <w:p>
            <w:pPr>
              <w:spacing w:after="0"/>
              <w:rPr>
                <w:sz w:val="20"/>
                <w:szCs w:val="20"/>
                <w:color w:val="auto"/>
              </w:rPr>
            </w:pPr>
            <w:r>
              <w:rPr>
                <w:rFonts w:ascii="Arial" w:cs="Arial" w:eastAsia="Arial" w:hAnsi="Arial"/>
                <w:sz w:val="18"/>
                <w:szCs w:val="18"/>
                <w:color w:val="auto"/>
              </w:rPr>
              <w:t>Vesting Schedule:</w:t>
            </w:r>
          </w:p>
        </w:tc>
        <w:tc>
          <w:tcPr>
            <w:tcW w:w="7940" w:type="dxa"/>
            <w:vAlign w:val="bottom"/>
            <w:gridSpan w:val="3"/>
          </w:tcPr>
          <w:p>
            <w:pPr>
              <w:ind w:left="440"/>
              <w:spacing w:after="0"/>
              <w:rPr>
                <w:sz w:val="20"/>
                <w:szCs w:val="20"/>
                <w:color w:val="auto"/>
              </w:rPr>
            </w:pPr>
            <w:r>
              <w:rPr>
                <w:rFonts w:ascii="Arial" w:cs="Arial" w:eastAsia="Arial" w:hAnsi="Arial"/>
                <w:sz w:val="18"/>
                <w:szCs w:val="18"/>
                <w:color w:val="auto"/>
              </w:rPr>
              <w:t>This Option shall become exercisable in the following installments prior to the Expiration Date:</w:t>
            </w:r>
          </w:p>
        </w:tc>
      </w:tr>
      <w:tr>
        <w:trPr>
          <w:trHeight w:val="321"/>
        </w:trPr>
        <w:tc>
          <w:tcPr>
            <w:tcW w:w="2380" w:type="dxa"/>
            <w:vAlign w:val="bottom"/>
          </w:tcPr>
          <w:p>
            <w:pPr>
              <w:spacing w:after="0"/>
              <w:rPr>
                <w:sz w:val="24"/>
                <w:szCs w:val="24"/>
                <w:color w:val="auto"/>
              </w:rPr>
            </w:pPr>
          </w:p>
        </w:tc>
        <w:tc>
          <w:tcPr>
            <w:tcW w:w="7940" w:type="dxa"/>
            <w:vAlign w:val="bottom"/>
            <w:gridSpan w:val="3"/>
          </w:tcPr>
          <w:p>
            <w:pPr>
              <w:ind w:left="440"/>
              <w:spacing w:after="0"/>
              <w:rPr>
                <w:sz w:val="20"/>
                <w:szCs w:val="20"/>
                <w:color w:val="auto"/>
              </w:rPr>
            </w:pPr>
            <w:r>
              <w:rPr>
                <w:rFonts w:ascii="Arial" w:cs="Arial" w:eastAsia="Arial" w:hAnsi="Arial"/>
                <w:sz w:val="18"/>
                <w:szCs w:val="18"/>
                <w:color w:val="auto"/>
                <w:w w:val="91"/>
              </w:rPr>
              <w:t>1)  25.0% of the Shares constituting the Option on the twelve-month anniversary of the Grant Date; and</w:t>
            </w:r>
          </w:p>
        </w:tc>
      </w:tr>
      <w:tr>
        <w:trPr>
          <w:trHeight w:val="321"/>
        </w:trPr>
        <w:tc>
          <w:tcPr>
            <w:tcW w:w="2380" w:type="dxa"/>
            <w:vAlign w:val="bottom"/>
          </w:tcPr>
          <w:p>
            <w:pPr>
              <w:spacing w:after="0"/>
              <w:rPr>
                <w:sz w:val="24"/>
                <w:szCs w:val="24"/>
                <w:color w:val="auto"/>
              </w:rPr>
            </w:pPr>
          </w:p>
        </w:tc>
        <w:tc>
          <w:tcPr>
            <w:tcW w:w="7940" w:type="dxa"/>
            <w:vAlign w:val="bottom"/>
            <w:gridSpan w:val="3"/>
          </w:tcPr>
          <w:p>
            <w:pPr>
              <w:ind w:left="440"/>
              <w:spacing w:after="0"/>
              <w:rPr>
                <w:sz w:val="20"/>
                <w:szCs w:val="20"/>
                <w:color w:val="auto"/>
              </w:rPr>
            </w:pPr>
            <w:r>
              <w:rPr>
                <w:rFonts w:ascii="Arial" w:cs="Arial" w:eastAsia="Arial" w:hAnsi="Arial"/>
                <w:sz w:val="18"/>
                <w:szCs w:val="18"/>
                <w:color w:val="auto"/>
              </w:rPr>
              <w:t>2)  thereafter, at a rate of 1/48 of the Shares constituting the Option per month;</w:t>
            </w:r>
          </w:p>
        </w:tc>
      </w:tr>
      <w:tr>
        <w:trPr>
          <w:trHeight w:val="361"/>
        </w:trPr>
        <w:tc>
          <w:tcPr>
            <w:tcW w:w="2380" w:type="dxa"/>
            <w:vAlign w:val="bottom"/>
          </w:tcPr>
          <w:p>
            <w:pPr>
              <w:spacing w:after="0"/>
              <w:rPr>
                <w:sz w:val="24"/>
                <w:szCs w:val="24"/>
                <w:color w:val="auto"/>
              </w:rPr>
            </w:pPr>
          </w:p>
        </w:tc>
        <w:tc>
          <w:tcPr>
            <w:tcW w:w="4440" w:type="dxa"/>
            <w:vAlign w:val="bottom"/>
            <w:gridSpan w:val="2"/>
          </w:tcPr>
          <w:p>
            <w:pPr>
              <w:ind w:left="2680"/>
              <w:spacing w:after="0"/>
              <w:rPr>
                <w:sz w:val="20"/>
                <w:szCs w:val="20"/>
                <w:color w:val="auto"/>
              </w:rPr>
            </w:pPr>
            <w:r>
              <w:rPr>
                <w:rFonts w:ascii="Arial" w:cs="Arial" w:eastAsia="Arial" w:hAnsi="Arial"/>
                <w:sz w:val="18"/>
                <w:szCs w:val="18"/>
                <w:color w:val="auto"/>
              </w:rPr>
              <w:t>1</w:t>
            </w:r>
          </w:p>
        </w:tc>
        <w:tc>
          <w:tcPr>
            <w:tcW w:w="3500" w:type="dxa"/>
            <w:vAlign w:val="bottom"/>
          </w:tcPr>
          <w:p>
            <w:pPr>
              <w:spacing w:after="0"/>
              <w:rPr>
                <w:sz w:val="24"/>
                <w:szCs w:val="24"/>
                <w:color w:val="auto"/>
              </w:rPr>
            </w:pPr>
          </w:p>
        </w:tc>
      </w:tr>
    </w:tbl>
    <w:p>
      <w:pPr>
        <w:sectPr>
          <w:pgSz w:w="11900" w:h="16838" w:orient="portrait"/>
          <w:cols w:equalWidth="0" w:num="1">
            <w:col w:w="10920"/>
          </w:cols>
          <w:pgMar w:left="480" w:top="121" w:right="499" w:bottom="1440" w:gutter="0" w:footer="0" w:header="0"/>
        </w:sectPr>
      </w:pPr>
    </w:p>
    <w:bookmarkStart w:id="330" w:name="page331"/>
    <w:bookmarkEnd w:id="330"/>
    <w:p>
      <w:pPr>
        <w:ind w:left="360"/>
        <w:spacing w:after="0"/>
        <w:rPr>
          <w:sz w:val="20"/>
          <w:szCs w:val="20"/>
          <w:color w:val="auto"/>
        </w:rPr>
      </w:pPr>
      <w:r>
        <w:rPr>
          <w:rFonts w:ascii="Arial" w:cs="Arial" w:eastAsia="Arial" w:hAnsi="Arial"/>
          <w:sz w:val="16"/>
          <w:szCs w:val="16"/>
          <w:color w:val="auto"/>
        </w:rPr>
        <w:t>Termination Period</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8"/>
          <w:szCs w:val="18"/>
          <w:color w:val="auto"/>
        </w:rPr>
        <w:t>If Optionee ceases to be a Service Provider for any reason, the portion of this Option that is not vested shall expire immediately. In no event, however, may Optionee exercise this Option after the Term/Expiration Date as provided above. Notwithstanding the foregoing, all Options shall immediately expire in the event of the Service Provider’s Termination for Cause, in the event that an Optionee voluntary ceases to be a Service Provider, or in the event that an Optionee within the option term becomes an employee, consultant or director of a Competing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-911860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2460" w:space="720"/>
            <w:col w:w="7700"/>
          </w:cols>
          <w:pgMar w:left="480" w:top="272" w:right="539" w:bottom="1440" w:gutter="0" w:footer="0" w:header="0"/>
        </w:sectPr>
      </w:pPr>
    </w:p>
    <w:p>
      <w:pPr>
        <w:ind w:left="440" w:hanging="433"/>
        <w:spacing w:after="0"/>
        <w:tabs>
          <w:tab w:leader="none" w:pos="4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AGREEMENT</w:t>
      </w:r>
    </w:p>
    <w:p>
      <w:pPr>
        <w:spacing w:after="0" w:line="117" w:lineRule="exact"/>
        <w:rPr>
          <w:rFonts w:ascii="Arial" w:cs="Arial" w:eastAsia="Arial" w:hAnsi="Arial"/>
          <w:sz w:val="18"/>
          <w:szCs w:val="18"/>
          <w:b w:val="1"/>
          <w:bCs w:val="1"/>
          <w:color w:val="auto"/>
        </w:rPr>
      </w:pPr>
    </w:p>
    <w:p>
      <w:pPr>
        <w:ind w:firstLine="444"/>
        <w:spacing w:after="0" w:line="253" w:lineRule="auto"/>
        <w:tabs>
          <w:tab w:leader="none" w:pos="615"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Plan Administrator of the Company hereby grants to the Optionee named in Section I above (the “</w:t>
      </w:r>
      <w:r>
        <w:rPr>
          <w:rFonts w:ascii="Arial" w:cs="Arial" w:eastAsia="Arial" w:hAnsi="Arial"/>
          <w:sz w:val="18"/>
          <w:szCs w:val="18"/>
          <w:u w:val="single" w:color="auto"/>
          <w:color w:val="auto"/>
        </w:rPr>
        <w:t>Optionee</w:t>
      </w:r>
      <w:r>
        <w:rPr>
          <w:rFonts w:ascii="Arial" w:cs="Arial" w:eastAsia="Arial" w:hAnsi="Arial"/>
          <w:sz w:val="18"/>
          <w:szCs w:val="18"/>
          <w:color w:val="auto"/>
        </w:rPr>
        <w:t>”) in the Notice of Stock Option Grant (the “</w:t>
      </w:r>
      <w:r>
        <w:rPr>
          <w:rFonts w:ascii="Arial" w:cs="Arial" w:eastAsia="Arial" w:hAnsi="Arial"/>
          <w:sz w:val="18"/>
          <w:szCs w:val="18"/>
          <w:u w:val="single" w:color="auto"/>
          <w:color w:val="auto"/>
        </w:rPr>
        <w:t>Notice of Grant</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the number of Shares set forth in the Notice of Grant, at the exercise price per Share set forth in the Notice of Grant (the “</w:t>
      </w:r>
      <w:r>
        <w:rPr>
          <w:rFonts w:ascii="Arial" w:cs="Arial" w:eastAsia="Arial" w:hAnsi="Arial"/>
          <w:sz w:val="18"/>
          <w:szCs w:val="18"/>
          <w:u w:val="single" w:color="auto"/>
          <w:color w:val="auto"/>
        </w:rPr>
        <w:t>Exercise Price</w:t>
      </w:r>
      <w:r>
        <w:rPr>
          <w:rFonts w:ascii="Arial" w:cs="Arial" w:eastAsia="Arial" w:hAnsi="Arial"/>
          <w:sz w:val="18"/>
          <w:szCs w:val="18"/>
          <w:color w:val="auto"/>
        </w:rPr>
        <w:t>”), and subject to the terms and conditions of the Plan, which is incorporated herein by reference. Subject to subsection 16.3 of the Plan, in the event of a conflict between the terms and conditions of the Plan and this Option Agreement, the terms and conditions of the Plan shall prevail.</w:t>
      </w:r>
    </w:p>
    <w:p>
      <w:pPr>
        <w:spacing w:after="0" w:line="193" w:lineRule="exact"/>
        <w:rPr>
          <w:sz w:val="20"/>
          <w:szCs w:val="20"/>
          <w:color w:val="auto"/>
        </w:rPr>
      </w:pPr>
    </w:p>
    <w:p>
      <w:pPr>
        <w:jc w:val="both"/>
        <w:ind w:right="100" w:firstLine="982"/>
        <w:spacing w:after="0" w:line="259" w:lineRule="auto"/>
        <w:rPr>
          <w:sz w:val="20"/>
          <w:szCs w:val="20"/>
          <w:color w:val="auto"/>
        </w:rPr>
      </w:pPr>
      <w:r>
        <w:rPr>
          <w:rFonts w:ascii="Arial" w:cs="Arial" w:eastAsia="Arial" w:hAnsi="Arial"/>
          <w:sz w:val="18"/>
          <w:szCs w:val="18"/>
          <w:color w:val="auto"/>
        </w:rPr>
        <w:t>If designated in the Notice of Grant as an Incentive Stock Option (“</w:t>
      </w:r>
      <w:r>
        <w:rPr>
          <w:rFonts w:ascii="Arial" w:cs="Arial" w:eastAsia="Arial" w:hAnsi="Arial"/>
          <w:sz w:val="18"/>
          <w:szCs w:val="18"/>
          <w:u w:val="single" w:color="auto"/>
          <w:color w:val="auto"/>
        </w:rPr>
        <w:t>ISO</w:t>
      </w:r>
      <w:r>
        <w:rPr>
          <w:rFonts w:ascii="Arial" w:cs="Arial" w:eastAsia="Arial" w:hAnsi="Arial"/>
          <w:sz w:val="18"/>
          <w:szCs w:val="18"/>
          <w:color w:val="auto"/>
        </w:rPr>
        <w:t>”), this Option is intended to qualify as an Incentive Stock Option as defined in Section 422 of the Code. Nevertheless, to the extent that the Option fails to meet the requirements of an ISO under Code Section 422, this Option shall be treated as a Nonstatutory Stock Option (“</w:t>
      </w:r>
      <w:r>
        <w:rPr>
          <w:rFonts w:ascii="Arial" w:cs="Arial" w:eastAsia="Arial" w:hAnsi="Arial"/>
          <w:sz w:val="18"/>
          <w:szCs w:val="18"/>
          <w:u w:val="single" w:color="auto"/>
          <w:color w:val="auto"/>
        </w:rPr>
        <w:t>NSO</w:t>
      </w:r>
      <w:r>
        <w:rPr>
          <w:rFonts w:ascii="Arial" w:cs="Arial" w:eastAsia="Arial" w:hAnsi="Arial"/>
          <w:sz w:val="18"/>
          <w:szCs w:val="18"/>
          <w:color w:val="auto"/>
        </w:rPr>
        <w:t>”).</w:t>
      </w:r>
    </w:p>
    <w:p>
      <w:pPr>
        <w:spacing w:after="0" w:line="79" w:lineRule="exact"/>
        <w:rPr>
          <w:sz w:val="20"/>
          <w:szCs w:val="20"/>
          <w:color w:val="auto"/>
        </w:rPr>
      </w:pPr>
    </w:p>
    <w:p>
      <w:pPr>
        <w:ind w:left="620" w:hanging="176"/>
        <w:spacing w:after="0"/>
        <w:tabs>
          <w:tab w:leader="none" w:pos="62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320" w:firstLine="990"/>
        <w:spacing w:after="0" w:line="271" w:lineRule="auto"/>
        <w:tabs>
          <w:tab w:leader="none" w:pos="122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Notice of Grant and with the applicable provisions of the Plan and this Option Agreement.</w:t>
      </w:r>
    </w:p>
    <w:p>
      <w:pPr>
        <w:spacing w:after="0" w:line="67" w:lineRule="exact"/>
        <w:rPr>
          <w:rFonts w:ascii="Arial" w:cs="Arial" w:eastAsia="Arial" w:hAnsi="Arial"/>
          <w:sz w:val="18"/>
          <w:szCs w:val="18"/>
          <w:color w:val="auto"/>
        </w:rPr>
      </w:pPr>
    </w:p>
    <w:p>
      <w:pPr>
        <w:ind w:right="20" w:firstLine="990"/>
        <w:spacing w:after="0" w:line="253" w:lineRule="auto"/>
        <w:tabs>
          <w:tab w:leader="none" w:pos="123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This Option shall be exercisable by delivery of an exercise notice in the form attached as Exhibit A (the “</w:t>
      </w: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which shall state the election to exercise the Option, the number of Shares with respect to which the Option is being exercised, and such other representations and agreements as may be required by the Company. The Exercise Notice shall be accompanied by payment of the aggregate Exercise Price as to all Exercised Shares. This Option shall be deemed to be exercised upon receipt by the Company of such fully executed Exercise Notice accompanied by the aggregate Exercise Price.</w:t>
      </w:r>
    </w:p>
    <w:p>
      <w:pPr>
        <w:spacing w:after="0" w:line="193" w:lineRule="exact"/>
        <w:rPr>
          <w:sz w:val="20"/>
          <w:szCs w:val="20"/>
          <w:color w:val="auto"/>
        </w:rPr>
      </w:pPr>
    </w:p>
    <w:p>
      <w:pPr>
        <w:ind w:right="220" w:firstLine="982"/>
        <w:spacing w:after="0" w:line="259"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complies with Applicable Laws. Assuming such compliance, for income tax purposes the Shares shall be considered transferred to the Optionee on the date on which the Option is exercised with respect to such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80" w:top="272" w:right="539" w:bottom="1440" w:gutter="0" w:footer="0" w:header="0"/>
          <w:type w:val="continuous"/>
        </w:sectPr>
      </w:pPr>
    </w:p>
    <w:bookmarkStart w:id="331" w:name="page332"/>
    <w:bookmarkEnd w:id="331"/>
    <w:p>
      <w:pPr>
        <w:ind w:right="280" w:firstLine="444"/>
        <w:spacing w:after="0" w:line="281" w:lineRule="auto"/>
        <w:tabs>
          <w:tab w:leader="none" w:pos="615"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Optionee’s Representations</w:t>
      </w:r>
      <w:r>
        <w:rPr>
          <w:rFonts w:ascii="Arial" w:cs="Arial" w:eastAsia="Arial" w:hAnsi="Arial"/>
          <w:sz w:val="17"/>
          <w:szCs w:val="17"/>
          <w:color w:val="auto"/>
        </w:rPr>
        <w:t>. In the event the Shares have not been registered under the Securities Act of 1933, as amended, at the time this Option is exercised, the Optionee shall, if required by the Company, concurrently with the exercise of all or any portion of this Option, deliver to the Company his or her Investment Representation Statement in the form attached hereto as Exhibit B.</w:t>
      </w:r>
    </w:p>
    <w:p>
      <w:pPr>
        <w:spacing w:after="0" w:line="62" w:lineRule="exact"/>
        <w:rPr>
          <w:rFonts w:ascii="Arial" w:cs="Arial" w:eastAsia="Arial" w:hAnsi="Arial"/>
          <w:sz w:val="17"/>
          <w:szCs w:val="17"/>
          <w:color w:val="auto"/>
        </w:rPr>
      </w:pPr>
    </w:p>
    <w:p>
      <w:pPr>
        <w:ind w:firstLine="444"/>
        <w:spacing w:after="0" w:line="251" w:lineRule="auto"/>
        <w:tabs>
          <w:tab w:leader="none" w:pos="61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Lock-Up Period</w:t>
      </w:r>
      <w:r>
        <w:rPr>
          <w:rFonts w:ascii="Arial" w:cs="Arial" w:eastAsia="Arial" w:hAnsi="Arial"/>
          <w:sz w:val="18"/>
          <w:szCs w:val="18"/>
          <w:color w:val="auto"/>
        </w:rPr>
        <w:t>. Optionee hereby agrees that, if so requested by the Company or any representative of the underwriters (the “</w:t>
      </w:r>
      <w:r>
        <w:rPr>
          <w:rFonts w:ascii="Arial" w:cs="Arial" w:eastAsia="Arial" w:hAnsi="Arial"/>
          <w:sz w:val="18"/>
          <w:szCs w:val="18"/>
          <w:u w:val="single" w:color="auto"/>
          <w:color w:val="auto"/>
        </w:rPr>
        <w:t>Managing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Underwriter</w:t>
      </w:r>
      <w:r>
        <w:rPr>
          <w:rFonts w:ascii="Arial" w:cs="Arial" w:eastAsia="Arial" w:hAnsi="Arial"/>
          <w:sz w:val="18"/>
          <w:szCs w:val="18"/>
          <w:color w:val="auto"/>
        </w:rPr>
        <w:t>”) in connection with any registration of the offering of any securities of the Company under the Securities Act, Optionee shall not sell or otherwise transfer any Shares or other securities of the Company during the 180-day period (or such other period as may be requested in writing by the Managing Underwriter and agreed to in writing by the Company) (the “</w:t>
      </w:r>
      <w:r>
        <w:rPr>
          <w:rFonts w:ascii="Arial" w:cs="Arial" w:eastAsia="Arial" w:hAnsi="Arial"/>
          <w:sz w:val="18"/>
          <w:szCs w:val="18"/>
          <w:u w:val="single" w:color="auto"/>
          <w:color w:val="auto"/>
        </w:rPr>
        <w:t>Market Standoff Period</w:t>
      </w:r>
      <w:r>
        <w:rPr>
          <w:rFonts w:ascii="Arial" w:cs="Arial" w:eastAsia="Arial" w:hAnsi="Arial"/>
          <w:sz w:val="18"/>
          <w:szCs w:val="18"/>
          <w:color w:val="auto"/>
        </w:rPr>
        <w:t>”) following the effective date of a registration statement of the Company filed under the Securities Act. Such restriction shall apply only to the first registration statement of the Company to become effective under the Securities Act that includes securities to be sold on behalf of the Company to the public in an underwritten public offering under the Securities Act. The Company may impose stop-transfer instructions with respect to securities subject to the foregoing restrictions until the end of such Market Standoff Period.</w:t>
      </w:r>
    </w:p>
    <w:p>
      <w:pPr>
        <w:spacing w:after="0" w:line="87" w:lineRule="exact"/>
        <w:rPr>
          <w:rFonts w:ascii="Arial" w:cs="Arial" w:eastAsia="Arial" w:hAnsi="Arial"/>
          <w:sz w:val="18"/>
          <w:szCs w:val="18"/>
          <w:color w:val="auto"/>
        </w:rPr>
      </w:pPr>
    </w:p>
    <w:p>
      <w:pPr>
        <w:ind w:right="160" w:firstLine="444"/>
        <w:spacing w:after="0" w:line="271" w:lineRule="auto"/>
        <w:tabs>
          <w:tab w:leader="none" w:pos="61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aggregate Exercise Price shall be by any of the following, or a combination thereof, at the election of the Optionee:</w:t>
      </w:r>
    </w:p>
    <w:p>
      <w:pPr>
        <w:spacing w:after="0" w:line="67" w:lineRule="exact"/>
        <w:rPr>
          <w:rFonts w:ascii="Arial" w:cs="Arial" w:eastAsia="Arial" w:hAnsi="Arial"/>
          <w:sz w:val="18"/>
          <w:szCs w:val="18"/>
          <w:color w:val="auto"/>
        </w:rPr>
      </w:pPr>
    </w:p>
    <w:p>
      <w:pPr>
        <w:ind w:left="1240" w:hanging="250"/>
        <w:spacing w:after="0"/>
        <w:tabs>
          <w:tab w:leader="none" w:pos="12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or</w:t>
      </w:r>
    </w:p>
    <w:p>
      <w:pPr>
        <w:spacing w:after="0" w:line="101" w:lineRule="exact"/>
        <w:rPr>
          <w:rFonts w:ascii="Arial" w:cs="Arial" w:eastAsia="Arial" w:hAnsi="Arial"/>
          <w:sz w:val="16"/>
          <w:szCs w:val="16"/>
          <w:color w:val="auto"/>
        </w:rPr>
      </w:pPr>
    </w:p>
    <w:p>
      <w:pPr>
        <w:ind w:right="40" w:firstLine="990"/>
        <w:spacing w:after="0" w:line="259" w:lineRule="auto"/>
        <w:tabs>
          <w:tab w:leader="none" w:pos="122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surrender of other Shares which, (i) in the case of Shares acquired upon exercise of a stock option, have been owned by the Optionee for more than six (6) months on the date of surrender, and (ii) have a Fair Market Value on the date of surrender equal to the aggregate Exercise Price of the Exercised Shares.</w:t>
      </w:r>
    </w:p>
    <w:p>
      <w:pPr>
        <w:spacing w:after="0" w:line="78" w:lineRule="exact"/>
        <w:rPr>
          <w:rFonts w:ascii="Arial" w:cs="Arial" w:eastAsia="Arial" w:hAnsi="Arial"/>
          <w:sz w:val="18"/>
          <w:szCs w:val="18"/>
          <w:color w:val="auto"/>
        </w:rPr>
      </w:pPr>
    </w:p>
    <w:p>
      <w:pPr>
        <w:ind w:right="80" w:firstLine="444"/>
        <w:spacing w:after="0" w:line="259" w:lineRule="auto"/>
        <w:tabs>
          <w:tab w:leader="none" w:pos="61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such time as the Plan has been approved by the shareholders of the Company, or if the issuance of such Shares upon such exercise or the method of payment of consideration for such shares would constitute a violation of any Applicable Law.</w:t>
      </w:r>
    </w:p>
    <w:p>
      <w:pPr>
        <w:spacing w:after="0" w:line="78" w:lineRule="exact"/>
        <w:rPr>
          <w:rFonts w:ascii="Arial" w:cs="Arial" w:eastAsia="Arial" w:hAnsi="Arial"/>
          <w:sz w:val="18"/>
          <w:szCs w:val="18"/>
          <w:color w:val="auto"/>
        </w:rPr>
      </w:pPr>
    </w:p>
    <w:p>
      <w:pPr>
        <w:jc w:val="both"/>
        <w:ind w:right="240" w:firstLine="444"/>
        <w:spacing w:after="0" w:line="255" w:lineRule="auto"/>
        <w:tabs>
          <w:tab w:leader="none" w:pos="61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 than by will or by the laws of descent or distribution and may be exercised during the lifetime of Optionee only by Optionee; provided, however, that Administrator may, in its discretion, approve certain other transfers as set forth in Section 10 of the Plan. The terms of the Plan and this Option Agreement shall be binding upon the executors, administrators, heirs, successors and assigns of the Optionee.</w:t>
      </w:r>
    </w:p>
    <w:p>
      <w:pPr>
        <w:spacing w:after="0" w:line="83" w:lineRule="exact"/>
        <w:rPr>
          <w:rFonts w:ascii="Arial" w:cs="Arial" w:eastAsia="Arial" w:hAnsi="Arial"/>
          <w:sz w:val="18"/>
          <w:szCs w:val="18"/>
          <w:color w:val="auto"/>
        </w:rPr>
      </w:pPr>
    </w:p>
    <w:p>
      <w:pPr>
        <w:ind w:right="60" w:firstLine="444"/>
        <w:spacing w:after="0" w:line="271" w:lineRule="auto"/>
        <w:tabs>
          <w:tab w:leader="none" w:pos="61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Option.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80" w:top="272" w:right="539" w:bottom="1440" w:gutter="0" w:footer="0" w:header="0"/>
        </w:sectPr>
      </w:pPr>
    </w:p>
    <w:bookmarkStart w:id="332" w:name="page333"/>
    <w:bookmarkEnd w:id="332"/>
    <w:p>
      <w:pPr>
        <w:ind w:firstLine="444"/>
        <w:spacing w:after="0" w:line="269" w:lineRule="auto"/>
        <w:tabs>
          <w:tab w:leader="none" w:pos="615"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Company Repurchase Rights</w:t>
      </w:r>
      <w:r>
        <w:rPr>
          <w:rFonts w:ascii="Arial" w:cs="Arial" w:eastAsia="Arial" w:hAnsi="Arial"/>
          <w:sz w:val="17"/>
          <w:szCs w:val="17"/>
          <w:color w:val="auto"/>
        </w:rPr>
        <w:t>. Optionee understands and agrees that, prior to the initial, underwritten public offering by the Company of its Shares, the Company shall have the absolute right to repurchase any of Optionee’s Shares within twelve (12) months of the date on which Optionee ceases, for any reason, to be a Service Provider. The purchase price to be paid by the Company for such Shares shall be as follows. In the event of the Service Provider’s Termination for Cause, or in the event that the Optionee breaches in any material respect any noncompete or nondisclosure agreement or becomes an employee, consultant or director of a Competing Business (as defined in the Plan) within twelve (12) months of ceasing to be a Service Provider, the purchase price shall be the price, if any, that the Optionee paid the Company for such Shares. In all other instances, the purchase price will be the equal to the Fair Market Value of the Common Stock.</w:t>
      </w:r>
    </w:p>
    <w:p>
      <w:pPr>
        <w:spacing w:after="0" w:line="71" w:lineRule="exact"/>
        <w:rPr>
          <w:rFonts w:ascii="Arial" w:cs="Arial" w:eastAsia="Arial" w:hAnsi="Arial"/>
          <w:sz w:val="17"/>
          <w:szCs w:val="17"/>
          <w:color w:val="auto"/>
        </w:rPr>
      </w:pPr>
    </w:p>
    <w:p>
      <w:pPr>
        <w:ind w:right="80" w:firstLine="444"/>
        <w:spacing w:after="0" w:line="255" w:lineRule="auto"/>
        <w:tabs>
          <w:tab w:leader="none" w:pos="704"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Set forth below is a brief summary as of the date of this Option of some of the federal tax consequences of exercise of this Option and disposition of the Shares. THIS SUMMARY IS NECESSARILY INCOMPLETE, AND THE TAX LAWS AND REGULATIONS ARE SUBJECT TO CHANGE. THE OPTIONEE SHOULD CONSULT A TAX ADVISER BEFORE EXERCISING THIS OPTION OR DISPOSING OF THE SHARES.</w:t>
      </w:r>
    </w:p>
    <w:p>
      <w:pPr>
        <w:spacing w:after="0" w:line="83" w:lineRule="exact"/>
        <w:rPr>
          <w:rFonts w:ascii="Arial" w:cs="Arial" w:eastAsia="Arial" w:hAnsi="Arial"/>
          <w:sz w:val="18"/>
          <w:szCs w:val="18"/>
          <w:color w:val="auto"/>
        </w:rPr>
      </w:pPr>
    </w:p>
    <w:p>
      <w:pPr>
        <w:ind w:right="60" w:firstLine="990"/>
        <w:spacing w:after="0" w:line="307" w:lineRule="auto"/>
        <w:tabs>
          <w:tab w:leader="none" w:pos="1224"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Exercise of ISO</w:t>
      </w:r>
      <w:r>
        <w:rPr>
          <w:rFonts w:ascii="Arial" w:cs="Arial" w:eastAsia="Arial" w:hAnsi="Arial"/>
          <w:sz w:val="16"/>
          <w:szCs w:val="16"/>
          <w:color w:val="auto"/>
        </w:rPr>
        <w:t>. If this Option qualifies as an ISO, there will be no regular federal income tax liability upon the exercise of the Option, although the excess, if any, of the Fair Market Value of the Shares on the date of exercise over the Exercise Price will be treated as an adjustment to the alternative minimum tax for federal tax purposes and may subject the Optionee to the alternative minimum tax in the year of exercise.</w:t>
      </w:r>
    </w:p>
    <w:p>
      <w:pPr>
        <w:spacing w:after="0" w:line="42" w:lineRule="exact"/>
        <w:rPr>
          <w:rFonts w:ascii="Arial" w:cs="Arial" w:eastAsia="Arial" w:hAnsi="Arial"/>
          <w:sz w:val="16"/>
          <w:szCs w:val="16"/>
          <w:color w:val="auto"/>
        </w:rPr>
      </w:pPr>
    </w:p>
    <w:p>
      <w:pPr>
        <w:ind w:right="60" w:firstLine="990"/>
        <w:spacing w:after="0" w:line="252" w:lineRule="auto"/>
        <w:tabs>
          <w:tab w:leader="none" w:pos="1234" w:val="left"/>
        </w:tabs>
        <w:numPr>
          <w:ilvl w:val="1"/>
          <w:numId w:val="300"/>
        </w:numPr>
        <w:rPr>
          <w:rFonts w:ascii="Arial" w:cs="Arial" w:eastAsia="Arial" w:hAnsi="Arial"/>
          <w:sz w:val="18"/>
          <w:szCs w:val="18"/>
          <w:color w:val="auto"/>
        </w:rPr>
      </w:pPr>
      <w:r>
        <w:rPr>
          <w:rFonts w:ascii="Arial" w:cs="Arial" w:eastAsia="Arial" w:hAnsi="Arial"/>
          <w:sz w:val="18"/>
          <w:szCs w:val="18"/>
          <w:u w:val="single" w:color="auto"/>
          <w:color w:val="auto"/>
        </w:rPr>
        <w:t>Exercise of Nonstatutory Stock Option</w:t>
      </w:r>
      <w:r>
        <w:rPr>
          <w:rFonts w:ascii="Arial" w:cs="Arial" w:eastAsia="Arial" w:hAnsi="Arial"/>
          <w:sz w:val="18"/>
          <w:szCs w:val="18"/>
          <w:color w:val="auto"/>
        </w:rPr>
        <w:t>. There may be a regular federal income tax liability upon the exercise of a Nonstatutory Stock Option. The Optionee will be treated as having received compensation income (taxable at ordinary income tax rates) equal to the excess, if any, of the Fair Market Value of the Shares on the date of exercise over the Exercise Price. If Optionee is an Employee or a former Employee, the Company will be required to withhold from Optionee’s compensation or collect from Optionee and pay to the applicable taxing authorities an amount in cash equal to a percentage of this compensation income at the time of exercise, and may refuse to honor the exercise and refuse to deliver Shares if such withholding amounts are not delivered at the time of exercise.</w:t>
      </w:r>
    </w:p>
    <w:p>
      <w:pPr>
        <w:spacing w:after="0" w:line="86" w:lineRule="exact"/>
        <w:rPr>
          <w:rFonts w:ascii="Arial" w:cs="Arial" w:eastAsia="Arial" w:hAnsi="Arial"/>
          <w:sz w:val="18"/>
          <w:szCs w:val="18"/>
          <w:color w:val="auto"/>
        </w:rPr>
      </w:pPr>
    </w:p>
    <w:p>
      <w:pPr>
        <w:ind w:right="20" w:firstLine="990"/>
        <w:spacing w:after="0" w:line="288" w:lineRule="auto"/>
        <w:tabs>
          <w:tab w:leader="none" w:pos="1224"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Disposition of Shares</w:t>
      </w:r>
      <w:r>
        <w:rPr>
          <w:rFonts w:ascii="Arial" w:cs="Arial" w:eastAsia="Arial" w:hAnsi="Arial"/>
          <w:sz w:val="16"/>
          <w:szCs w:val="16"/>
          <w:color w:val="auto"/>
        </w:rPr>
        <w:t>. In the case of an NSO, if Shares are held for at least one year, any gain realized on disposition of the Shares will be treated as long-term capital gain for federal income tax purposes. In the case of an ISO, if Shares transferred pursuant to the Option are held for at least one year after exercise and at least two years after the Date of Grant, any gain realized on disposition of the Shares will also be treated as long-term capital gain for federal income tax purposes. If Shares purchased under an ISO are disposed of within one year after exercise or two years after the Date of Grant, any gain realized on such disposition will be treated as compensation income (taxable at ordinary income rates) to the extent of the difference between the Exercise Price and the lesser of (1) the Fair Market Value of the Shares on the date of exercise, or (2) the sale price of the Shares. Any additional gain will be taxed as capital gain, short-term or long-term depending on the period that the ISO Shares were held.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333" w:name="page334"/>
    <w:bookmarkEnd w:id="333"/>
    <w:p>
      <w:pPr>
        <w:ind w:right="280" w:firstLine="990"/>
        <w:spacing w:after="0" w:line="275" w:lineRule="auto"/>
        <w:tabs>
          <w:tab w:leader="none" w:pos="1234" w:val="left"/>
        </w:tabs>
        <w:numPr>
          <w:ilvl w:val="1"/>
          <w:numId w:val="30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 of Disqualifying Disposition of ISO Shares</w:t>
      </w:r>
      <w:r>
        <w:rPr>
          <w:rFonts w:ascii="Arial" w:cs="Arial" w:eastAsia="Arial" w:hAnsi="Arial"/>
          <w:sz w:val="17"/>
          <w:szCs w:val="17"/>
          <w:color w:val="auto"/>
        </w:rPr>
        <w:t>. If the Option granted to Optionee herein is an ISO, and if Optionee sells or otherwise disposes of any of the Shares acquired pursuant to the ISO on or before the later of (1) the date two years after the Date of Grant, or (2) the date one year after the date of exercise, the Optionee shall immediately notify the Company in writing of such disposition. Optionee agrees that Optionee may be subject to income tax withholding by the Company on the compensation income recognized by the Optionee.</w:t>
      </w:r>
    </w:p>
    <w:p>
      <w:pPr>
        <w:spacing w:after="0" w:line="66" w:lineRule="exact"/>
        <w:rPr>
          <w:rFonts w:ascii="Arial" w:cs="Arial" w:eastAsia="Arial" w:hAnsi="Arial"/>
          <w:sz w:val="17"/>
          <w:szCs w:val="17"/>
          <w:color w:val="auto"/>
        </w:rPr>
      </w:pPr>
    </w:p>
    <w:p>
      <w:pPr>
        <w:ind w:right="60" w:firstLine="444"/>
        <w:spacing w:after="0" w:line="252" w:lineRule="auto"/>
        <w:tabs>
          <w:tab w:leader="none" w:pos="697"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This Option is intended to be excepted from coverage under Section 409A and shall be administered, interpreted and construed accordingly. The Company may, in its sole discretion and without Optionee’s consent, modify or amend the terms of this Option Agreement. impose conditions on the timing and effectiveness of the exercise of the Option by Optionee, or take any other action it deems necessary or advisable, to cause the Option to be excepted from Section 409A (or to comply therewith to the extent the Company determines it is not excepted). Notwithstanding, Optionee recognizes and acknowledges that Section 409A of the Code may impose upon the Optionee certain taxes or interest charges for which the Optionee is and shall remain solely responsible.</w:t>
      </w:r>
    </w:p>
    <w:p>
      <w:pPr>
        <w:spacing w:after="0" w:line="86" w:lineRule="exact"/>
        <w:rPr>
          <w:rFonts w:ascii="Arial" w:cs="Arial" w:eastAsia="Arial" w:hAnsi="Arial"/>
          <w:sz w:val="18"/>
          <w:szCs w:val="18"/>
          <w:color w:val="auto"/>
        </w:rPr>
      </w:pPr>
    </w:p>
    <w:p>
      <w:pPr>
        <w:ind w:firstLine="444"/>
        <w:spacing w:after="0" w:line="297" w:lineRule="auto"/>
        <w:tabs>
          <w:tab w:leader="none" w:pos="704"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the internal substantive laws but not the choice of law rules of the State of Delaware.</w:t>
      </w:r>
    </w:p>
    <w:p>
      <w:pPr>
        <w:spacing w:after="0" w:line="52" w:lineRule="exact"/>
        <w:rPr>
          <w:rFonts w:ascii="Arial" w:cs="Arial" w:eastAsia="Arial" w:hAnsi="Arial"/>
          <w:sz w:val="16"/>
          <w:szCs w:val="16"/>
          <w:color w:val="auto"/>
        </w:rPr>
      </w:pPr>
    </w:p>
    <w:p>
      <w:pPr>
        <w:ind w:right="20" w:firstLine="444"/>
        <w:spacing w:after="0" w:line="265" w:lineRule="auto"/>
        <w:tabs>
          <w:tab w:leader="none" w:pos="704"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OPTIONEE ACKNOWLEDGES AND AGREES THAT THE VESTING OF SHARES PURSUANT TO THE VESTING SCHEDULE HEREOF IS EARNED ONLY BY CONTINUING AS A SERVICE PROVIDER AT THE WILL OF THE COMPANY (NOT THROUGH THE ACT OF BEING HIRED, BEING GRANTED THIS OPTION OR ACQUIRING SHARES HEREUNDER). OPTIONEE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w:t>
      </w:r>
    </w:p>
    <w:p>
      <w:pPr>
        <w:spacing w:after="0" w:line="1" w:lineRule="exact"/>
        <w:rPr>
          <w:rFonts w:ascii="Arial" w:cs="Arial" w:eastAsia="Arial" w:hAnsi="Arial"/>
          <w:sz w:val="17"/>
          <w:szCs w:val="17"/>
          <w:color w:val="auto"/>
        </w:rPr>
      </w:pPr>
    </w:p>
    <w:p>
      <w:pPr>
        <w:ind w:right="140"/>
        <w:spacing w:after="0" w:line="256" w:lineRule="auto"/>
        <w:rPr>
          <w:rFonts w:ascii="Arial" w:cs="Arial" w:eastAsia="Arial" w:hAnsi="Arial"/>
          <w:sz w:val="17"/>
          <w:szCs w:val="17"/>
          <w:color w:val="auto"/>
        </w:rPr>
      </w:pPr>
      <w:r>
        <w:rPr>
          <w:rFonts w:ascii="Arial" w:cs="Arial" w:eastAsia="Arial" w:hAnsi="Arial"/>
          <w:sz w:val="18"/>
          <w:szCs w:val="18"/>
          <w:color w:val="auto"/>
        </w:rPr>
        <w:t>WAY WITH OPTIONEE’S RIGHT OR THE COMPANY’S RIGHT TO TERMINATE OPTIONEE’S RELATIONSHIP AS A SERVICE PROVIDER AT ANY TIME, WITH OR WITHOUT CAUSE.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334" w:name="page335"/>
    <w:bookmarkEnd w:id="334"/>
    <w:p>
      <w:pPr>
        <w:ind w:right="20" w:firstLine="982"/>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Optionee acknowledges receipt of a copy of the Plan and represents that he or she is familiar with the terms and provisions thereof, and hereby accepts this Option subject to all of the terms and provisions thereof. Optionee has reviewed the Plan and this Option Agreement in their entirety, has had an opportunity to obtain the advice of counsel prior to executing this Option Agreement and fully understands all provisions of the Option. Optionee hereby agrees to accept as binding, conclusive and final all decisions or interpretations of the Administrator upon any questions arising under the Plan or this Option Agreement. Optionee further agrees to notify the Company upon any change in the residence address indicated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00" w:type="dxa"/>
            <w:vAlign w:val="bottom"/>
          </w:tcPr>
          <w:p>
            <w:pPr>
              <w:spacing w:after="0"/>
              <w:rPr>
                <w:sz w:val="20"/>
                <w:szCs w:val="20"/>
                <w:color w:val="auto"/>
              </w:rPr>
            </w:pPr>
            <w:r>
              <w:rPr>
                <w:rFonts w:ascii="Arial" w:cs="Arial" w:eastAsia="Arial" w:hAnsi="Arial"/>
                <w:sz w:val="18"/>
                <w:szCs w:val="18"/>
                <w:color w:val="auto"/>
              </w:rPr>
              <w:t>OPTIONEE:</w:t>
            </w:r>
          </w:p>
        </w:tc>
        <w:tc>
          <w:tcPr>
            <w:tcW w:w="6220" w:type="dxa"/>
            <w:vAlign w:val="bottom"/>
            <w:gridSpan w:val="2"/>
          </w:tcPr>
          <w:p>
            <w:pPr>
              <w:ind w:left="1120"/>
              <w:spacing w:after="0"/>
              <w:rPr>
                <w:sz w:val="20"/>
                <w:szCs w:val="20"/>
                <w:color w:val="auto"/>
              </w:rPr>
            </w:pPr>
            <w:r>
              <w:rPr>
                <w:rFonts w:ascii="Arial" w:cs="Arial" w:eastAsia="Arial" w:hAnsi="Arial"/>
                <w:sz w:val="18"/>
                <w:szCs w:val="18"/>
                <w:b w:val="1"/>
                <w:bCs w:val="1"/>
                <w:color w:val="auto"/>
              </w:rPr>
              <w:t>NEXTLINE MANUFACTURING CORP.</w:t>
            </w:r>
          </w:p>
        </w:tc>
        <w:tc>
          <w:tcPr>
            <w:tcW w:w="0" w:type="dxa"/>
            <w:vAlign w:val="bottom"/>
          </w:tcPr>
          <w:p>
            <w:pPr>
              <w:spacing w:after="0"/>
              <w:rPr>
                <w:sz w:val="1"/>
                <w:szCs w:val="1"/>
                <w:color w:val="auto"/>
              </w:rPr>
            </w:pPr>
          </w:p>
        </w:tc>
      </w:tr>
      <w:tr>
        <w:trPr>
          <w:trHeight w:val="429"/>
        </w:trPr>
        <w:tc>
          <w:tcPr>
            <w:tcW w:w="4700" w:type="dxa"/>
            <w:vAlign w:val="bottom"/>
          </w:tcPr>
          <w:p>
            <w:pPr>
              <w:spacing w:after="0"/>
              <w:rPr>
                <w:sz w:val="24"/>
                <w:szCs w:val="24"/>
                <w:color w:val="auto"/>
              </w:rPr>
            </w:pPr>
          </w:p>
        </w:tc>
        <w:tc>
          <w:tcPr>
            <w:tcW w:w="6220" w:type="dxa"/>
            <w:vAlign w:val="bottom"/>
            <w:gridSpan w:val="2"/>
          </w:tcPr>
          <w:p>
            <w:pPr>
              <w:ind w:left="11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80" w:type="dxa"/>
            <w:vAlign w:val="bottom"/>
            <w:tcBorders>
              <w:top w:val="single" w:sz="8" w:color="auto"/>
              <w:bottom w:val="single" w:sz="8" w:color="auto"/>
            </w:tcBorders>
            <w:vMerge w:val="restart"/>
          </w:tcPr>
          <w:p>
            <w:pPr>
              <w:ind w:left="1440"/>
              <w:spacing w:after="0"/>
              <w:rPr>
                <w:sz w:val="20"/>
                <w:szCs w:val="20"/>
                <w:color w:val="auto"/>
              </w:rPr>
            </w:pPr>
            <w:r>
              <w:rPr>
                <w:rFonts w:ascii="Arial" w:cs="Arial" w:eastAsia="Arial" w:hAnsi="Arial"/>
                <w:sz w:val="18"/>
                <w:szCs w:val="18"/>
                <w:color w:val="auto"/>
              </w:rPr>
              <w:t>Authorized Officer</w:t>
            </w:r>
          </w:p>
        </w:tc>
        <w:tc>
          <w:tcPr>
            <w:tcW w:w="0" w:type="dxa"/>
            <w:vAlign w:val="bottom"/>
          </w:tcPr>
          <w:p>
            <w:pPr>
              <w:spacing w:after="0"/>
              <w:rPr>
                <w:sz w:val="1"/>
                <w:szCs w:val="1"/>
                <w:color w:val="auto"/>
              </w:rPr>
            </w:pPr>
          </w:p>
        </w:tc>
      </w:tr>
      <w:tr>
        <w:trPr>
          <w:trHeight w:val="180"/>
        </w:trPr>
        <w:tc>
          <w:tcPr>
            <w:tcW w:w="4700" w:type="dxa"/>
            <w:vAlign w:val="bottom"/>
            <w:vMerge w:val="restart"/>
          </w:tcPr>
          <w:p>
            <w:pPr>
              <w:spacing w:after="0"/>
              <w:rPr>
                <w:sz w:val="20"/>
                <w:szCs w:val="20"/>
                <w:color w:val="auto"/>
              </w:rPr>
            </w:pPr>
            <w:r>
              <w:rPr>
                <w:rFonts w:ascii="Arial" w:cs="Arial" w:eastAsia="Arial" w:hAnsi="Arial"/>
                <w:sz w:val="18"/>
                <w:szCs w:val="18"/>
                <w:color w:val="auto"/>
              </w:rPr>
              <w:t>Signature</w:t>
            </w:r>
          </w:p>
        </w:tc>
        <w:tc>
          <w:tcPr>
            <w:tcW w:w="154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70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700" w:type="dxa"/>
            <w:vAlign w:val="bottom"/>
            <w:tcBorders>
              <w:bottom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Arial" w:cs="Arial" w:eastAsia="Arial" w:hAnsi="Arial"/>
                <w:sz w:val="18"/>
                <w:szCs w:val="18"/>
                <w:color w:val="auto"/>
              </w:rPr>
              <w:t>Print Name</w:t>
            </w:r>
          </w:p>
        </w:tc>
        <w:tc>
          <w:tcPr>
            <w:tcW w:w="15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4700" w:type="dxa"/>
            <w:vAlign w:val="bottom"/>
          </w:tcPr>
          <w:p>
            <w:pPr>
              <w:spacing w:after="0"/>
              <w:rPr>
                <w:sz w:val="24"/>
                <w:szCs w:val="24"/>
                <w:color w:val="auto"/>
              </w:rPr>
            </w:pPr>
          </w:p>
        </w:tc>
        <w:tc>
          <w:tcPr>
            <w:tcW w:w="1540" w:type="dxa"/>
            <w:vAlign w:val="bottom"/>
          </w:tcPr>
          <w:p>
            <w:pPr>
              <w:jc w:val="right"/>
              <w:ind w:right="651"/>
              <w:spacing w:after="0"/>
              <w:rPr>
                <w:sz w:val="20"/>
                <w:szCs w:val="20"/>
                <w:color w:val="auto"/>
              </w:rPr>
            </w:pPr>
            <w:r>
              <w:rPr>
                <w:rFonts w:ascii="Arial" w:cs="Arial" w:eastAsia="Arial" w:hAnsi="Arial"/>
                <w:sz w:val="18"/>
                <w:szCs w:val="18"/>
                <w:color w:val="auto"/>
              </w:rPr>
              <w:t>6</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72" w:right="499" w:bottom="1440" w:gutter="0" w:footer="0" w:header="0"/>
        </w:sectPr>
      </w:pPr>
    </w:p>
    <w:bookmarkStart w:id="335" w:name="page336"/>
    <w:bookmarkEnd w:id="335"/>
    <w:p>
      <w:pPr>
        <w:ind w:left="9920"/>
        <w:spacing w:after="0"/>
        <w:rPr>
          <w:sz w:val="20"/>
          <w:szCs w:val="20"/>
          <w:color w:val="auto"/>
        </w:rPr>
      </w:pPr>
      <w:r>
        <w:rPr>
          <w:rFonts w:ascii="Arial" w:cs="Arial" w:eastAsia="Arial" w:hAnsi="Arial"/>
          <w:sz w:val="16"/>
          <w:szCs w:val="16"/>
          <w:b w:val="1"/>
          <w:bCs w:val="1"/>
          <w:color w:val="auto"/>
        </w:rPr>
        <w:t>Exhibit 10.18</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221" w:lineRule="exact"/>
        <w:rPr>
          <w:sz w:val="20"/>
          <w:szCs w:val="20"/>
          <w:color w:val="auto"/>
        </w:rPr>
      </w:pPr>
    </w:p>
    <w:p>
      <w:pPr>
        <w:ind w:left="440"/>
        <w:spacing w:after="0"/>
        <w:tabs>
          <w:tab w:leader="none" w:pos="706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4"/>
          <w:szCs w:val="14"/>
          <w:b w:val="1"/>
          <w:bCs w:val="1"/>
          <w:color w:val="auto"/>
        </w:rPr>
        <w:t>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w:t>
      </w:r>
      <w:r>
        <w:rPr>
          <w:sz w:val="20"/>
          <w:szCs w:val="20"/>
          <w:color w:val="auto"/>
        </w:rPr>
        <w:tab/>
      </w:r>
      <w:r>
        <w:rPr>
          <w:rFonts w:ascii="Arial" w:cs="Arial" w:eastAsia="Arial" w:hAnsi="Arial"/>
          <w:sz w:val="16"/>
          <w:szCs w:val="16"/>
          <w:color w:val="auto"/>
        </w:rPr>
        <w:t>, 2021 by and among Xometry, Inc., a Delaware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stockholders of the Company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(collectively, “</w:t>
      </w:r>
      <w:r>
        <w:rPr>
          <w:rFonts w:ascii="Arial" w:cs="Arial" w:eastAsia="Arial" w:hAnsi="Arial"/>
          <w:sz w:val="18"/>
          <w:szCs w:val="18"/>
          <w:b w:val="1"/>
          <w:bCs w:val="1"/>
          <w:i w:val="1"/>
          <w:iCs w:val="1"/>
          <w:color w:val="auto"/>
        </w:rPr>
        <w:t>Exchange Stockholders</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1" w:lineRule="exact"/>
        <w:rPr>
          <w:sz w:val="20"/>
          <w:szCs w:val="20"/>
          <w:color w:val="auto"/>
        </w:rPr>
      </w:pPr>
    </w:p>
    <w:p>
      <w:pPr>
        <w:ind w:right="640" w:firstLine="436"/>
        <w:spacing w:after="0" w:line="257"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it is in the best interests of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to implement a dual class structure in connection with the Company’s proposed initial public offering of its capital stock in a firm commitment underwritten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pursuant to an effective registration statement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in connection with the IPO, the Board has approved an Amended and Restated Certificate of Incorporation of the Company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which, among other things, if effected in connection with the IPO, would create two classes of common stock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Company, Class A common stock, par value $0.000001 per share (“</w:t>
      </w: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 entitling holders to one (1) vote per share and Class B</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$0.000001 per share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entitling holders to twenty (20) votes per share;</w:t>
      </w:r>
    </w:p>
    <w:p>
      <w:pPr>
        <w:spacing w:after="0" w:line="204"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Certificate of Incorporation further provides that the Company’s common stock, par value $0.000001 per share (“</w:t>
      </w:r>
      <w:r>
        <w:rPr>
          <w:rFonts w:ascii="Arial" w:cs="Arial" w:eastAsia="Arial" w:hAnsi="Arial"/>
          <w:sz w:val="18"/>
          <w:szCs w:val="18"/>
          <w:b w:val="1"/>
          <w:bCs w:val="1"/>
          <w:i w:val="1"/>
          <w:iCs w:val="1"/>
          <w:color w:val="auto"/>
        </w:rPr>
        <w:t>Pre-IPO</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will, upon the effectiveness of the filing of the Certificate of Incorporation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be reclassified as Class A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w:t>
      </w:r>
    </w:p>
    <w:p>
      <w:pPr>
        <w:spacing w:after="0" w:line="181" w:lineRule="exact"/>
        <w:rPr>
          <w:sz w:val="20"/>
          <w:szCs w:val="20"/>
          <w:color w:val="auto"/>
        </w:rPr>
      </w:pPr>
    </w:p>
    <w:p>
      <w:pPr>
        <w:ind w:right="160" w:firstLine="436"/>
        <w:spacing w:after="0" w:line="27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Exchange Stockholders hold or will hold shares of Pre-IPO Common Stock as of immediately prior to the Effective Time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shares of Pre-IPO Common Stock will be reclassified as shares of Class A Common Stock at the Effective Time;</w:t>
      </w:r>
    </w:p>
    <w:p>
      <w:pPr>
        <w:spacing w:after="0" w:line="168" w:lineRule="exact"/>
        <w:rPr>
          <w:sz w:val="20"/>
          <w:szCs w:val="20"/>
          <w:color w:val="auto"/>
        </w:rPr>
      </w:pPr>
    </w:p>
    <w:p>
      <w:pPr>
        <w:ind w:right="40" w:firstLine="436"/>
        <w:spacing w:after="0" w:line="309"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the Board has determined that exchanging certain shares of Class A Common Stock that will be held by the Exchange Stockholders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Effective Time as set forth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for shares of Class B Common Stock as part of the implementation of the dual class structure is advisable and in the best interest of the Company and all of its stockholders, including its stockholders other than the Exchange Stockholders; and</w:t>
      </w:r>
    </w:p>
    <w:p>
      <w:pPr>
        <w:spacing w:after="0" w:line="145" w:lineRule="exact"/>
        <w:rPr>
          <w:sz w:val="20"/>
          <w:szCs w:val="20"/>
          <w:color w:val="auto"/>
        </w:rPr>
      </w:pPr>
    </w:p>
    <w:p>
      <w:pPr>
        <w:ind w:right="60" w:firstLine="436"/>
        <w:spacing w:after="0" w:line="27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parties hereto intend that no gain or loss shall be recognized in the Exchange (as defined below) pursuant to Sections 368(a)(1)(E)</w:t>
      </w:r>
      <w:r>
        <w:rPr>
          <w:rFonts w:ascii="Arial" w:cs="Arial" w:eastAsia="Arial" w:hAnsi="Arial"/>
          <w:sz w:val="18"/>
          <w:szCs w:val="18"/>
          <w:b w:val="1"/>
          <w:bCs w:val="1"/>
          <w:color w:val="auto"/>
        </w:rPr>
        <w:t xml:space="preserve"> </w:t>
      </w:r>
      <w:r>
        <w:rPr>
          <w:rFonts w:ascii="Arial" w:cs="Arial" w:eastAsia="Arial" w:hAnsi="Arial"/>
          <w:sz w:val="18"/>
          <w:szCs w:val="18"/>
          <w:color w:val="auto"/>
        </w:rPr>
        <w:t>and/or 1036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NOW, THEREFORE, in consideration of the above recitals and the mutual covenants made herein, and for other good and valuable consideration, the receipt and sufficiency of which are hereby acknowledged and accepted, the parties hereto agree as follows:</w:t>
      </w:r>
    </w:p>
    <w:p>
      <w:pPr>
        <w:spacing w:after="0" w:line="77" w:lineRule="exact"/>
        <w:rPr>
          <w:sz w:val="20"/>
          <w:szCs w:val="20"/>
          <w:color w:val="auto"/>
        </w:rPr>
      </w:pPr>
    </w:p>
    <w:p>
      <w:pPr>
        <w:ind w:left="540" w:hanging="533"/>
        <w:spacing w:after="0"/>
        <w:tabs>
          <w:tab w:leader="none" w:pos="54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of Class A Common Stock.</w:t>
      </w:r>
    </w:p>
    <w:p>
      <w:pPr>
        <w:spacing w:after="0" w:line="131" w:lineRule="exact"/>
        <w:rPr>
          <w:rFonts w:ascii="Arial" w:cs="Arial" w:eastAsia="Arial" w:hAnsi="Arial"/>
          <w:sz w:val="18"/>
          <w:szCs w:val="18"/>
          <w:b w:val="1"/>
          <w:bCs w:val="1"/>
          <w:color w:val="auto"/>
        </w:rPr>
      </w:pPr>
    </w:p>
    <w:p>
      <w:pPr>
        <w:ind w:left="1180" w:right="80" w:hanging="642"/>
        <w:spacing w:after="0" w:line="290"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Subject to the terms and conditions of this Agreement, immediately following the Effective Time and effective upon the consummation of the IPO (the “</w:t>
      </w:r>
      <w:r>
        <w:rPr>
          <w:rFonts w:ascii="Arial" w:cs="Arial" w:eastAsia="Arial" w:hAnsi="Arial"/>
          <w:sz w:val="16"/>
          <w:szCs w:val="16"/>
          <w:b w:val="1"/>
          <w:bCs w:val="1"/>
          <w:i w:val="1"/>
          <w:iCs w:val="1"/>
          <w:color w:val="auto"/>
        </w:rPr>
        <w:t>Exchange Effective Time</w:t>
      </w:r>
      <w:r>
        <w:rPr>
          <w:rFonts w:ascii="Arial" w:cs="Arial" w:eastAsia="Arial" w:hAnsi="Arial"/>
          <w:sz w:val="16"/>
          <w:szCs w:val="16"/>
          <w:color w:val="auto"/>
        </w:rPr>
        <w:t xml:space="preserve">”), each Exchange Stockholder shall be deemed to have automatically transferred to the Company the shares of Class A Common Stock held by such Exchange Stockholder as set forth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Class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and the Company shall issue to each Exchange Stockholder shares of Class B Common Stock (the “</w:t>
      </w:r>
      <w:r>
        <w:rPr>
          <w:rFonts w:ascii="Arial" w:cs="Arial" w:eastAsia="Arial" w:hAnsi="Arial"/>
          <w:sz w:val="16"/>
          <w:szCs w:val="16"/>
          <w:b w:val="1"/>
          <w:bCs w:val="1"/>
          <w:i w:val="1"/>
          <w:iCs w:val="1"/>
          <w:color w:val="auto"/>
        </w:rPr>
        <w:t>Class B Shares</w:t>
      </w:r>
      <w:r>
        <w:rPr>
          <w:rFonts w:ascii="Arial" w:cs="Arial" w:eastAsia="Arial" w:hAnsi="Arial"/>
          <w:sz w:val="16"/>
          <w:szCs w:val="16"/>
          <w:color w:val="auto"/>
        </w:rPr>
        <w:t>”), at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ratio of one (1) Class A Share for one (1) Class B Share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The number of Class A Shares to be transferred and the number of Class B Shares to be received in the Exchange by each Exchange Stockholder are as set forth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w:t>
      </w:r>
    </w:p>
    <w:p>
      <w:pPr>
        <w:spacing w:after="0" w:line="70" w:lineRule="exact"/>
        <w:rPr>
          <w:rFonts w:ascii="Arial" w:cs="Arial" w:eastAsia="Arial" w:hAnsi="Arial"/>
          <w:sz w:val="18"/>
          <w:szCs w:val="18"/>
          <w:b w:val="1"/>
          <w:bCs w:val="1"/>
          <w:color w:val="auto"/>
        </w:rPr>
      </w:pPr>
    </w:p>
    <w:p>
      <w:pPr>
        <w:ind w:left="1180" w:right="20" w:hanging="64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1.2.Concurrently herewith, each Exchange Stockholder is delivering to the Company such instruments of transfer or other documentation as may be reasonably required to evidence that the shares of the Pre-IPO Common Stock (which will automatically be renamed as Class A Common Stock upon the Effective Time) have been duly transferred to the Company to be held in escrow until the Exchange Effective Time and such documents are automatically released without further action by the Company or the Exchange Stockholder at the Exchange Effective Time.</w:t>
      </w:r>
    </w:p>
    <w:p>
      <w:pPr>
        <w:sectPr>
          <w:pgSz w:w="11900" w:h="16838" w:orient="portrait"/>
          <w:cols w:equalWidth="0" w:num="1">
            <w:col w:w="10920"/>
          </w:cols>
          <w:pgMar w:left="480" w:top="120" w:right="499" w:bottom="1440" w:gutter="0" w:footer="0" w:header="0"/>
        </w:sectPr>
      </w:pPr>
    </w:p>
    <w:bookmarkStart w:id="336" w:name="page337"/>
    <w:bookmarkEnd w:id="336"/>
    <w:p>
      <w:pPr>
        <w:ind w:left="1173" w:right="140" w:hanging="641"/>
        <w:spacing w:after="0" w:line="405" w:lineRule="auto"/>
        <w:tabs>
          <w:tab w:leader="none" w:pos="11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1.3.</w:t>
      </w:r>
      <w:r>
        <w:rPr>
          <w:sz w:val="20"/>
          <w:szCs w:val="20"/>
          <w:color w:val="auto"/>
        </w:rPr>
        <w:tab/>
      </w:r>
      <w:r>
        <w:rPr>
          <w:rFonts w:ascii="Arial" w:cs="Arial" w:eastAsia="Arial" w:hAnsi="Arial"/>
          <w:sz w:val="14"/>
          <w:szCs w:val="14"/>
          <w:color w:val="auto"/>
        </w:rPr>
        <w:t>Upon the effectiveness of the Exchange, the Company shall deliver to each Exchange Stockholder such documentation as may be reasonably required to evidence that the Class B Shares have been duly issued and transferred to the applicable Exchange Stockholder.</w:t>
      </w:r>
    </w:p>
    <w:p>
      <w:pPr>
        <w:spacing w:after="0" w:line="1" w:lineRule="exact"/>
        <w:rPr>
          <w:sz w:val="20"/>
          <w:szCs w:val="20"/>
          <w:color w:val="auto"/>
        </w:rPr>
      </w:pPr>
    </w:p>
    <w:p>
      <w:pPr>
        <w:ind w:left="533" w:hanging="533"/>
        <w:spacing w:after="0"/>
        <w:tabs>
          <w:tab w:leader="none" w:pos="533"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p>
    <w:p>
      <w:pPr>
        <w:spacing w:after="0" w:line="131" w:lineRule="exact"/>
        <w:rPr>
          <w:sz w:val="20"/>
          <w:szCs w:val="20"/>
          <w:color w:val="auto"/>
        </w:rPr>
      </w:pPr>
    </w:p>
    <w:p>
      <w:pPr>
        <w:ind w:left="533"/>
        <w:spacing w:after="0"/>
        <w:tabs>
          <w:tab w:leader="none" w:pos="115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4"/>
          <w:szCs w:val="14"/>
          <w:u w:val="single" w:color="auto"/>
          <w:color w:val="auto"/>
        </w:rPr>
        <w:t>Representations and Warranties of the Exchange Stockholders</w:t>
      </w:r>
      <w:r>
        <w:rPr>
          <w:rFonts w:ascii="Arial" w:cs="Arial" w:eastAsia="Arial" w:hAnsi="Arial"/>
          <w:sz w:val="14"/>
          <w:szCs w:val="14"/>
          <w:color w:val="auto"/>
        </w:rPr>
        <w:t>. Each Exchange Stockholder hereby represents and warrants to the</w:t>
      </w:r>
    </w:p>
    <w:p>
      <w:pPr>
        <w:spacing w:after="0" w:line="20" w:lineRule="exact"/>
        <w:rPr>
          <w:sz w:val="20"/>
          <w:szCs w:val="20"/>
          <w:color w:val="auto"/>
        </w:rPr>
      </w:pPr>
    </w:p>
    <w:p>
      <w:pPr>
        <w:ind w:left="1173"/>
        <w:spacing w:after="0"/>
        <w:rPr>
          <w:sz w:val="20"/>
          <w:szCs w:val="20"/>
          <w:color w:val="auto"/>
        </w:rPr>
      </w:pPr>
      <w:r>
        <w:rPr>
          <w:rFonts w:ascii="Arial" w:cs="Arial" w:eastAsia="Arial" w:hAnsi="Arial"/>
          <w:sz w:val="18"/>
          <w:szCs w:val="18"/>
          <w:color w:val="auto"/>
        </w:rPr>
        <w:t>Company, with respect to the transactions contemplated hereby, as follows:</w:t>
      </w:r>
    </w:p>
    <w:p>
      <w:pPr>
        <w:spacing w:after="0" w:line="115" w:lineRule="exact"/>
        <w:rPr>
          <w:sz w:val="20"/>
          <w:szCs w:val="20"/>
          <w:color w:val="auto"/>
        </w:rPr>
      </w:pPr>
    </w:p>
    <w:p>
      <w:pPr>
        <w:ind w:left="1733" w:hanging="534"/>
        <w:spacing w:after="0" w:line="28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Ownership; Authority</w:t>
      </w:r>
      <w:r>
        <w:rPr>
          <w:rFonts w:ascii="Arial" w:cs="Arial" w:eastAsia="Arial" w:hAnsi="Arial"/>
          <w:sz w:val="16"/>
          <w:szCs w:val="16"/>
          <w:color w:val="auto"/>
        </w:rPr>
        <w:t>. Each Exchange Stockholder will be, as of the Exchange Effective Time, the beneficial and legal owner of the Class A Shares exchanged hereunder, free and clear of all liens, encumbrances and restrictions (except for restrictions on transfer arising under applicable securities laws or as set forth or contemplated by this Agreement, the Certificate of Incorporation or any other agreements to which such Exchange Stockholder and the Company are a party). Each Exchange Stockholder has the full right, power and authority to enter into this Agreement and, assuming the waiver or inapplicability of any and all rights of first refusal or co-sale by the Company and the Company’s stockholders that are applicable to the transactions contemplated hereby, to transfer, convey and exchange the Class A Shares in accordance with this Agreement. Assuming the due authorization, execution and delivery by the Company, this Agreement constitutes a valid and binding agreement of such Exchange Stockholder, enforceable against such Exchange Stockholder in accordance with its terms (subject to applicable bankruptcy, insolvency, fraudulent transfer, reorganization, moratorium and other laws affecting creditors’ rights generally and general principles of equity). Upon consummation of the Exchange contemplated hereby, the Company will acquire from Exchange Stockholder good and marketable title to the Class A Shares, free and clear of any and all liens, encumbrances and restrictions (except for restrictions on transfer arising under applicable securities laws or as set forth or contemplated by this Agreement, the Certificate of Incorporation or any other agreements to which such Exchange Stockholder and the Company are a party, and subject to applicable bankruptcy, insolvency, fraudulent transfer, reorganization, moratorium and other laws affecting creditors’ rights generally and general principles of equity).</w:t>
      </w:r>
    </w:p>
    <w:p>
      <w:pPr>
        <w:spacing w:after="0" w:line="85" w:lineRule="exact"/>
        <w:rPr>
          <w:sz w:val="20"/>
          <w:szCs w:val="20"/>
          <w:color w:val="auto"/>
        </w:rPr>
      </w:pPr>
    </w:p>
    <w:p>
      <w:pPr>
        <w:ind w:left="1733" w:right="160" w:hanging="534"/>
        <w:spacing w:after="0" w:line="288"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such Exchange Stockholder of this Agreement and the consummation of the transactions contemplated hereby require no action by or in respect of, or filing with, any governmental authority on the part of such Exchange Stockholder (excluding, for the avoidance of doubt (i) the filing by the Company of the Certificate of Incorporation with the Secretary of State of the State of Delaware and (ii) compliance by the Company with any applicable requirements of any applicable state or federal securities laws). For purposes of this Agreement, “governmental authority” means any transnational, domestic or foreign federal, state or local governmental, regulatory or administrative authority, department, court, agency or official, including any political subdivision thereof.</w:t>
      </w:r>
    </w:p>
    <w:p>
      <w:pPr>
        <w:spacing w:after="0" w:line="73" w:lineRule="exact"/>
        <w:rPr>
          <w:sz w:val="20"/>
          <w:szCs w:val="20"/>
          <w:color w:val="auto"/>
        </w:rPr>
      </w:pPr>
    </w:p>
    <w:p>
      <w:pPr>
        <w:ind w:left="1733" w:right="20" w:hanging="534"/>
        <w:spacing w:after="0" w:line="284"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such Exchange Stockholder of this Agreement and the consummation of the transactions contemplated hereby do not and will not, assuming compliance with the matters referred to in Section 2.1.2 and approval of and adoption by the Company’s stockholders of the Certificate of Incorporation, (i) violate any governing document, including any trust agreement, applicable to such Exchange Stockholder, (ii) violate any law or order applicable to such Exchange Stockholder, (iii) assuming the waiver or inapplicability of any and all rights of first refusal or co-sale held by the Company or the Company’s stockholders that are applicable to the transactions contemplated hereby, require any consent or other action under, constitute a default under, or give rise to any right of termination, cancellation or acceleration of any obligation of such Exchange Stockholder or to the loss of any benefit to which such Exchange Stockholder is entitled under any provision of any agreement or other instrument binding upon such Exchange Stockholder, or (iv) result in the creation or imposition of any lien on such Exchange Stockholder’s Class B Shares, other than restrictions on transfer arising under applicable securities laws or as set forth or contemplated by this Agreement, the Certificate of Incorporation or any other agreements to which such Exchange Stockholder and the Company are a party.</w:t>
      </w:r>
    </w:p>
    <w:p>
      <w:pPr>
        <w:sectPr>
          <w:pgSz w:w="11900" w:h="16838" w:orient="portrait"/>
          <w:cols w:equalWidth="0" w:num="1">
            <w:col w:w="10913"/>
          </w:cols>
          <w:pgMar w:left="487" w:top="272" w:right="499" w:bottom="1440" w:gutter="0" w:footer="0" w:header="0"/>
        </w:sectPr>
      </w:pPr>
    </w:p>
    <w:bookmarkStart w:id="337" w:name="page338"/>
    <w:bookmarkEnd w:id="337"/>
    <w:p>
      <w:pPr>
        <w:ind w:left="780" w:right="60" w:hanging="53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2.1.4. </w:t>
      </w:r>
      <w:r>
        <w:rPr>
          <w:rFonts w:ascii="Arial" w:cs="Arial" w:eastAsia="Arial" w:hAnsi="Arial"/>
          <w:sz w:val="17"/>
          <w:szCs w:val="17"/>
          <w:u w:val="single" w:color="auto"/>
          <w:color w:val="auto"/>
        </w:rPr>
        <w:t>Restricted Securities; Rule 144</w:t>
      </w:r>
      <w:r>
        <w:rPr>
          <w:rFonts w:ascii="Arial" w:cs="Arial" w:eastAsia="Arial" w:hAnsi="Arial"/>
          <w:sz w:val="17"/>
          <w:szCs w:val="17"/>
          <w:color w:val="auto"/>
        </w:rPr>
        <w:t>. Such Exchange Stockholder understands that the Class B Shares are characterized as “restricted securities” under the Securities Act because such shares are being acquired from the Company in a transaction not involving a public offering and in exchange for shares acquired from the Company in a transaction not involving a public offering, and that under the Securities Act and the rules and regulations promulgated thereunder the Class B Shares may be resold without registration under the Securities Act only in certain limited circumstances, and subject to the restrictions under the Company’s certificate of incorporation. Such Exchange Stockholder understands and hereby acknowledges that the Class B Shares must be held indefinitely unless subsequently registered under the Securities Act or an exemption from such registration is otherwise available. Such Exchange Stockholder is aware of the provisions of Rule 144 promulgated under the Securities Act, which permit limited resales of shares purchased in a transaction not involving a public offering, subject to the satisfaction of certain conditions.</w:t>
      </w:r>
    </w:p>
    <w:p>
      <w:pPr>
        <w:spacing w:after="0" w:line="86" w:lineRule="exact"/>
        <w:rPr>
          <w:sz w:val="20"/>
          <w:szCs w:val="20"/>
          <w:color w:val="auto"/>
        </w:rPr>
      </w:pPr>
    </w:p>
    <w:p>
      <w:pPr>
        <w:ind w:left="780" w:right="100" w:hanging="534"/>
        <w:spacing w:after="0" w:line="281"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Legends</w:t>
      </w:r>
      <w:r>
        <w:rPr>
          <w:rFonts w:ascii="Arial" w:cs="Arial" w:eastAsia="Arial" w:hAnsi="Arial"/>
          <w:sz w:val="17"/>
          <w:szCs w:val="17"/>
          <w:color w:val="auto"/>
        </w:rPr>
        <w:t>. It is understood that any certificate or book entry position representing the Class B Shares and any securities issued in respect thereof or exchange therefor, shall bear legends in substantially the following form (in addition to any legend required under applicable state securities laws or agreements to which the Exchange Stockholder is a party):</w:t>
      </w:r>
    </w:p>
    <w:p>
      <w:pPr>
        <w:spacing w:after="0" w:line="62" w:lineRule="exact"/>
        <w:rPr>
          <w:sz w:val="20"/>
          <w:szCs w:val="20"/>
          <w:color w:val="auto"/>
        </w:rPr>
      </w:pPr>
    </w:p>
    <w:p>
      <w:pPr>
        <w:ind w:left="800"/>
        <w:spacing w:after="0" w:line="269" w:lineRule="auto"/>
        <w:rPr>
          <w:sz w:val="20"/>
          <w:szCs w:val="20"/>
          <w:color w:val="auto"/>
        </w:rPr>
      </w:pPr>
      <w:r>
        <w:rPr>
          <w:rFonts w:ascii="Arial" w:cs="Arial" w:eastAsia="Arial" w:hAnsi="Arial"/>
          <w:sz w:val="17"/>
          <w:szCs w:val="17"/>
          <w:color w:val="auto"/>
        </w:rPr>
        <w:t>“THE SHARES EVIDENCED HEREBY HAVE NOT BEEN REGISTERED UNDER THE SECURITIES ACT OF 1933, AS AMENDED (THE “ACT”), OR UNDER THE SECURITIES LAWS OF CERTAIN STATES. THESE SHARES MAY NOT BE OFFERED, SOLD OR OTHERWISE TRANSFERRED, PLEDGED OR HYPOTHECATED EXCEPT AS PERMITTED UNDER THE ACT AND APPLICABLE STATE SECURITIES LAWS PURSUANT TO REGISTRATION OR AN EXEMPTION THEREFROM. THE ISSUER OF THESE SHARES MAY REQUIRE AN OPINION OF COUNSEL SATISFACTORY TO THE ISSUER THAT SUCH OFFER, SALE OR TRANSFER, PLEDGE OR HYPOTHECATION OTHERWISE COMPLIES WITH THE ACT AND ANY APPLICABLE STATE SECURITIES LAWS.”</w:t>
      </w:r>
    </w:p>
    <w:p>
      <w:pPr>
        <w:spacing w:after="0" w:line="85" w:lineRule="exact"/>
        <w:rPr>
          <w:sz w:val="20"/>
          <w:szCs w:val="20"/>
          <w:color w:val="auto"/>
        </w:rPr>
      </w:pPr>
    </w:p>
    <w:p>
      <w:pPr>
        <w:ind w:left="220" w:right="320" w:hanging="641"/>
        <w:spacing w:after="0" w:line="271" w:lineRule="auto"/>
        <w:tabs>
          <w:tab w:leader="none" w:pos="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each Exchange Stockholder,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respect to the transactions contemplated hereby, as follows:</w:t>
      </w:r>
    </w:p>
    <w:p>
      <w:pPr>
        <w:spacing w:after="0" w:line="81" w:lineRule="exact"/>
        <w:rPr>
          <w:sz w:val="20"/>
          <w:szCs w:val="20"/>
          <w:color w:val="auto"/>
        </w:rPr>
      </w:pPr>
    </w:p>
    <w:p>
      <w:pPr>
        <w:ind w:left="780" w:right="200" w:hanging="534"/>
        <w:spacing w:after="0" w:line="271"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The Company is a corporation duly incorporated, validly existing and in good standing under the laws of the State of Delaware.</w:t>
      </w:r>
    </w:p>
    <w:p>
      <w:pPr>
        <w:spacing w:after="0" w:line="81" w:lineRule="exact"/>
        <w:rPr>
          <w:sz w:val="20"/>
          <w:szCs w:val="20"/>
          <w:color w:val="auto"/>
        </w:rPr>
      </w:pPr>
    </w:p>
    <w:p>
      <w:pPr>
        <w:ind w:left="780" w:right="20" w:hanging="534"/>
        <w:spacing w:after="0" w:line="284"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the Company of this Agreement and the consummation of the transactions contemplated hereby are within the corporate powers of the Company and have been duly authorized by all necessary corporate action on the part of the Company and the Company’s stockholders, subject to compliance with</w:t>
      </w:r>
    </w:p>
    <w:p>
      <w:pPr>
        <w:spacing w:after="0" w:line="2" w:lineRule="exact"/>
        <w:rPr>
          <w:sz w:val="20"/>
          <w:szCs w:val="20"/>
          <w:color w:val="auto"/>
        </w:rPr>
      </w:pPr>
    </w:p>
    <w:p>
      <w:pPr>
        <w:ind w:left="780" w:right="140"/>
        <w:spacing w:after="0" w:line="286" w:lineRule="auto"/>
        <w:rPr>
          <w:sz w:val="20"/>
          <w:szCs w:val="20"/>
          <w:color w:val="auto"/>
        </w:rPr>
      </w:pPr>
      <w:r>
        <w:rPr>
          <w:rFonts w:ascii="Arial" w:cs="Arial" w:eastAsia="Arial" w:hAnsi="Arial"/>
          <w:sz w:val="16"/>
          <w:szCs w:val="16"/>
          <w:color w:val="auto"/>
        </w:rPr>
        <w:t>Section 2.2.3 and the approval of and adoption by the Company’s stockholders of the Certificate of Incorporation. Any and all rights of first refusal or co-sale held by the Company or the Company’s stockholders that are applicable to the transactions contemplated hereby have been waived or are otherwise inapplicable. Assuming the due authorization, execution and delivery by each Exchange Stockholder,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76" w:lineRule="exact"/>
        <w:rPr>
          <w:sz w:val="20"/>
          <w:szCs w:val="20"/>
          <w:color w:val="auto"/>
        </w:rPr>
      </w:pPr>
    </w:p>
    <w:p>
      <w:pPr>
        <w:ind w:left="780" w:right="200" w:hanging="534"/>
        <w:spacing w:after="0" w:line="25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the Company of this Agreement and the consummation of the transactions contemplated hereby require no action by or in respect of, or filing with, any governmental authority other than (i) the filing by the Company of the Certificate of Incorporation with the Secretary of State of the State of Delaware and (ii) compliance by the Company with any applicable requirements of any applicable state or federal securities laws.</w:t>
      </w:r>
    </w:p>
    <w:p>
      <w:pPr>
        <w:sectPr>
          <w:pgSz w:w="11900" w:h="16838" w:orient="portrait"/>
          <w:cols w:equalWidth="0" w:num="1">
            <w:col w:w="9960"/>
          </w:cols>
          <w:pgMar w:left="1440" w:top="272" w:right="499" w:bottom="1440" w:gutter="0" w:footer="0" w:header="0"/>
        </w:sectPr>
      </w:pPr>
    </w:p>
    <w:bookmarkStart w:id="338" w:name="page339"/>
    <w:bookmarkEnd w:id="338"/>
    <w:p>
      <w:pPr>
        <w:ind w:left="1733" w:hanging="53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2.2.4.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the Company of this Agreement and the consummation of the transactions contemplated hereby do not and will not, assuming compliance with the matters referred to in Section 2.2.3 and approval of and adoption by the Company’s stockholders of the Certificate of Incorporation, (i) violate the certificate of incorporation or bylaws of the Company, (ii) violate any law or order applicable to the Company, (iii) require any consent or other action by any person under, constitute a default under, or give rise to any right of termination, cancellation or acceleration of any right obligation of the Company or to the loss of any benefit to which the Company is entitled under any provision of any agreement or other instrument binding upon the Company or (iv) result in the creation or imposition of any lien on the Class B Shares other than as set forth or contemplated by this Agreement or the Certificate of Incorporation.</w:t>
      </w:r>
    </w:p>
    <w:p>
      <w:pPr>
        <w:spacing w:after="0" w:line="68" w:lineRule="exact"/>
        <w:rPr>
          <w:sz w:val="20"/>
          <w:szCs w:val="20"/>
          <w:color w:val="auto"/>
        </w:rPr>
      </w:pPr>
    </w:p>
    <w:p>
      <w:pPr>
        <w:ind w:left="533" w:hanging="533"/>
        <w:spacing w:after="0"/>
        <w:tabs>
          <w:tab w:leader="none" w:pos="533"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1" w:lineRule="exact"/>
        <w:rPr>
          <w:rFonts w:ascii="Arial" w:cs="Arial" w:eastAsia="Arial" w:hAnsi="Arial"/>
          <w:sz w:val="18"/>
          <w:szCs w:val="18"/>
          <w:b w:val="1"/>
          <w:bCs w:val="1"/>
          <w:color w:val="auto"/>
        </w:rPr>
      </w:pPr>
    </w:p>
    <w:p>
      <w:pPr>
        <w:ind w:left="1173" w:right="480" w:hanging="642"/>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Waiver of Right of First Refusal</w:t>
      </w:r>
      <w:r>
        <w:rPr>
          <w:rFonts w:ascii="Arial" w:cs="Arial" w:eastAsia="Arial" w:hAnsi="Arial"/>
          <w:sz w:val="18"/>
          <w:szCs w:val="18"/>
          <w:color w:val="auto"/>
        </w:rPr>
        <w:t>. The Company hereby waives any preexisting rights of first refusal applicable to the transactions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contemplated hereby.</w:t>
      </w:r>
    </w:p>
    <w:p>
      <w:pPr>
        <w:spacing w:after="0" w:line="80" w:lineRule="exact"/>
        <w:rPr>
          <w:rFonts w:ascii="Arial" w:cs="Arial" w:eastAsia="Arial" w:hAnsi="Arial"/>
          <w:sz w:val="18"/>
          <w:szCs w:val="18"/>
          <w:b w:val="1"/>
          <w:bCs w:val="1"/>
          <w:color w:val="auto"/>
        </w:rPr>
      </w:pPr>
    </w:p>
    <w:p>
      <w:pPr>
        <w:ind w:left="1173" w:right="100" w:hanging="642"/>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regardless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laws that might otherwise govern under applicable principles of conflicts of law.</w:t>
      </w:r>
    </w:p>
    <w:p>
      <w:pPr>
        <w:spacing w:after="0" w:line="80" w:lineRule="exact"/>
        <w:rPr>
          <w:rFonts w:ascii="Arial" w:cs="Arial" w:eastAsia="Arial" w:hAnsi="Arial"/>
          <w:sz w:val="18"/>
          <w:szCs w:val="18"/>
          <w:b w:val="1"/>
          <w:bCs w:val="1"/>
          <w:color w:val="auto"/>
        </w:rPr>
      </w:pPr>
    </w:p>
    <w:p>
      <w:pPr>
        <w:ind w:left="533"/>
        <w:spacing w:after="0"/>
        <w:rPr>
          <w:rFonts w:ascii="Arial" w:cs="Arial" w:eastAsia="Arial" w:hAnsi="Arial"/>
          <w:sz w:val="18"/>
          <w:szCs w:val="18"/>
          <w:b w:val="1"/>
          <w:bCs w:val="1"/>
          <w:color w:val="auto"/>
        </w:rPr>
      </w:pPr>
      <w:r>
        <w:rPr>
          <w:rFonts w:ascii="Arial" w:cs="Arial" w:eastAsia="Arial" w:hAnsi="Arial"/>
          <w:sz w:val="18"/>
          <w:szCs w:val="18"/>
          <w:color w:val="auto"/>
        </w:rPr>
        <w:t>3.3.</w:t>
      </w:r>
      <w:r>
        <w:rPr>
          <w:rFonts w:ascii="Arial" w:cs="Arial" w:eastAsia="Arial" w:hAnsi="Arial"/>
          <w:sz w:val="16"/>
          <w:szCs w:val="16"/>
          <w:u w:val="single" w:color="auto"/>
          <w:color w:val="auto"/>
        </w:rPr>
        <w:t>No Assignment</w:t>
      </w:r>
      <w:r>
        <w:rPr>
          <w:rFonts w:ascii="Arial" w:cs="Arial" w:eastAsia="Arial" w:hAnsi="Arial"/>
          <w:sz w:val="16"/>
          <w:szCs w:val="16"/>
          <w:color w:val="auto"/>
        </w:rPr>
        <w:t>. The terms and conditions of this Agreement, including all obligations and rights therein, may not be assigned.</w:t>
      </w:r>
    </w:p>
    <w:p>
      <w:pPr>
        <w:spacing w:after="0" w:line="127" w:lineRule="exact"/>
        <w:rPr>
          <w:rFonts w:ascii="Arial" w:cs="Arial" w:eastAsia="Arial" w:hAnsi="Arial"/>
          <w:sz w:val="18"/>
          <w:szCs w:val="18"/>
          <w:b w:val="1"/>
          <w:bCs w:val="1"/>
          <w:color w:val="auto"/>
        </w:rPr>
      </w:pPr>
    </w:p>
    <w:p>
      <w:pPr>
        <w:ind w:left="1173" w:right="460" w:hanging="6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Amend or Waive</w:t>
      </w:r>
      <w:r>
        <w:rPr>
          <w:rFonts w:ascii="Arial" w:cs="Arial" w:eastAsia="Arial" w:hAnsi="Arial"/>
          <w:sz w:val="18"/>
          <w:szCs w:val="18"/>
          <w:color w:val="auto"/>
        </w:rPr>
        <w:t>. This Agreement may be amended or terminated and the observance of any term hereof may be waived (either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generally or in a particular instance and either retroactively or prospectively) only by a written instrument executed by each of the parties hereto.</w:t>
      </w:r>
    </w:p>
    <w:p>
      <w:pPr>
        <w:spacing w:after="0" w:line="92" w:lineRule="exact"/>
        <w:rPr>
          <w:rFonts w:ascii="Arial" w:cs="Arial" w:eastAsia="Arial" w:hAnsi="Arial"/>
          <w:sz w:val="18"/>
          <w:szCs w:val="18"/>
          <w:b w:val="1"/>
          <w:bCs w:val="1"/>
          <w:color w:val="auto"/>
        </w:rPr>
      </w:pPr>
    </w:p>
    <w:p>
      <w:pPr>
        <w:ind w:left="1173" w:right="80" w:hanging="642"/>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hereof shall in no way affect the validity or enforceability of any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provision.</w:t>
      </w:r>
    </w:p>
    <w:p>
      <w:pPr>
        <w:spacing w:after="0" w:line="80" w:lineRule="exact"/>
        <w:rPr>
          <w:rFonts w:ascii="Arial" w:cs="Arial" w:eastAsia="Arial" w:hAnsi="Arial"/>
          <w:sz w:val="18"/>
          <w:szCs w:val="18"/>
          <w:b w:val="1"/>
          <w:bCs w:val="1"/>
          <w:color w:val="auto"/>
        </w:rPr>
      </w:pPr>
    </w:p>
    <w:p>
      <w:pPr>
        <w:ind w:left="1173" w:right="220" w:hanging="6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3.6.</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shall constitute the full and entire understanding and agreement among the parties with respect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subject matter hereof, and any other written or oral agreement relating to the subject matter hereof existing among the parties are expressly canceled.</w:t>
      </w:r>
    </w:p>
    <w:p>
      <w:pPr>
        <w:spacing w:after="0" w:line="92" w:lineRule="exact"/>
        <w:rPr>
          <w:rFonts w:ascii="Arial" w:cs="Arial" w:eastAsia="Arial" w:hAnsi="Arial"/>
          <w:sz w:val="18"/>
          <w:szCs w:val="18"/>
          <w:b w:val="1"/>
          <w:bCs w:val="1"/>
          <w:color w:val="auto"/>
        </w:rPr>
      </w:pPr>
    </w:p>
    <w:p>
      <w:pPr>
        <w:ind w:left="1173" w:right="80" w:hanging="64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3.7.</w:t>
      </w:r>
      <w:r>
        <w:rPr>
          <w:rFonts w:ascii="Arial" w:cs="Arial" w:eastAsia="Arial" w:hAnsi="Arial"/>
          <w:sz w:val="18"/>
          <w:szCs w:val="18"/>
          <w:u w:val="single" w:color="auto"/>
          <w:color w:val="auto"/>
        </w:rPr>
        <w:t>Counterparts; Facsimile</w:t>
      </w:r>
      <w:r>
        <w:rPr>
          <w:rFonts w:ascii="Arial" w:cs="Arial" w:eastAsia="Arial" w:hAnsi="Arial"/>
          <w:sz w:val="18"/>
          <w:szCs w:val="18"/>
          <w:color w:val="auto"/>
        </w:rPr>
        <w:t>. This Agreement may be executed and delivered by facsimile signature, including electronic signatures, and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two or more counterparts, each of which shall be deemed an original, but all of which together shall constitute one and the same instrument.</w:t>
      </w:r>
    </w:p>
    <w:p>
      <w:pPr>
        <w:spacing w:after="0" w:line="92" w:lineRule="exact"/>
        <w:rPr>
          <w:rFonts w:ascii="Arial" w:cs="Arial" w:eastAsia="Arial" w:hAnsi="Arial"/>
          <w:sz w:val="18"/>
          <w:szCs w:val="18"/>
          <w:b w:val="1"/>
          <w:bCs w:val="1"/>
          <w:color w:val="auto"/>
        </w:rPr>
      </w:pPr>
    </w:p>
    <w:p>
      <w:pPr>
        <w:ind w:left="1173" w:right="20" w:hanging="642"/>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3.8.</w:t>
      </w:r>
      <w:r>
        <w:rPr>
          <w:rFonts w:ascii="Arial" w:cs="Arial" w:eastAsia="Arial" w:hAnsi="Arial"/>
          <w:sz w:val="17"/>
          <w:szCs w:val="17"/>
          <w:u w:val="single" w:color="auto"/>
          <w:color w:val="auto"/>
        </w:rPr>
        <w:t>Tax Consequences</w:t>
      </w:r>
      <w:r>
        <w:rPr>
          <w:rFonts w:ascii="Arial" w:cs="Arial" w:eastAsia="Arial" w:hAnsi="Arial"/>
          <w:sz w:val="17"/>
          <w:szCs w:val="17"/>
          <w:color w:val="auto"/>
        </w:rPr>
        <w:t>. The parties hereto intend that no gain or loss shall be recognized in the Exchange pursuant to Sections 368(a)(1)(E)</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and/or 1036 of the Code. The parties adopt this Agreement as a plan of reorganization within the meaning of Treasury Regulations Sections 1.368-2(g) and 1.368-3(a). Notwithstanding the foregoing, each Exchange Stockholder has reviewed with his own tax advisors the federal, state, local and foreign tax consequences of the Exchange, investment in the Class B Shares and the transactions contemplated by this Agreement. Each Exchange Stockholder is relying solely on such advisors and not on any statements or representations of the Company or any of its agents in connection with the transactions contemplated hereby, except for the representations and warranties of the Company expressly set forth in Section 2.2 above.</w:t>
      </w:r>
    </w:p>
    <w:p>
      <w:pPr>
        <w:spacing w:after="0" w:line="178"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893"/>
          </w:cols>
          <w:pgMar w:left="487" w:top="272" w:right="519" w:bottom="1440" w:gutter="0" w:footer="0" w:header="0"/>
        </w:sectPr>
      </w:pPr>
    </w:p>
    <w:bookmarkStart w:id="339" w:name="page340"/>
    <w:bookmarkEnd w:id="339"/>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6"/>
          <w:szCs w:val="16"/>
          <w:color w:val="auto"/>
        </w:rPr>
        <w:t>, the undersigned have caused this Agreement to be executed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XOMETRY,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13335</wp:posOffset>
            </wp:positionV>
            <wp:extent cx="25393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38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Xometry, Inc. Exchange Agreement</w:t>
      </w:r>
      <w:r>
        <w:rPr>
          <w:rFonts w:ascii="Arial" w:cs="Arial" w:eastAsia="Arial" w:hAnsi="Arial"/>
          <w:sz w:val="18"/>
          <w:szCs w:val="18"/>
          <w:color w:val="auto"/>
        </w:rPr>
        <w:t>]</w:t>
      </w:r>
    </w:p>
    <w:p>
      <w:pPr>
        <w:sectPr>
          <w:pgSz w:w="11900" w:h="16838" w:orient="portrait"/>
          <w:cols w:equalWidth="0" w:num="1">
            <w:col w:w="9979"/>
          </w:cols>
          <w:pgMar w:left="480" w:top="268" w:right="1440" w:bottom="1440" w:gutter="0" w:footer="0" w:header="0"/>
        </w:sectPr>
      </w:pPr>
    </w:p>
    <w:bookmarkStart w:id="340" w:name="page341"/>
    <w:bookmarkEnd w:id="340"/>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6"/>
          <w:szCs w:val="16"/>
          <w:color w:val="auto"/>
        </w:rPr>
        <w:t>, the undersigned have caused this Agreement to be executed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RANDOLPH ALTSCHULER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13335</wp:posOffset>
            </wp:positionV>
            <wp:extent cx="25393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Xometry, Inc. Exchange Agreement</w:t>
      </w:r>
      <w:r>
        <w:rPr>
          <w:rFonts w:ascii="Arial" w:cs="Arial" w:eastAsia="Arial" w:hAnsi="Arial"/>
          <w:sz w:val="18"/>
          <w:szCs w:val="18"/>
          <w:color w:val="auto"/>
        </w:rPr>
        <w:t>]</w:t>
      </w:r>
    </w:p>
    <w:p>
      <w:pPr>
        <w:sectPr>
          <w:pgSz w:w="11900" w:h="16838" w:orient="portrait"/>
          <w:cols w:equalWidth="0" w:num="1">
            <w:col w:w="9979"/>
          </w:cols>
          <w:pgMar w:left="480" w:top="268" w:right="1440" w:bottom="1440" w:gutter="0" w:footer="0" w:header="0"/>
        </w:sectPr>
      </w:pPr>
    </w:p>
    <w:bookmarkStart w:id="341" w:name="page342"/>
    <w:bookmarkEnd w:id="341"/>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6"/>
          <w:szCs w:val="16"/>
          <w:color w:val="auto"/>
        </w:rPr>
        <w:t>, the undersigned have caused this Agreement to be executed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LAURENCE ZURIFF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13335</wp:posOffset>
            </wp:positionV>
            <wp:extent cx="25393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Xometry, Inc. Exchange Agreement</w:t>
      </w:r>
      <w:r>
        <w:rPr>
          <w:rFonts w:ascii="Arial" w:cs="Arial" w:eastAsia="Arial" w:hAnsi="Arial"/>
          <w:sz w:val="18"/>
          <w:szCs w:val="18"/>
          <w:color w:val="auto"/>
        </w:rPr>
        <w:t>]</w:t>
      </w:r>
    </w:p>
    <w:p>
      <w:pPr>
        <w:sectPr>
          <w:pgSz w:w="11900" w:h="16838" w:orient="portrait"/>
          <w:cols w:equalWidth="0" w:num="1">
            <w:col w:w="9979"/>
          </w:cols>
          <w:pgMar w:left="480" w:top="268" w:right="1440" w:bottom="1440" w:gutter="0" w:footer="0" w:header="0"/>
        </w:sectPr>
      </w:pPr>
    </w:p>
    <w:bookmarkStart w:id="342" w:name="page343"/>
    <w:bookmarkEnd w:id="3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Exchange Stockholder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Randolph Altschuler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8"/>
          <w:szCs w:val="18"/>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-212090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10" w:lineRule="exact"/>
        <w:rPr>
          <w:sz w:val="20"/>
          <w:szCs w:val="20"/>
          <w:color w:val="auto"/>
        </w:rPr>
      </w:pPr>
    </w:p>
    <w:tbl>
      <w:tblPr>
        <w:tblLayout w:type="fixed"/>
        <w:tblInd w:w="4960" w:type="dxa"/>
        <w:tblCellMar>
          <w:top w:w="0" w:type="dxa"/>
          <w:left w:w="0" w:type="dxa"/>
          <w:bottom w:w="0" w:type="dxa"/>
          <w:right w:w="0" w:type="dxa"/>
        </w:tblCellMar>
      </w:tblPr>
      <w:tr>
        <w:trPr>
          <w:trHeight w:val="161"/>
        </w:trPr>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47"/>
        </w:trPr>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89"/>
              </w:rPr>
              <w:t>Shares</w:t>
            </w: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5"/>
              </w:rPr>
              <w:t>Shares</w:t>
            </w:r>
          </w:p>
        </w:tc>
      </w:tr>
      <w:tr>
        <w:trPr>
          <w:trHeight w:val="147"/>
        </w:trPr>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0"/>
              </w:rPr>
              <w:t>of Class A</w:t>
            </w: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of Class B</w:t>
            </w:r>
          </w:p>
        </w:tc>
      </w:tr>
      <w:tr>
        <w:trPr>
          <w:trHeight w:val="147"/>
        </w:trPr>
        <w:tc>
          <w:tcPr>
            <w:tcW w:w="1480" w:type="dxa"/>
            <w:vAlign w:val="bottom"/>
            <w:gridSpan w:val="2"/>
          </w:tcPr>
          <w:p>
            <w:pPr>
              <w:jc w:val="center"/>
              <w:ind w:right="800"/>
              <w:spacing w:after="0" w:line="147" w:lineRule="exact"/>
              <w:rPr>
                <w:sz w:val="20"/>
                <w:szCs w:val="20"/>
                <w:color w:val="auto"/>
              </w:rPr>
            </w:pPr>
            <w:r>
              <w:rPr>
                <w:rFonts w:ascii="Arial" w:cs="Arial" w:eastAsia="Arial" w:hAnsi="Arial"/>
                <w:sz w:val="14"/>
                <w:szCs w:val="14"/>
                <w:b w:val="1"/>
                <w:bCs w:val="1"/>
                <w:color w:val="auto"/>
                <w:w w:val="92"/>
              </w:rPr>
              <w:t>Common</w:t>
            </w: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Common</w:t>
            </w:r>
          </w:p>
        </w:tc>
      </w:tr>
      <w:tr>
        <w:trPr>
          <w:trHeight w:val="147"/>
        </w:trPr>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Stock</w:t>
            </w:r>
          </w:p>
        </w:tc>
      </w:tr>
      <w:tr>
        <w:trPr>
          <w:trHeight w:val="170"/>
        </w:trPr>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Exchanged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to be Issued</w:t>
            </w:r>
          </w:p>
        </w:tc>
      </w:tr>
      <w:tr>
        <w:trPr>
          <w:trHeight w:val="20"/>
        </w:trPr>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Exhibit A to Xometry, Inc. Exchange Agreement</w:t>
      </w:r>
    </w:p>
    <w:p>
      <w:pPr>
        <w:sectPr>
          <w:pgSz w:w="11900" w:h="16838" w:orient="portrait"/>
          <w:cols w:equalWidth="0" w:num="2">
            <w:col w:w="3000" w:space="720"/>
            <w:col w:w="7160"/>
          </w:cols>
          <w:pgMar w:left="480" w:top="268" w:right="5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We consent to the use of our report dated April 13, 2021, with respect to the consolidated financial statements and financial statement schedule of Xometry, Inc., included herein and to the reference to our firm under the heading “Experts” in the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June 18, 2021</w:t>
      </w:r>
    </w:p>
    <w:p>
      <w:pPr>
        <w:sectPr>
          <w:pgSz w:w="11900" w:h="16838" w:orient="portrait"/>
          <w:cols w:equalWidth="0" w:num="1">
            <w:col w:w="10920"/>
          </w:cols>
          <w:pgMar w:left="480" w:top="121" w:right="49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118"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Pursuant to Rule 438 of Regulation C promulgated under the Securities Act of 1933, as amended (the “Securities Act”), in connection with the Registration Statement on Form S-1 (the “Registration Statement”) of Xometry, Inc., the undersigned hereby consents to being named and described as a person who will become a director of Xometry, Inc. in the Registration Statement and any amendment or supplement to any prospectus included in such Registration Statement, any amendment to such Registration Statement or any subsequent Registration Statement filed pursuant to Rule 462(b) under the Securities Act and to the filing or attachment of this consent with such Registration Statement and any amendment or supplement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consent as of the 16</w:t>
      </w:r>
      <w:r>
        <w:rPr>
          <w:rFonts w:ascii="Arial" w:cs="Arial" w:eastAsia="Arial" w:hAnsi="Arial"/>
          <w:sz w:val="15"/>
          <w:szCs w:val="15"/>
          <w:color w:val="auto"/>
        </w:rPr>
        <w:t>th</w:t>
      </w:r>
      <w:r>
        <w:rPr>
          <w:rFonts w:ascii="Arial" w:cs="Arial" w:eastAsia="Arial" w:hAnsi="Arial"/>
          <w:sz w:val="18"/>
          <w:szCs w:val="18"/>
          <w:color w:val="auto"/>
        </w:rPr>
        <w:t xml:space="preserve"> day of June, 2021.</w:t>
      </w:r>
    </w:p>
    <w:p>
      <w:pPr>
        <w:spacing w:after="0" w:line="24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Ranjana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13335</wp:posOffset>
            </wp:positionV>
            <wp:extent cx="27686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Ranjana Clark</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0E823"/>
    <w:multiLevelType w:val="hybridMultilevel"/>
    <w:lvl w:ilvl="0">
      <w:lvlJc w:val="left"/>
      <w:lvlText w:val="(%1)"/>
      <w:numFmt w:val="decimal"/>
      <w:start w:val="1"/>
    </w:lvl>
  </w:abstractNum>
  <w:abstractNum w:abstractNumId="1">
    <w:nsid w:val="14D53685"/>
    <w:multiLevelType w:val="hybridMultilevel"/>
    <w:lvl w:ilvl="0">
      <w:lvlJc w:val="left"/>
      <w:lvlText w:val="(%1)"/>
      <w:numFmt w:val="decimal"/>
      <w:start w:val="1"/>
    </w:lvl>
  </w:abstractNum>
  <w:abstractNum w:abstractNumId="2">
    <w:nsid w:val="230F856C"/>
    <w:multiLevelType w:val="hybridMultilevel"/>
    <w:lvl w:ilvl="0">
      <w:lvlJc w:val="left"/>
      <w:lvlText w:val="•"/>
      <w:numFmt w:val="bullet"/>
      <w:start w:val="1"/>
    </w:lvl>
  </w:abstractNum>
  <w:abstractNum w:abstractNumId="3">
    <w:nsid w:val="6EAA85FB"/>
    <w:multiLevelType w:val="hybridMultilevel"/>
    <w:lvl w:ilvl="0">
      <w:lvlJc w:val="left"/>
      <w:lvlText w:val="•"/>
      <w:numFmt w:val="bullet"/>
      <w:start w:val="1"/>
    </w:lvl>
  </w:abstractNum>
  <w:abstractNum w:abstractNumId="4">
    <w:nsid w:val="3F06ECB2"/>
    <w:multiLevelType w:val="hybridMultilevel"/>
    <w:lvl w:ilvl="0">
      <w:lvlJc w:val="left"/>
      <w:lvlText w:val="•"/>
      <w:numFmt w:val="bullet"/>
      <w:start w:val="1"/>
    </w:lvl>
  </w:abstractNum>
  <w:abstractNum w:abstractNumId="5">
    <w:nsid w:val="3B594807"/>
    <w:multiLevelType w:val="hybridMultilevel"/>
    <w:lvl w:ilvl="0">
      <w:lvlJc w:val="left"/>
      <w:lvlText w:val="•"/>
      <w:numFmt w:val="bullet"/>
      <w:start w:val="1"/>
    </w:lvl>
  </w:abstractNum>
  <w:abstractNum w:abstractNumId="6">
    <w:nsid w:val="6CAA2304"/>
    <w:multiLevelType w:val="hybridMultilevel"/>
    <w:lvl w:ilvl="0">
      <w:lvlJc w:val="left"/>
      <w:lvlText w:val="•"/>
      <w:numFmt w:val="bullet"/>
      <w:start w:val="1"/>
    </w:lvl>
  </w:abstractNum>
  <w:abstractNum w:abstractNumId="7">
    <w:nsid w:val="3F7C2FF4"/>
    <w:multiLevelType w:val="hybridMultilevel"/>
    <w:lvl w:ilvl="0">
      <w:lvlJc w:val="left"/>
      <w:lvlText w:val="•"/>
      <w:numFmt w:val="bullet"/>
      <w:start w:val="1"/>
    </w:lvl>
  </w:abstractNum>
  <w:abstractNum w:abstractNumId="8">
    <w:nsid w:val="25413BEC"/>
    <w:multiLevelType w:val="hybridMultilevel"/>
    <w:lvl w:ilvl="0">
      <w:lvlJc w:val="left"/>
      <w:lvlText w:val="•"/>
      <w:numFmt w:val="bullet"/>
      <w:start w:val="1"/>
    </w:lvl>
  </w:abstractNum>
  <w:abstractNum w:abstractNumId="9">
    <w:nsid w:val="17180B0B"/>
    <w:multiLevelType w:val="hybridMultilevel"/>
    <w:lvl w:ilvl="0">
      <w:lvlJc w:val="left"/>
      <w:lvlText w:val="•"/>
      <w:numFmt w:val="bullet"/>
      <w:start w:val="1"/>
    </w:lvl>
  </w:abstractNum>
  <w:abstractNum w:abstractNumId="10">
    <w:nsid w:val="579328B9"/>
    <w:multiLevelType w:val="hybridMultilevel"/>
    <w:lvl w:ilvl="0">
      <w:lvlJc w:val="left"/>
      <w:lvlText w:val="•"/>
      <w:numFmt w:val="bullet"/>
      <w:start w:val="1"/>
    </w:lvl>
  </w:abstractNum>
  <w:abstractNum w:abstractNumId="11">
    <w:nsid w:val="5D205E20"/>
    <w:multiLevelType w:val="hybridMultilevel"/>
    <w:lvl w:ilvl="0">
      <w:lvlJc w:val="left"/>
      <w:lvlText w:val="•"/>
      <w:numFmt w:val="bullet"/>
      <w:start w:val="1"/>
    </w:lvl>
  </w:abstractNum>
  <w:abstractNum w:abstractNumId="12">
    <w:nsid w:val="11CCA8BA"/>
    <w:multiLevelType w:val="hybridMultilevel"/>
    <w:lvl w:ilvl="0">
      <w:lvlJc w:val="left"/>
      <w:lvlText w:val="•"/>
      <w:numFmt w:val="bullet"/>
      <w:start w:val="1"/>
    </w:lvl>
  </w:abstractNum>
  <w:abstractNum w:abstractNumId="13">
    <w:nsid w:val="4D32AB86"/>
    <w:multiLevelType w:val="hybridMultilevel"/>
    <w:lvl w:ilvl="0">
      <w:lvlJc w:val="left"/>
      <w:lvlText w:val="•"/>
      <w:numFmt w:val="bullet"/>
      <w:start w:val="1"/>
    </w:lvl>
  </w:abstractNum>
  <w:abstractNum w:abstractNumId="14">
    <w:nsid w:val="3F07ACC3"/>
    <w:multiLevelType w:val="hybridMultilevel"/>
    <w:lvl w:ilvl="0">
      <w:lvlJc w:val="left"/>
      <w:lvlText w:val="•"/>
      <w:numFmt w:val="bullet"/>
      <w:start w:val="1"/>
    </w:lvl>
  </w:abstractNum>
  <w:abstractNum w:abstractNumId="15">
    <w:nsid w:val="6B47F63E"/>
    <w:multiLevelType w:val="hybridMultilevel"/>
    <w:lvl w:ilvl="0">
      <w:lvlJc w:val="left"/>
      <w:lvlText w:val="•"/>
      <w:numFmt w:val="bullet"/>
      <w:start w:val="1"/>
    </w:lvl>
  </w:abstractNum>
  <w:abstractNum w:abstractNumId="16">
    <w:nsid w:val="5CB44A05"/>
    <w:multiLevelType w:val="hybridMultilevel"/>
    <w:lvl w:ilvl="0">
      <w:lvlJc w:val="left"/>
      <w:lvlText w:val="(%1)"/>
      <w:numFmt w:val="decimal"/>
      <w:start w:val="1"/>
    </w:lvl>
  </w:abstractNum>
  <w:abstractNum w:abstractNumId="17">
    <w:nsid w:val="16CF80F1"/>
    <w:multiLevelType w:val="hybridMultilevel"/>
    <w:lvl w:ilvl="0">
      <w:lvlJc w:val="left"/>
      <w:lvlText w:val="(%1)"/>
      <w:numFmt w:val="decimal"/>
      <w:start w:val="1"/>
    </w:lvl>
  </w:abstractNum>
  <w:abstractNum w:abstractNumId="18">
    <w:nsid w:val="1C695DEC"/>
    <w:multiLevelType w:val="hybridMultilevel"/>
    <w:lvl w:ilvl="0">
      <w:lvlJc w:val="left"/>
      <w:lvlText w:val="(%1)"/>
      <w:numFmt w:val="decimal"/>
      <w:start w:val="1"/>
    </w:lvl>
  </w:abstractNum>
  <w:abstractNum w:abstractNumId="19">
    <w:nsid w:val="3FCFAED9"/>
    <w:multiLevelType w:val="hybridMultilevel"/>
    <w:lvl w:ilvl="0">
      <w:lvlJc w:val="left"/>
      <w:lvlText w:val="•"/>
      <w:numFmt w:val="bullet"/>
      <w:start w:val="1"/>
    </w:lvl>
  </w:abstractNum>
  <w:abstractNum w:abstractNumId="20">
    <w:nsid w:val="F856867"/>
    <w:multiLevelType w:val="hybridMultilevel"/>
    <w:lvl w:ilvl="0">
      <w:lvlJc w:val="left"/>
      <w:lvlText w:val="•"/>
      <w:numFmt w:val="bullet"/>
      <w:start w:val="1"/>
    </w:lvl>
  </w:abstractNum>
  <w:abstractNum w:abstractNumId="21">
    <w:nsid w:val="11B1CC33"/>
    <w:multiLevelType w:val="hybridMultilevel"/>
    <w:lvl w:ilvl="0">
      <w:lvlJc w:val="left"/>
      <w:lvlText w:val="•"/>
      <w:numFmt w:val="bullet"/>
      <w:start w:val="1"/>
    </w:lvl>
  </w:abstractNum>
  <w:abstractNum w:abstractNumId="22">
    <w:nsid w:val="2E22FBB7"/>
    <w:multiLevelType w:val="hybridMultilevel"/>
    <w:lvl w:ilvl="0">
      <w:lvlJc w:val="left"/>
      <w:lvlText w:val="•"/>
      <w:numFmt w:val="bullet"/>
      <w:start w:val="1"/>
    </w:lvl>
  </w:abstractNum>
  <w:abstractNum w:abstractNumId="23">
    <w:nsid w:val="29934699"/>
    <w:multiLevelType w:val="hybridMultilevel"/>
    <w:lvl w:ilvl="0">
      <w:lvlJc w:val="left"/>
      <w:lvlText w:val="•"/>
      <w:numFmt w:val="bullet"/>
      <w:start w:val="1"/>
    </w:lvl>
  </w:abstractNum>
  <w:abstractNum w:abstractNumId="24">
    <w:nsid w:val="77485850"/>
    <w:multiLevelType w:val="hybridMultilevel"/>
    <w:lvl w:ilvl="0">
      <w:lvlJc w:val="left"/>
      <w:lvlText w:val="•"/>
      <w:numFmt w:val="bullet"/>
      <w:start w:val="1"/>
    </w:lvl>
  </w:abstractNum>
  <w:abstractNum w:abstractNumId="25">
    <w:nsid w:val="744939A3"/>
    <w:multiLevelType w:val="hybridMultilevel"/>
    <w:lvl w:ilvl="0">
      <w:lvlJc w:val="left"/>
      <w:lvlText w:val="•"/>
      <w:numFmt w:val="bullet"/>
      <w:start w:val="1"/>
    </w:lvl>
  </w:abstractNum>
  <w:abstractNum w:abstractNumId="26">
    <w:nsid w:val="4FA0D2E3"/>
    <w:multiLevelType w:val="hybridMultilevel"/>
    <w:lvl w:ilvl="0">
      <w:lvlJc w:val="left"/>
      <w:lvlText w:val="•"/>
      <w:numFmt w:val="bullet"/>
      <w:start w:val="1"/>
    </w:lvl>
  </w:abstractNum>
  <w:abstractNum w:abstractNumId="27">
    <w:nsid w:val="6B1D2C14"/>
    <w:multiLevelType w:val="hybridMultilevel"/>
    <w:lvl w:ilvl="0">
      <w:lvlJc w:val="left"/>
      <w:lvlText w:val="•"/>
      <w:numFmt w:val="bullet"/>
      <w:start w:val="1"/>
    </w:lvl>
  </w:abstractNum>
  <w:abstractNum w:abstractNumId="28">
    <w:nsid w:val="68B867D3"/>
    <w:multiLevelType w:val="hybridMultilevel"/>
    <w:lvl w:ilvl="0">
      <w:lvlJc w:val="left"/>
      <w:lvlText w:val="•"/>
      <w:numFmt w:val="bullet"/>
      <w:start w:val="1"/>
    </w:lvl>
  </w:abstractNum>
  <w:abstractNum w:abstractNumId="29">
    <w:nsid w:val="3F7F5DD9"/>
    <w:multiLevelType w:val="hybridMultilevel"/>
    <w:lvl w:ilvl="0">
      <w:lvlJc w:val="left"/>
      <w:lvlText w:val="•"/>
      <w:numFmt w:val="bullet"/>
      <w:start w:val="1"/>
    </w:lvl>
  </w:abstractNum>
  <w:abstractNum w:abstractNumId="30">
    <w:nsid w:val="2AE05A34"/>
    <w:multiLevelType w:val="hybridMultilevel"/>
    <w:lvl w:ilvl="0">
      <w:lvlJc w:val="left"/>
      <w:lvlText w:val="(%1)"/>
      <w:numFmt w:val="decimal"/>
      <w:start w:val="1"/>
    </w:lvl>
  </w:abstractNum>
  <w:abstractNum w:abstractNumId="31">
    <w:nsid w:val="32794FF7"/>
    <w:multiLevelType w:val="hybridMultilevel"/>
    <w:lvl w:ilvl="0">
      <w:lvlJc w:val="left"/>
      <w:lvlText w:val="(%1)"/>
      <w:numFmt w:val="lowerRoman"/>
      <w:start w:val="4"/>
    </w:lvl>
  </w:abstractNum>
  <w:abstractNum w:abstractNumId="32">
    <w:nsid w:val="5454945E"/>
    <w:multiLevelType w:val="hybridMultilevel"/>
    <w:lvl w:ilvl="0">
      <w:lvlJc w:val="left"/>
      <w:lvlText w:val="•"/>
      <w:numFmt w:val="bullet"/>
      <w:start w:val="1"/>
    </w:lvl>
  </w:abstractNum>
  <w:abstractNum w:abstractNumId="33">
    <w:nsid w:val="4DEFDFA0"/>
    <w:multiLevelType w:val="hybridMultilevel"/>
    <w:lvl w:ilvl="0">
      <w:lvlJc w:val="left"/>
      <w:lvlText w:val="•"/>
      <w:numFmt w:val="bullet"/>
      <w:start w:val="1"/>
    </w:lvl>
  </w:abstractNum>
  <w:abstractNum w:abstractNumId="34">
    <w:nsid w:val="2123D5F2"/>
    <w:multiLevelType w:val="hybridMultilevel"/>
    <w:lvl w:ilvl="0">
      <w:lvlJc w:val="left"/>
      <w:lvlText w:val="•"/>
      <w:numFmt w:val="bullet"/>
      <w:start w:val="1"/>
    </w:lvl>
  </w:abstractNum>
  <w:abstractNum w:abstractNumId="35">
    <w:nsid w:val="135B8110"/>
    <w:multiLevelType w:val="hybridMultilevel"/>
    <w:lvl w:ilvl="0">
      <w:lvlJc w:val="left"/>
      <w:lvlText w:val="•"/>
      <w:numFmt w:val="bullet"/>
      <w:start w:val="1"/>
    </w:lvl>
  </w:abstractNum>
  <w:abstractNum w:abstractNumId="36">
    <w:nsid w:val="94927A8"/>
    <w:multiLevelType w:val="hybridMultilevel"/>
    <w:lvl w:ilvl="0">
      <w:lvlJc w:val="left"/>
      <w:lvlText w:val="•"/>
      <w:numFmt w:val="bullet"/>
      <w:start w:val="1"/>
    </w:lvl>
  </w:abstractNum>
  <w:abstractNum w:abstractNumId="37">
    <w:nsid w:val="DCDF8F6"/>
    <w:multiLevelType w:val="hybridMultilevel"/>
    <w:lvl w:ilvl="0">
      <w:lvlJc w:val="left"/>
      <w:lvlText w:val="•"/>
      <w:numFmt w:val="bullet"/>
      <w:start w:val="1"/>
    </w:lvl>
  </w:abstractNum>
  <w:abstractNum w:abstractNumId="38">
    <w:nsid w:val="52D7B105"/>
    <w:multiLevelType w:val="hybridMultilevel"/>
    <w:lvl w:ilvl="0">
      <w:lvlJc w:val="left"/>
      <w:lvlText w:val="•"/>
      <w:numFmt w:val="bullet"/>
      <w:start w:val="1"/>
    </w:lvl>
  </w:abstractNum>
  <w:abstractNum w:abstractNumId="39">
    <w:nsid w:val="2E8A6394"/>
    <w:multiLevelType w:val="hybridMultilevel"/>
    <w:lvl w:ilvl="0">
      <w:lvlJc w:val="left"/>
      <w:lvlText w:val="•"/>
      <w:numFmt w:val="bullet"/>
      <w:start w:val="1"/>
    </w:lvl>
  </w:abstractNum>
  <w:abstractNum w:abstractNumId="40">
    <w:nsid w:val="24E60401"/>
    <w:multiLevelType w:val="hybridMultilevel"/>
    <w:lvl w:ilvl="0">
      <w:lvlJc w:val="left"/>
      <w:lvlText w:val="•"/>
      <w:numFmt w:val="bullet"/>
      <w:start w:val="1"/>
    </w:lvl>
  </w:abstractNum>
  <w:abstractNum w:abstractNumId="41">
    <w:nsid w:val="2A6AD9BE"/>
    <w:multiLevelType w:val="hybridMultilevel"/>
    <w:lvl w:ilvl="0">
      <w:lvlJc w:val="left"/>
      <w:lvlText w:val="(%1)"/>
      <w:numFmt w:val="lowerRoman"/>
      <w:start w:val="2"/>
    </w:lvl>
  </w:abstractNum>
  <w:abstractNum w:abstractNumId="42">
    <w:nsid w:val="BAAC1B4"/>
    <w:multiLevelType w:val="hybridMultilevel"/>
    <w:lvl w:ilvl="0">
      <w:lvlJc w:val="left"/>
      <w:lvlText w:val="•"/>
      <w:numFmt w:val="bullet"/>
      <w:start w:val="1"/>
    </w:lvl>
  </w:abstractNum>
  <w:abstractNum w:abstractNumId="43">
    <w:nsid w:val="36B2ACBC"/>
    <w:multiLevelType w:val="hybridMultilevel"/>
    <w:lvl w:ilvl="0">
      <w:lvlJc w:val="left"/>
      <w:lvlText w:val="•"/>
      <w:numFmt w:val="bullet"/>
      <w:start w:val="1"/>
    </w:lvl>
  </w:abstractNum>
  <w:abstractNum w:abstractNumId="44">
    <w:nsid w:val="779D8544"/>
    <w:multiLevelType w:val="hybridMultilevel"/>
    <w:lvl w:ilvl="0">
      <w:lvlJc w:val="left"/>
      <w:lvlText w:val="•"/>
      <w:numFmt w:val="bullet"/>
      <w:start w:val="1"/>
    </w:lvl>
  </w:abstractNum>
  <w:abstractNum w:abstractNumId="45">
    <w:nsid w:val="4AB26E78"/>
    <w:multiLevelType w:val="hybridMultilevel"/>
    <w:lvl w:ilvl="0">
      <w:lvlJc w:val="left"/>
      <w:lvlText w:val="•"/>
      <w:numFmt w:val="bullet"/>
      <w:start w:val="1"/>
    </w:lvl>
  </w:abstractNum>
  <w:abstractNum w:abstractNumId="46">
    <w:nsid w:val="21FAA2FA"/>
    <w:multiLevelType w:val="hybridMultilevel"/>
    <w:lvl w:ilvl="0">
      <w:lvlJc w:val="left"/>
      <w:lvlText w:val="•"/>
      <w:numFmt w:val="bullet"/>
      <w:start w:val="1"/>
    </w:lvl>
  </w:abstractNum>
  <w:abstractNum w:abstractNumId="47">
    <w:nsid w:val="5451CF49"/>
    <w:multiLevelType w:val="hybridMultilevel"/>
    <w:lvl w:ilvl="0">
      <w:lvlJc w:val="left"/>
      <w:lvlText w:val="(%1)"/>
      <w:numFmt w:val="decimal"/>
      <w:start w:val="1"/>
    </w:lvl>
  </w:abstractNum>
  <w:abstractNum w:abstractNumId="48">
    <w:nsid w:val="6181EF69"/>
    <w:multiLevelType w:val="hybridMultilevel"/>
    <w:lvl w:ilvl="0">
      <w:lvlJc w:val="left"/>
      <w:lvlText w:val="•"/>
      <w:numFmt w:val="bullet"/>
      <w:start w:val="1"/>
    </w:lvl>
  </w:abstractNum>
  <w:abstractNum w:abstractNumId="49">
    <w:nsid w:val="3E6400E6"/>
    <w:multiLevelType w:val="hybridMultilevel"/>
    <w:lvl w:ilvl="0">
      <w:lvlJc w:val="left"/>
      <w:lvlText w:val="•"/>
      <w:numFmt w:val="bullet"/>
      <w:start w:val="1"/>
    </w:lvl>
  </w:abstractNum>
  <w:abstractNum w:abstractNumId="50">
    <w:nsid w:val="14217E23"/>
    <w:multiLevelType w:val="hybridMultilevel"/>
    <w:lvl w:ilvl="0">
      <w:lvlJc w:val="left"/>
      <w:lvlText w:val="•"/>
      <w:numFmt w:val="bullet"/>
      <w:start w:val="1"/>
    </w:lvl>
  </w:abstractNum>
  <w:abstractNum w:abstractNumId="51">
    <w:nsid w:val="710757D0"/>
    <w:multiLevelType w:val="hybridMultilevel"/>
    <w:lvl w:ilvl="0">
      <w:lvlJc w:val="left"/>
      <w:lvlText w:val="•"/>
      <w:numFmt w:val="bullet"/>
      <w:start w:val="1"/>
    </w:lvl>
  </w:abstractNum>
  <w:abstractNum w:abstractNumId="52">
    <w:nsid w:val="5015CD1A"/>
    <w:multiLevelType w:val="hybridMultilevel"/>
    <w:lvl w:ilvl="0">
      <w:lvlJc w:val="left"/>
      <w:lvlText w:val="•"/>
      <w:numFmt w:val="bullet"/>
      <w:start w:val="1"/>
    </w:lvl>
  </w:abstractNum>
  <w:abstractNum w:abstractNumId="53">
    <w:nsid w:val="424479DA"/>
    <w:multiLevelType w:val="hybridMultilevel"/>
    <w:lvl w:ilvl="0">
      <w:lvlJc w:val="left"/>
      <w:lvlText w:val="(%1)"/>
      <w:numFmt w:val="decimal"/>
      <w:start w:val="1"/>
    </w:lvl>
  </w:abstractNum>
  <w:abstractNum w:abstractNumId="54">
    <w:nsid w:val="1A9A9E69"/>
    <w:multiLevelType w:val="hybridMultilevel"/>
    <w:lvl w:ilvl="0">
      <w:lvlJc w:val="left"/>
      <w:lvlText w:val="(%1)"/>
      <w:numFmt w:val="decimal"/>
      <w:start w:val="3"/>
    </w:lvl>
  </w:abstractNum>
  <w:abstractNum w:abstractNumId="55">
    <w:nsid w:val="475E256A"/>
    <w:multiLevelType w:val="hybridMultilevel"/>
    <w:lvl w:ilvl="0">
      <w:lvlJc w:val="left"/>
      <w:lvlText w:val="•"/>
      <w:numFmt w:val="bullet"/>
      <w:start w:val="1"/>
    </w:lvl>
  </w:abstractNum>
  <w:abstractNum w:abstractNumId="56">
    <w:nsid w:val="368DB37E"/>
    <w:multiLevelType w:val="hybridMultilevel"/>
    <w:lvl w:ilvl="0">
      <w:lvlJc w:val="left"/>
      <w:lvlText w:val="•"/>
      <w:numFmt w:val="bullet"/>
      <w:start w:val="1"/>
    </w:lvl>
  </w:abstractNum>
  <w:abstractNum w:abstractNumId="57">
    <w:nsid w:val="6A3B714C"/>
    <w:multiLevelType w:val="hybridMultilevel"/>
    <w:lvl w:ilvl="0">
      <w:lvlJc w:val="left"/>
      <w:lvlText w:val="(%1)"/>
      <w:numFmt w:val="decimal"/>
      <w:start w:val="1"/>
    </w:lvl>
  </w:abstractNum>
  <w:abstractNum w:abstractNumId="58">
    <w:nsid w:val="327B517E"/>
    <w:multiLevelType w:val="hybridMultilevel"/>
    <w:lvl w:ilvl="0">
      <w:lvlJc w:val="left"/>
      <w:lvlText w:val="(%1)"/>
      <w:numFmt w:val="decimal"/>
      <w:start w:val="1"/>
    </w:lvl>
  </w:abstractNum>
  <w:abstractNum w:abstractNumId="59">
    <w:nsid w:val="1F461B51"/>
    <w:multiLevelType w:val="hybridMultilevel"/>
    <w:lvl w:ilvl="0">
      <w:lvlJc w:val="left"/>
      <w:lvlText w:val="•"/>
      <w:numFmt w:val="bullet"/>
      <w:start w:val="1"/>
    </w:lvl>
  </w:abstractNum>
  <w:abstractNum w:abstractNumId="60">
    <w:nsid w:val="29BACF25"/>
    <w:multiLevelType w:val="hybridMultilevel"/>
    <w:lvl w:ilvl="0">
      <w:lvlJc w:val="left"/>
      <w:lvlText w:val="(%1)"/>
      <w:numFmt w:val="lowerLetter"/>
      <w:start w:val="1"/>
    </w:lvl>
  </w:abstractNum>
  <w:abstractNum w:abstractNumId="61">
    <w:nsid w:val="5D5BABB3"/>
    <w:multiLevelType w:val="hybridMultilevel"/>
    <w:lvl w:ilvl="0">
      <w:lvlJc w:val="left"/>
      <w:lvlText w:val="•"/>
      <w:numFmt w:val="bullet"/>
      <w:start w:val="1"/>
    </w:lvl>
  </w:abstractNum>
  <w:abstractNum w:abstractNumId="62">
    <w:nsid w:val="51BF6B48"/>
    <w:multiLevelType w:val="hybridMultilevel"/>
    <w:lvl w:ilvl="0">
      <w:lvlJc w:val="left"/>
      <w:lvlText w:val="•"/>
      <w:numFmt w:val="bullet"/>
      <w:start w:val="1"/>
    </w:lvl>
  </w:abstractNum>
  <w:abstractNum w:abstractNumId="63">
    <w:nsid w:val="7E0F6384"/>
    <w:multiLevelType w:val="hybridMultilevel"/>
    <w:lvl w:ilvl="0">
      <w:lvlJc w:val="left"/>
      <w:lvlText w:val="•"/>
      <w:numFmt w:val="bullet"/>
      <w:start w:val="1"/>
    </w:lvl>
  </w:abstractNum>
  <w:abstractNum w:abstractNumId="64">
    <w:nsid w:val="2B4B8B53"/>
    <w:multiLevelType w:val="hybridMultilevel"/>
    <w:lvl w:ilvl="0">
      <w:lvlJc w:val="left"/>
      <w:lvlText w:val="•"/>
      <w:numFmt w:val="bullet"/>
      <w:start w:val="1"/>
    </w:lvl>
  </w:abstractNum>
  <w:abstractNum w:abstractNumId="65">
    <w:nsid w:val="72E3413A"/>
    <w:multiLevelType w:val="hybridMultilevel"/>
    <w:lvl w:ilvl="0">
      <w:lvlJc w:val="left"/>
      <w:lvlText w:val="(%1)"/>
      <w:numFmt w:val="lowerRoman"/>
      <w:start w:val="3"/>
    </w:lvl>
  </w:abstractNum>
  <w:abstractNum w:abstractNumId="66">
    <w:nsid w:val="116AE494"/>
    <w:multiLevelType w:val="hybridMultilevel"/>
    <w:lvl w:ilvl="0">
      <w:lvlJc w:val="left"/>
      <w:lvlText w:val="*"/>
      <w:numFmt w:val="bullet"/>
      <w:start w:val="1"/>
    </w:lvl>
  </w:abstractNum>
  <w:abstractNum w:abstractNumId="67">
    <w:nsid w:val="3494B2FB"/>
    <w:multiLevelType w:val="hybridMultilevel"/>
    <w:lvl w:ilvl="0">
      <w:lvlJc w:val="left"/>
      <w:lvlText w:val="(%1)"/>
      <w:numFmt w:val="decimal"/>
      <w:start w:val="1"/>
    </w:lvl>
  </w:abstractNum>
  <w:abstractNum w:abstractNumId="68">
    <w:nsid w:val="B13A31"/>
    <w:multiLevelType w:val="hybridMultilevel"/>
    <w:lvl w:ilvl="0">
      <w:lvlJc w:val="left"/>
      <w:lvlText w:val="(%1)"/>
      <w:numFmt w:val="decimal"/>
      <w:start w:val="3"/>
    </w:lvl>
    <w:lvl w:ilvl="1">
      <w:lvlJc w:val="left"/>
      <w:lvlText w:val="(%2)"/>
      <w:numFmt w:val="lowerLetter"/>
      <w:start w:val="4"/>
    </w:lvl>
  </w:abstractNum>
  <w:abstractNum w:abstractNumId="69">
    <w:nsid w:val="64429599"/>
    <w:multiLevelType w:val="hybridMultilevel"/>
    <w:lvl w:ilvl="0">
      <w:lvlJc w:val="left"/>
      <w:lvlText w:val="%1"/>
      <w:numFmt w:val="decimal"/>
      <w:start w:val="1"/>
    </w:lvl>
    <w:lvl w:ilvl="1">
      <w:lvlJc w:val="left"/>
      <w:lvlText w:val="(%2)"/>
      <w:numFmt w:val="lowerLetter"/>
      <w:start w:val="8"/>
    </w:lvl>
  </w:abstractNum>
  <w:abstractNum w:abstractNumId="70">
    <w:nsid w:val="631F1690"/>
    <w:multiLevelType w:val="hybridMultilevel"/>
    <w:lvl w:ilvl="0">
      <w:lvlJc w:val="left"/>
      <w:lvlText w:val="(%1)"/>
      <w:numFmt w:val="decimal"/>
      <w:start w:val="4"/>
    </w:lvl>
    <w:lvl w:ilvl="1">
      <w:lvlJc w:val="left"/>
      <w:lvlText w:val="(%2)"/>
      <w:numFmt w:val="lowerLetter"/>
      <w:start w:val="4"/>
    </w:lvl>
  </w:abstractNum>
  <w:abstractNum w:abstractNumId="71">
    <w:nsid w:val="25973E32"/>
    <w:multiLevelType w:val="hybridMultilevel"/>
    <w:lvl w:ilvl="0">
      <w:lvlJc w:val="left"/>
      <w:lvlText w:val="(%1)"/>
      <w:numFmt w:val="decimal"/>
      <w:start w:val="9"/>
    </w:lvl>
  </w:abstractNum>
  <w:abstractNum w:abstractNumId="72">
    <w:nsid w:val="EAD6F57"/>
    <w:multiLevelType w:val="hybridMultilevel"/>
    <w:lvl w:ilvl="0">
      <w:lvlJc w:val="left"/>
      <w:lvlText w:val="•"/>
      <w:numFmt w:val="bullet"/>
      <w:start w:val="1"/>
    </w:lvl>
  </w:abstractNum>
  <w:abstractNum w:abstractNumId="73">
    <w:nsid w:val="6EC9D844"/>
    <w:multiLevelType w:val="hybridMultilevel"/>
    <w:lvl w:ilvl="0">
      <w:lvlJc w:val="left"/>
      <w:lvlText w:val="•"/>
      <w:numFmt w:val="bullet"/>
      <w:start w:val="1"/>
    </w:lvl>
  </w:abstractNum>
  <w:abstractNum w:abstractNumId="74">
    <w:nsid w:val="5C49EAEE"/>
    <w:multiLevelType w:val="hybridMultilevel"/>
    <w:lvl w:ilvl="0">
      <w:lvlJc w:val="left"/>
      <w:lvlText w:val="(%1)"/>
      <w:numFmt w:val="lowerLetter"/>
      <w:start w:val="2"/>
    </w:lvl>
  </w:abstractNum>
  <w:abstractNum w:abstractNumId="75">
    <w:nsid w:val="64AF49B"/>
    <w:multiLevelType w:val="hybridMultilevel"/>
    <w:lvl w:ilvl="0">
      <w:lvlJc w:val="left"/>
      <w:lvlText w:val="(%1)"/>
      <w:numFmt w:val="decimal"/>
      <w:start w:val="3"/>
    </w:lvl>
  </w:abstractNum>
  <w:abstractNum w:abstractNumId="76">
    <w:nsid w:val="397C46BC"/>
    <w:multiLevelType w:val="hybridMultilevel"/>
    <w:lvl w:ilvl="0">
      <w:lvlJc w:val="left"/>
      <w:lvlText w:val="(%1)"/>
      <w:numFmt w:val="decimal"/>
      <w:start w:val="1"/>
    </w:lvl>
  </w:abstractNum>
  <w:abstractNum w:abstractNumId="77">
    <w:nsid w:val="7E448DE9"/>
    <w:multiLevelType w:val="hybridMultilevel"/>
    <w:lvl w:ilvl="0">
      <w:lvlJc w:val="left"/>
      <w:lvlText w:val="(%1)"/>
      <w:numFmt w:val="lowerLetter"/>
      <w:start w:val="3"/>
    </w:lvl>
  </w:abstractNum>
  <w:abstractNum w:abstractNumId="78">
    <w:nsid w:val="5A9CC3E5"/>
    <w:multiLevelType w:val="hybridMultilevel"/>
    <w:lvl w:ilvl="0">
      <w:lvlJc w:val="left"/>
      <w:lvlText w:val="•"/>
      <w:numFmt w:val="bullet"/>
      <w:start w:val="1"/>
    </w:lvl>
  </w:abstractNum>
  <w:abstractNum w:abstractNumId="79">
    <w:nsid w:val="1AFE3625"/>
    <w:multiLevelType w:val="hybridMultilevel"/>
    <w:lvl w:ilvl="0">
      <w:lvlJc w:val="left"/>
      <w:lvlText w:val="•"/>
      <w:numFmt w:val="bullet"/>
      <w:start w:val="1"/>
    </w:lvl>
  </w:abstractNum>
  <w:abstractNum w:abstractNumId="80">
    <w:nsid w:val="3CA88ECF"/>
    <w:multiLevelType w:val="hybridMultilevel"/>
    <w:lvl w:ilvl="0">
      <w:lvlJc w:val="left"/>
      <w:lvlText w:val="•"/>
      <w:numFmt w:val="bullet"/>
      <w:start w:val="1"/>
    </w:lvl>
  </w:abstractNum>
  <w:abstractNum w:abstractNumId="81">
    <w:nsid w:val="6EBE4208"/>
    <w:multiLevelType w:val="hybridMultilevel"/>
    <w:lvl w:ilvl="0">
      <w:lvlJc w:val="left"/>
      <w:lvlText w:val="$"/>
      <w:numFmt w:val="bullet"/>
      <w:start w:val="1"/>
    </w:lvl>
  </w:abstractNum>
  <w:abstractNum w:abstractNumId="82">
    <w:nsid w:val="C058DF5"/>
    <w:multiLevelType w:val="hybridMultilevel"/>
    <w:lvl w:ilvl="0">
      <w:lvlJc w:val="left"/>
      <w:lvlText w:val="(%1)"/>
      <w:numFmt w:val="lowerRoman"/>
      <w:start w:val="1"/>
    </w:lvl>
  </w:abstractNum>
  <w:abstractNum w:abstractNumId="83">
    <w:nsid w:val="CBE5BE9"/>
    <w:multiLevelType w:val="hybridMultilevel"/>
    <w:lvl w:ilvl="0">
      <w:lvlJc w:val="left"/>
      <w:lvlText w:val="•"/>
      <w:numFmt w:val="bullet"/>
      <w:start w:val="1"/>
    </w:lvl>
  </w:abstractNum>
  <w:abstractNum w:abstractNumId="84">
    <w:nsid w:val="3102BBE2"/>
    <w:multiLevelType w:val="hybridMultilevel"/>
    <w:lvl w:ilvl="0">
      <w:lvlJc w:val="left"/>
      <w:lvlText w:val="•"/>
      <w:numFmt w:val="bullet"/>
      <w:start w:val="1"/>
    </w:lvl>
  </w:abstractNum>
  <w:abstractNum w:abstractNumId="85">
    <w:nsid w:val="26A02C5E"/>
    <w:multiLevelType w:val="hybridMultilevel"/>
    <w:lvl w:ilvl="0">
      <w:lvlJc w:val="left"/>
      <w:lvlText w:val="•"/>
      <w:numFmt w:val="bullet"/>
      <w:start w:val="1"/>
    </w:lvl>
  </w:abstractNum>
  <w:abstractNum w:abstractNumId="86">
    <w:nsid w:val="541C8153"/>
    <w:multiLevelType w:val="hybridMultilevel"/>
    <w:lvl w:ilvl="0">
      <w:lvlJc w:val="left"/>
      <w:lvlText w:val="(%1)"/>
      <w:numFmt w:val="lowerLetter"/>
      <w:start w:val="1"/>
    </w:lvl>
  </w:abstractNum>
  <w:abstractNum w:abstractNumId="87">
    <w:nsid w:val="67906F60"/>
    <w:multiLevelType w:val="hybridMultilevel"/>
    <w:lvl w:ilvl="0">
      <w:lvlJc w:val="left"/>
      <w:lvlText w:val="•"/>
      <w:numFmt w:val="bullet"/>
      <w:start w:val="1"/>
    </w:lvl>
  </w:abstractNum>
  <w:abstractNum w:abstractNumId="88">
    <w:nsid w:val="10DB9DAA"/>
    <w:multiLevelType w:val="hybridMultilevel"/>
    <w:lvl w:ilvl="0">
      <w:lvlJc w:val="left"/>
      <w:lvlText w:val="•"/>
      <w:numFmt w:val="bullet"/>
      <w:start w:val="1"/>
    </w:lvl>
  </w:abstractNum>
  <w:abstractNum w:abstractNumId="89">
    <w:nsid w:val="697D2D2"/>
    <w:multiLevelType w:val="hybridMultilevel"/>
    <w:lvl w:ilvl="0">
      <w:lvlJc w:val="left"/>
      <w:lvlText w:val="(%1)"/>
      <w:numFmt w:val="decimal"/>
      <w:start w:val="1"/>
    </w:lvl>
  </w:abstractNum>
  <w:abstractNum w:abstractNumId="90">
    <w:nsid w:val="6D68AB2"/>
    <w:multiLevelType w:val="hybridMultilevel"/>
    <w:lvl w:ilvl="0">
      <w:lvlJc w:val="left"/>
      <w:lvlText w:val="(%1)"/>
      <w:numFmt w:val="lowerLetter"/>
      <w:start w:val="1"/>
    </w:lvl>
  </w:abstractNum>
  <w:abstractNum w:abstractNumId="91">
    <w:nsid w:val="3A966CD0"/>
    <w:multiLevelType w:val="hybridMultilevel"/>
    <w:lvl w:ilvl="0">
      <w:lvlJc w:val="left"/>
      <w:lvlText w:val="(%1)"/>
      <w:numFmt w:val="lowerLetter"/>
      <w:start w:val="2"/>
    </w:lvl>
  </w:abstractNum>
  <w:abstractNum w:abstractNumId="92">
    <w:nsid w:val="63F37E85"/>
    <w:multiLevelType w:val="hybridMultilevel"/>
    <w:lvl w:ilvl="0">
      <w:lvlJc w:val="left"/>
      <w:lvlText w:val="(%1)"/>
      <w:numFmt w:val="lowerLetter"/>
      <w:start w:val="3"/>
    </w:lvl>
  </w:abstractNum>
  <w:abstractNum w:abstractNumId="93">
    <w:nsid w:val="5895F5FA"/>
    <w:multiLevelType w:val="hybridMultilevel"/>
    <w:lvl w:ilvl="0">
      <w:lvlJc w:val="left"/>
      <w:lvlText w:val="(%1)"/>
      <w:numFmt w:val="lowerLetter"/>
      <w:start w:val="4"/>
    </w:lvl>
  </w:abstractNum>
  <w:abstractNum w:abstractNumId="94">
    <w:nsid w:val="38A5D054"/>
    <w:multiLevelType w:val="hybridMultilevel"/>
    <w:lvl w:ilvl="0">
      <w:lvlJc w:val="left"/>
      <w:lvlText w:val="(%1)"/>
      <w:numFmt w:val="lowerLetter"/>
      <w:start w:val="5"/>
    </w:lvl>
  </w:abstractNum>
  <w:abstractNum w:abstractNumId="95">
    <w:nsid w:val="F3F09D8"/>
    <w:multiLevelType w:val="hybridMultilevel"/>
    <w:lvl w:ilvl="0">
      <w:lvlJc w:val="left"/>
      <w:lvlText w:val="(%1)"/>
      <w:numFmt w:val="lowerLetter"/>
      <w:start w:val="6"/>
    </w:lvl>
  </w:abstractNum>
  <w:abstractNum w:abstractNumId="96">
    <w:nsid w:val="4B793735"/>
    <w:multiLevelType w:val="hybridMultilevel"/>
    <w:lvl w:ilvl="0">
      <w:lvlJc w:val="left"/>
      <w:lvlText w:val="(%1)"/>
      <w:numFmt w:val="lowerLetter"/>
      <w:start w:val="7"/>
    </w:lvl>
  </w:abstractNum>
  <w:abstractNum w:abstractNumId="97">
    <w:nsid w:val="4A10B4E8"/>
    <w:multiLevelType w:val="hybridMultilevel"/>
    <w:lvl w:ilvl="0">
      <w:lvlJc w:val="left"/>
      <w:lvlText w:val="(%1)"/>
      <w:numFmt w:val="lowerLetter"/>
      <w:start w:val="8"/>
    </w:lvl>
  </w:abstractNum>
  <w:abstractNum w:abstractNumId="98">
    <w:nsid w:val="43D3BCD4"/>
    <w:multiLevelType w:val="hybridMultilevel"/>
    <w:lvl w:ilvl="0">
      <w:lvlJc w:val="left"/>
      <w:lvlText w:val="(%1)"/>
      <w:numFmt w:val="lowerRoman"/>
      <w:start w:val="1"/>
    </w:lvl>
  </w:abstractNum>
  <w:abstractNum w:abstractNumId="99">
    <w:nsid w:val="4C2A7166"/>
    <w:multiLevelType w:val="hybridMultilevel"/>
    <w:lvl w:ilvl="0">
      <w:lvlJc w:val="left"/>
      <w:lvlText w:val="(%1)"/>
      <w:numFmt w:val="lowerLetter"/>
      <w:start w:val="10"/>
    </w:lvl>
  </w:abstractNum>
  <w:abstractNum w:abstractNumId="100">
    <w:nsid w:val="2E534A82"/>
    <w:multiLevelType w:val="hybridMultilevel"/>
    <w:lvl w:ilvl="0">
      <w:lvlJc w:val="left"/>
      <w:lvlText w:val="(%1)"/>
      <w:numFmt w:val="lowerLetter"/>
      <w:start w:val="11"/>
    </w:lvl>
  </w:abstractNum>
  <w:abstractNum w:abstractNumId="101">
    <w:nsid w:val="26F2D364"/>
    <w:multiLevelType w:val="hybridMultilevel"/>
    <w:lvl w:ilvl="0">
      <w:lvlJc w:val="left"/>
      <w:lvlText w:val="(%1)"/>
      <w:numFmt w:val="lowerLetter"/>
      <w:start w:val="12"/>
    </w:lvl>
  </w:abstractNum>
  <w:abstractNum w:abstractNumId="102">
    <w:nsid w:val="71C1AF98"/>
    <w:multiLevelType w:val="hybridMultilevel"/>
    <w:lvl w:ilvl="0">
      <w:lvlJc w:val="left"/>
      <w:lvlText w:val="(%1)"/>
      <w:numFmt w:val="lowerLetter"/>
      <w:start w:val="13"/>
    </w:lvl>
  </w:abstractNum>
  <w:abstractNum w:abstractNumId="103">
    <w:nsid w:val="3D00B9D9"/>
    <w:multiLevelType w:val="hybridMultilevel"/>
    <w:lvl w:ilvl="0">
      <w:lvlJc w:val="left"/>
      <w:lvlText w:val="(%1)"/>
      <w:numFmt w:val="lowerLetter"/>
      <w:start w:val="14"/>
    </w:lvl>
  </w:abstractNum>
  <w:abstractNum w:abstractNumId="104">
    <w:nsid w:val="15BCABA8"/>
    <w:multiLevelType w:val="hybridMultilevel"/>
    <w:lvl w:ilvl="0">
      <w:lvlJc w:val="left"/>
      <w:lvlText w:val="(%1)"/>
      <w:numFmt w:val="lowerLetter"/>
      <w:start w:val="15"/>
    </w:lvl>
  </w:abstractNum>
  <w:abstractNum w:abstractNumId="105">
    <w:nsid w:val="4E0B9A87"/>
    <w:multiLevelType w:val="hybridMultilevel"/>
    <w:lvl w:ilvl="0">
      <w:lvlJc w:val="left"/>
      <w:lvlText w:val="(%1)"/>
      <w:numFmt w:val="lowerLetter"/>
      <w:start w:val="16"/>
    </w:lvl>
  </w:abstractNum>
  <w:abstractNum w:abstractNumId="106">
    <w:nsid w:val="434BAE75"/>
    <w:multiLevelType w:val="hybridMultilevel"/>
    <w:lvl w:ilvl="0">
      <w:lvlJc w:val="left"/>
      <w:lvlText w:val="(%1)"/>
      <w:numFmt w:val="lowerLetter"/>
      <w:start w:val="17"/>
    </w:lvl>
  </w:abstractNum>
  <w:abstractNum w:abstractNumId="107">
    <w:nsid w:val="4F38F265"/>
    <w:multiLevelType w:val="hybridMultilevel"/>
    <w:lvl w:ilvl="0">
      <w:lvlJc w:val="left"/>
      <w:lvlText w:val="(%1)"/>
      <w:numFmt w:val="lowerLetter"/>
      <w:start w:val="18"/>
    </w:lvl>
  </w:abstractNum>
  <w:abstractNum w:abstractNumId="108">
    <w:nsid w:val="4C502870"/>
    <w:multiLevelType w:val="hybridMultilevel"/>
    <w:lvl w:ilvl="0">
      <w:lvlJc w:val="left"/>
      <w:lvlText w:val="(%1)"/>
      <w:numFmt w:val="lowerLetter"/>
      <w:start w:val="19"/>
    </w:lvl>
  </w:abstractNum>
  <w:abstractNum w:abstractNumId="109">
    <w:nsid w:val="1DE8725A"/>
    <w:multiLevelType w:val="hybridMultilevel"/>
    <w:lvl w:ilvl="0">
      <w:lvlJc w:val="left"/>
      <w:lvlText w:val="(%1)"/>
      <w:numFmt w:val="lowerLetter"/>
      <w:start w:val="20"/>
    </w:lvl>
  </w:abstractNum>
  <w:abstractNum w:abstractNumId="110">
    <w:nsid w:val="6A37288A"/>
    <w:multiLevelType w:val="hybridMultilevel"/>
    <w:lvl w:ilvl="0">
      <w:lvlJc w:val="left"/>
      <w:lvlText w:val="•"/>
      <w:numFmt w:val="bullet"/>
      <w:start w:val="1"/>
    </w:lvl>
  </w:abstractNum>
  <w:abstractNum w:abstractNumId="111">
    <w:nsid w:val="8F8B73F"/>
    <w:multiLevelType w:val="hybridMultilevel"/>
    <w:lvl w:ilvl="0">
      <w:lvlJc w:val="left"/>
      <w:lvlText w:val="(%1)"/>
      <w:numFmt w:val="lowerLetter"/>
      <w:start w:val="21"/>
    </w:lvl>
  </w:abstractNum>
  <w:abstractNum w:abstractNumId="112">
    <w:nsid w:val="CA6B462"/>
    <w:multiLevelType w:val="hybridMultilevel"/>
    <w:lvl w:ilvl="0">
      <w:lvlJc w:val="left"/>
      <w:lvlText w:val="(%1)"/>
      <w:numFmt w:val="lowerRoman"/>
      <w:start w:val="5"/>
    </w:lvl>
  </w:abstractNum>
  <w:abstractNum w:abstractNumId="113">
    <w:nsid w:val="763CB680"/>
    <w:multiLevelType w:val="hybridMultilevel"/>
    <w:lvl w:ilvl="0">
      <w:lvlJc w:val="left"/>
      <w:lvlText w:val="(%1)"/>
      <w:numFmt w:val="lowerLetter"/>
      <w:start w:val="23"/>
    </w:lvl>
  </w:abstractNum>
  <w:abstractNum w:abstractNumId="114">
    <w:nsid w:val="15B71329"/>
    <w:multiLevelType w:val="hybridMultilevel"/>
    <w:lvl w:ilvl="0">
      <w:lvlJc w:val="left"/>
      <w:lvlText w:val="(%1)"/>
      <w:numFmt w:val="lowerRoman"/>
      <w:start w:val="10"/>
    </w:lvl>
  </w:abstractNum>
  <w:abstractNum w:abstractNumId="115">
    <w:nsid w:val="3DA97044"/>
    <w:multiLevelType w:val="hybridMultilevel"/>
    <w:lvl w:ilvl="0">
      <w:lvlJc w:val="left"/>
      <w:lvlText w:val="(%1)"/>
      <w:numFmt w:val="lowerLetter"/>
      <w:start w:val="25"/>
    </w:lvl>
  </w:abstractNum>
  <w:abstractNum w:abstractNumId="116">
    <w:nsid w:val="1CDCE2DE"/>
    <w:multiLevelType w:val="hybridMultilevel"/>
    <w:lvl w:ilvl="0">
      <w:lvlJc w:val="left"/>
      <w:lvlText w:val="(%1)"/>
      <w:numFmt w:val="lowerLetter"/>
      <w:start w:val="26"/>
    </w:lvl>
  </w:abstractNum>
  <w:abstractNum w:abstractNumId="117">
    <w:nsid w:val="69D3947C"/>
    <w:multiLevelType w:val="hybridMultilevel"/>
    <w:lvl w:ilvl="0">
      <w:lvlJc w:val="left"/>
      <w:lvlText w:val="(%1)"/>
      <w:numFmt w:val="lowerLetter"/>
      <w:start w:val="27"/>
    </w:lvl>
  </w:abstractNum>
  <w:abstractNum w:abstractNumId="118">
    <w:nsid w:val="2539DFA5"/>
    <w:multiLevelType w:val="hybridMultilevel"/>
    <w:lvl w:ilvl="0">
      <w:lvlJc w:val="left"/>
      <w:lvlText w:val="(%1)"/>
      <w:numFmt w:val="decimal"/>
      <w:start w:val="3"/>
    </w:lvl>
  </w:abstractNum>
  <w:abstractNum w:abstractNumId="119">
    <w:nsid w:val="2DB88089"/>
    <w:multiLevelType w:val="hybridMultilevel"/>
    <w:lvl w:ilvl="0">
      <w:lvlJc w:val="left"/>
      <w:lvlText w:val="(%1)"/>
      <w:numFmt w:val="decimal"/>
      <w:start w:val="4"/>
    </w:lvl>
  </w:abstractNum>
  <w:abstractNum w:abstractNumId="120">
    <w:nsid w:val="706B674E"/>
    <w:multiLevelType w:val="hybridMultilevel"/>
    <w:lvl w:ilvl="0">
      <w:lvlJc w:val="left"/>
      <w:lvlText w:val="(%1)"/>
      <w:numFmt w:val="decimal"/>
      <w:start w:val="5"/>
    </w:lvl>
  </w:abstractNum>
  <w:abstractNum w:abstractNumId="121">
    <w:nsid w:val="2C106A57"/>
    <w:multiLevelType w:val="hybridMultilevel"/>
    <w:lvl w:ilvl="0">
      <w:lvlJc w:val="left"/>
      <w:lvlText w:val="(%1)"/>
      <w:numFmt w:val="decimal"/>
      <w:start w:val="6"/>
    </w:lvl>
  </w:abstractNum>
  <w:abstractNum w:abstractNumId="122">
    <w:nsid w:val="684EED59"/>
    <w:multiLevelType w:val="hybridMultilevel"/>
    <w:lvl w:ilvl="0">
      <w:lvlJc w:val="left"/>
      <w:lvlText w:val="(%1)"/>
      <w:numFmt w:val="decimal"/>
      <w:start w:val="7"/>
    </w:lvl>
  </w:abstractNum>
  <w:abstractNum w:abstractNumId="123">
    <w:nsid w:val="545EE5D3"/>
    <w:multiLevelType w:val="hybridMultilevel"/>
    <w:lvl w:ilvl="0">
      <w:lvlJc w:val="left"/>
      <w:lvlText w:val="(%1)"/>
      <w:numFmt w:val="decimal"/>
      <w:start w:val="1"/>
    </w:lvl>
  </w:abstractNum>
  <w:abstractNum w:abstractNumId="124">
    <w:nsid w:val="4A66051"/>
    <w:multiLevelType w:val="hybridMultilevel"/>
    <w:lvl w:ilvl="0">
      <w:lvlJc w:val="left"/>
      <w:lvlText w:val="(%1)"/>
      <w:numFmt w:val="lowerLetter"/>
      <w:start w:val="1"/>
    </w:lvl>
  </w:abstractNum>
  <w:abstractNum w:abstractNumId="125">
    <w:nsid w:val="20F4BDAD"/>
    <w:multiLevelType w:val="hybridMultilevel"/>
    <w:lvl w:ilvl="0">
      <w:lvlJc w:val="left"/>
      <w:lvlText w:val="(%1)"/>
      <w:numFmt w:val="lowerLetter"/>
      <w:start w:val="2"/>
    </w:lvl>
  </w:abstractNum>
  <w:abstractNum w:abstractNumId="126">
    <w:nsid w:val="639DEFAC"/>
    <w:multiLevelType w:val="hybridMultilevel"/>
    <w:lvl w:ilvl="0">
      <w:lvlJc w:val="left"/>
      <w:lvlText w:val="(%1)"/>
      <w:numFmt w:val="lowerLetter"/>
      <w:start w:val="3"/>
    </w:lvl>
  </w:abstractNum>
  <w:abstractNum w:abstractNumId="127">
    <w:nsid w:val="501F9786"/>
    <w:multiLevelType w:val="hybridMultilevel"/>
    <w:lvl w:ilvl="0">
      <w:lvlJc w:val="left"/>
      <w:lvlText w:val="(%1)"/>
      <w:numFmt w:val="lowerLetter"/>
      <w:start w:val="4"/>
    </w:lvl>
  </w:abstractNum>
  <w:abstractNum w:abstractNumId="128">
    <w:nsid w:val="6B057295"/>
    <w:multiLevelType w:val="hybridMultilevel"/>
    <w:lvl w:ilvl="0">
      <w:lvlJc w:val="left"/>
      <w:lvlText w:val="(%1)"/>
      <w:numFmt w:val="lowerLetter"/>
      <w:start w:val="5"/>
    </w:lvl>
  </w:abstractNum>
  <w:abstractNum w:abstractNumId="129">
    <w:nsid w:val="2771AC80"/>
    <w:multiLevelType w:val="hybridMultilevel"/>
    <w:lvl w:ilvl="0">
      <w:lvlJc w:val="left"/>
      <w:lvlText w:val="(%1)"/>
      <w:numFmt w:val="decimal"/>
      <w:start w:val="9"/>
    </w:lvl>
  </w:abstractNum>
  <w:abstractNum w:abstractNumId="130">
    <w:nsid w:val="1C4A08EC"/>
    <w:multiLevelType w:val="hybridMultilevel"/>
    <w:lvl w:ilvl="0">
      <w:lvlJc w:val="left"/>
      <w:lvlText w:val="(%1)"/>
      <w:numFmt w:val="decimal"/>
      <w:start w:val="10"/>
    </w:lvl>
  </w:abstractNum>
  <w:abstractNum w:abstractNumId="131">
    <w:nsid w:val="1958BD17"/>
    <w:multiLevelType w:val="hybridMultilevel"/>
    <w:lvl w:ilvl="0">
      <w:lvlJc w:val="left"/>
      <w:lvlText w:val="(%1)"/>
      <w:numFmt w:val="decimal"/>
      <w:start w:val="11"/>
    </w:lvl>
  </w:abstractNum>
  <w:abstractNum w:abstractNumId="132">
    <w:nsid w:val="4E647FE4"/>
    <w:multiLevelType w:val="hybridMultilevel"/>
    <w:lvl w:ilvl="0">
      <w:lvlJc w:val="left"/>
      <w:lvlText w:val="(%1)"/>
      <w:numFmt w:val="decimal"/>
      <w:start w:val="12"/>
    </w:lvl>
  </w:abstractNum>
  <w:abstractNum w:abstractNumId="133">
    <w:nsid w:val="E0BB885"/>
    <w:multiLevelType w:val="hybridMultilevel"/>
    <w:lvl w:ilvl="0">
      <w:lvlJc w:val="left"/>
      <w:lvlText w:val="(%1)"/>
      <w:numFmt w:val="decimal"/>
      <w:start w:val="13"/>
    </w:lvl>
  </w:abstractNum>
  <w:abstractNum w:abstractNumId="134">
    <w:nsid w:val="565976F1"/>
    <w:multiLevelType w:val="hybridMultilevel"/>
    <w:lvl w:ilvl="0">
      <w:lvlJc w:val="left"/>
      <w:lvlText w:val="(%1)"/>
      <w:numFmt w:val="decimal"/>
      <w:start w:val="14"/>
    </w:lvl>
  </w:abstractNum>
  <w:abstractNum w:abstractNumId="135">
    <w:nsid w:val="64212B8C"/>
    <w:multiLevelType w:val="hybridMultilevel"/>
    <w:lvl w:ilvl="0">
      <w:lvlJc w:val="left"/>
      <w:lvlText w:val="(%1)"/>
      <w:numFmt w:val="decimal"/>
      <w:start w:val="15"/>
    </w:lvl>
  </w:abstractNum>
  <w:abstractNum w:abstractNumId="136">
    <w:nsid w:val="5C17530C"/>
    <w:multiLevelType w:val="hybridMultilevel"/>
    <w:lvl w:ilvl="0">
      <w:lvlJc w:val="left"/>
      <w:lvlText w:val="(%1)"/>
      <w:numFmt w:val="decimal"/>
      <w:start w:val="16"/>
    </w:lvl>
  </w:abstractNum>
  <w:abstractNum w:abstractNumId="137">
    <w:nsid w:val="19A52566"/>
    <w:multiLevelType w:val="hybridMultilevel"/>
    <w:lvl w:ilvl="0">
      <w:lvlJc w:val="left"/>
      <w:lvlText w:val="(%1)"/>
      <w:numFmt w:val="decimal"/>
      <w:start w:val="17"/>
    </w:lvl>
  </w:abstractNum>
  <w:abstractNum w:abstractNumId="138">
    <w:nsid w:val="335A1DF1"/>
    <w:multiLevelType w:val="hybridMultilevel"/>
    <w:lvl w:ilvl="0">
      <w:lvlJc w:val="left"/>
      <w:lvlText w:val="(%1)"/>
      <w:numFmt w:val="decimal"/>
      <w:start w:val="18"/>
    </w:lvl>
  </w:abstractNum>
  <w:abstractNum w:abstractNumId="139">
    <w:nsid w:val="28677B7C"/>
    <w:multiLevelType w:val="hybridMultilevel"/>
    <w:lvl w:ilvl="0">
      <w:lvlJc w:val="left"/>
      <w:lvlText w:val="(%1)"/>
      <w:numFmt w:val="decimal"/>
      <w:start w:val="1"/>
    </w:lvl>
  </w:abstractNum>
  <w:abstractNum w:abstractNumId="140">
    <w:nsid w:val="378D97C0"/>
    <w:multiLevelType w:val="hybridMultilevel"/>
    <w:lvl w:ilvl="0">
      <w:lvlJc w:val="left"/>
      <w:lvlText w:val="(%1)"/>
      <w:numFmt w:val="decimal"/>
      <w:start w:val="2"/>
    </w:lvl>
  </w:abstractNum>
  <w:abstractNum w:abstractNumId="141">
    <w:nsid w:val="1D91467C"/>
    <w:multiLevelType w:val="hybridMultilevel"/>
    <w:lvl w:ilvl="0">
      <w:lvlJc w:val="left"/>
      <w:lvlText w:val="%1"/>
      <w:numFmt w:val="decimal"/>
      <w:start w:val="1"/>
    </w:lvl>
    <w:lvl w:ilvl="1">
      <w:lvlJc w:val="left"/>
      <w:lvlText w:val="(%2)"/>
      <w:numFmt w:val="decimal"/>
      <w:start w:val="1"/>
    </w:lvl>
  </w:abstractNum>
  <w:abstractNum w:abstractNumId="142">
    <w:nsid w:val="316032BB"/>
    <w:multiLevelType w:val="hybridMultilevel"/>
    <w:lvl w:ilvl="0">
      <w:lvlJc w:val="left"/>
      <w:lvlText w:val="(%1)"/>
      <w:numFmt w:val="decimal"/>
      <w:start w:val="1"/>
    </w:lvl>
    <w:lvl w:ilvl="1">
      <w:lvlJc w:val="left"/>
      <w:lvlText w:val="(%2)"/>
      <w:numFmt w:val="decimal"/>
      <w:start w:val="2"/>
    </w:lvl>
  </w:abstractNum>
  <w:abstractNum w:abstractNumId="143">
    <w:nsid w:val="44344C22"/>
    <w:multiLevelType w:val="hybridMultilevel"/>
    <w:lvl w:ilvl="0">
      <w:lvlJc w:val="left"/>
      <w:lvlText w:val="*"/>
      <w:numFmt w:val="bullet"/>
      <w:start w:val="1"/>
    </w:lvl>
  </w:abstractNum>
  <w:abstractNum w:abstractNumId="144">
    <w:nsid w:val="13CDFCFC"/>
    <w:multiLevelType w:val="hybridMultilevel"/>
    <w:lvl w:ilvl="0">
      <w:lvlJc w:val="left"/>
      <w:lvlText w:val="**"/>
      <w:numFmt w:val="bullet"/>
      <w:start w:val="1"/>
    </w:lvl>
  </w:abstractNum>
  <w:abstractNum w:abstractNumId="145">
    <w:nsid w:val="471745E4"/>
    <w:multiLevelType w:val="hybridMultilevel"/>
    <w:lvl w:ilvl="0">
      <w:lvlJc w:val="left"/>
      <w:lvlText w:val="+"/>
      <w:numFmt w:val="bullet"/>
      <w:start w:val="1"/>
    </w:lvl>
  </w:abstractNum>
  <w:abstractNum w:abstractNumId="146">
    <w:nsid w:val="1DDBC66"/>
    <w:multiLevelType w:val="hybridMultilevel"/>
    <w:lvl w:ilvl="0">
      <w:lvlJc w:val="left"/>
      <w:lvlText w:val="%1."/>
      <w:numFmt w:val="decimal"/>
      <w:start w:val="1"/>
    </w:lvl>
    <w:lvl w:ilvl="1">
      <w:lvlJc w:val="left"/>
      <w:lvlText w:val="%2."/>
      <w:numFmt w:val="lowerLetter"/>
      <w:start w:val="1"/>
    </w:lvl>
  </w:abstractNum>
  <w:abstractNum w:abstractNumId="147">
    <w:nsid w:val="30AADFDA"/>
    <w:multiLevelType w:val="hybridMultilevel"/>
    <w:lvl w:ilvl="0">
      <w:lvlJc w:val="left"/>
      <w:lvlText w:val="%1"/>
      <w:numFmt w:val="lowerLetter"/>
      <w:start w:val="1"/>
    </w:lvl>
    <w:lvl w:ilvl="1">
      <w:lvlJc w:val="left"/>
      <w:lvlText w:val="(%2)"/>
      <w:numFmt w:val="lowerRoman"/>
      <w:start w:val="1"/>
    </w:lvl>
  </w:abstractNum>
  <w:abstractNum w:abstractNumId="148">
    <w:nsid w:val="30EADA61"/>
    <w:multiLevelType w:val="hybridMultilevel"/>
    <w:lvl w:ilvl="0">
      <w:lvlJc w:val="left"/>
      <w:lvlText w:val="%1."/>
      <w:numFmt w:val="lowerLetter"/>
      <w:start w:val="16"/>
    </w:lvl>
    <w:lvl w:ilvl="1">
      <w:lvlJc w:val="left"/>
      <w:lvlText w:val="(%2)"/>
      <w:numFmt w:val="lowerRoman"/>
      <w:start w:val="1"/>
    </w:lvl>
  </w:abstractNum>
  <w:abstractNum w:abstractNumId="149">
    <w:nsid w:val="27179C0B"/>
    <w:multiLevelType w:val="hybridMultilevel"/>
    <w:lvl w:ilvl="0">
      <w:lvlJc w:val="left"/>
      <w:lvlText w:val="%1"/>
      <w:numFmt w:val="upperLetter"/>
      <w:start w:val="1"/>
    </w:lvl>
    <w:lvl w:ilvl="1">
      <w:lvlJc w:val="left"/>
      <w:lvlText w:val="(%2)"/>
      <w:numFmt w:val="lowerRoman"/>
      <w:start w:val="2"/>
    </w:lvl>
  </w:abstractNum>
  <w:abstractNum w:abstractNumId="150">
    <w:nsid w:val="5E636063"/>
    <w:multiLevelType w:val="hybridMultilevel"/>
    <w:lvl w:ilvl="0">
      <w:lvlJc w:val="left"/>
      <w:lvlText w:val="(%1)"/>
      <w:numFmt w:val="upperLetter"/>
      <w:start w:val="3"/>
    </w:lvl>
    <w:lvl w:ilvl="1">
      <w:lvlJc w:val="left"/>
      <w:lvlText w:val="(%2)"/>
      <w:numFmt w:val="lowerRoman"/>
      <w:start w:val="3"/>
    </w:lvl>
  </w:abstractNum>
  <w:abstractNum w:abstractNumId="151">
    <w:nsid w:val="215641AF"/>
    <w:multiLevelType w:val="hybridMultilevel"/>
    <w:lvl w:ilvl="0">
      <w:lvlJc w:val="left"/>
      <w:lvlText w:val="%1."/>
      <w:numFmt w:val="decimal"/>
      <w:start w:val="2"/>
    </w:lvl>
    <w:lvl w:ilvl="1">
      <w:lvlJc w:val="left"/>
      <w:lvlText w:val="%2"/>
      <w:numFmt w:val="lowerLetter"/>
      <w:start w:val="1"/>
    </w:lvl>
  </w:abstractNum>
  <w:abstractNum w:abstractNumId="152">
    <w:nsid w:val="53280662"/>
    <w:multiLevelType w:val="hybridMultilevel"/>
    <w:lvl w:ilvl="0">
      <w:lvlJc w:val="left"/>
      <w:lvlText w:val="%1."/>
      <w:numFmt w:val="decimal"/>
      <w:start w:val="4"/>
    </w:lvl>
  </w:abstractNum>
  <w:abstractNum w:abstractNumId="153">
    <w:nsid w:val="46B24DBC"/>
    <w:multiLevelType w:val="hybridMultilevel"/>
    <w:lvl w:ilvl="0">
      <w:lvlJc w:val="left"/>
      <w:lvlText w:val="%1."/>
      <w:numFmt w:val="decimal"/>
      <w:start w:val="5"/>
    </w:lvl>
    <w:lvl w:ilvl="1">
      <w:lvlJc w:val="left"/>
      <w:lvlText w:val="%2"/>
      <w:numFmt w:val="lowerLetter"/>
      <w:start w:val="1"/>
    </w:lvl>
  </w:abstractNum>
  <w:abstractNum w:abstractNumId="154">
    <w:nsid w:val="75B52783"/>
    <w:multiLevelType w:val="hybridMultilevel"/>
    <w:lvl w:ilvl="0">
      <w:lvlJc w:val="left"/>
      <w:lvlText w:val="%1."/>
      <w:numFmt w:val="decimal"/>
      <w:start w:val="6"/>
    </w:lvl>
    <w:lvl w:ilvl="1">
      <w:lvlJc w:val="left"/>
      <w:lvlText w:val="%2."/>
      <w:numFmt w:val="lowerLetter"/>
      <w:start w:val="1"/>
    </w:lvl>
  </w:abstractNum>
  <w:abstractNum w:abstractNumId="155">
    <w:nsid w:val="57CE66B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6">
    <w:nsid w:val="67A70B69"/>
    <w:multiLevelType w:val="hybridMultilevel"/>
    <w:lvl w:ilvl="0">
      <w:lvlJc w:val="left"/>
      <w:lvlText w:val="(%1)"/>
      <w:numFmt w:val="lowerRoman"/>
      <w:start w:val="1"/>
    </w:lvl>
  </w:abstractNum>
  <w:abstractNum w:abstractNumId="157">
    <w:nsid w:val="5953172F"/>
    <w:multiLevelType w:val="hybridMultilevel"/>
    <w:lvl w:ilvl="0">
      <w:lvlJc w:val="left"/>
      <w:lvlText w:val="(%1)"/>
      <w:numFmt w:val="lowerRoman"/>
      <w:start w:val="4"/>
    </w:lvl>
  </w:abstractNum>
  <w:abstractNum w:abstractNumId="158">
    <w:nsid w:val="27EDFE3A"/>
    <w:multiLevelType w:val="hybridMultilevel"/>
    <w:lvl w:ilvl="0">
      <w:lvlJc w:val="left"/>
      <w:lvlText w:val="%1."/>
      <w:numFmt w:val="decimal"/>
      <w:start w:val="8"/>
    </w:lvl>
  </w:abstractNum>
  <w:abstractNum w:abstractNumId="159">
    <w:nsid w:val="52AC7DFF"/>
    <w:multiLevelType w:val="hybridMultilevel"/>
    <w:lvl w:ilvl="0">
      <w:lvlJc w:val="left"/>
      <w:lvlText w:val="%1."/>
      <w:numFmt w:val="decimal"/>
      <w:start w:val="1"/>
    </w:lvl>
  </w:abstractNum>
  <w:abstractNum w:abstractNumId="160">
    <w:nsid w:val="C4C3AF"/>
    <w:multiLevelType w:val="hybridMultilevel"/>
    <w:lvl w:ilvl="0">
      <w:lvlJc w:val="left"/>
      <w:lvlText w:val="%1"/>
      <w:numFmt w:val="upperLetter"/>
      <w:start w:val="1"/>
    </w:lvl>
    <w:lvl w:ilvl="1">
      <w:lvlJc w:val="left"/>
      <w:lvlText w:val="%2."/>
      <w:numFmt w:val="decimal"/>
      <w:start w:val="2"/>
    </w:lvl>
  </w:abstractNum>
  <w:abstractNum w:abstractNumId="161">
    <w:nsid w:val="44380727"/>
    <w:multiLevelType w:val="hybridMultilevel"/>
    <w:lvl w:ilvl="0">
      <w:lvlJc w:val="left"/>
      <w:lvlText w:val="%1."/>
      <w:numFmt w:val="upperLetter"/>
      <w:start w:val="3"/>
    </w:lvl>
    <w:lvl w:ilvl="1">
      <w:lvlJc w:val="left"/>
      <w:lvlText w:val="%2."/>
      <w:numFmt w:val="decimal"/>
      <w:start w:val="1"/>
    </w:lvl>
  </w:abstractNum>
  <w:abstractNum w:abstractNumId="162">
    <w:nsid w:val="6C053B16"/>
    <w:multiLevelType w:val="hybridMultilevel"/>
    <w:lvl w:ilvl="0">
      <w:lvlJc w:val="left"/>
      <w:lvlText w:val="%1."/>
      <w:numFmt w:val="decimal"/>
      <w:start w:val="1"/>
    </w:lvl>
  </w:abstractNum>
  <w:abstractNum w:abstractNumId="163">
    <w:nsid w:val="4F294393"/>
    <w:multiLevelType w:val="hybridMultilevel"/>
    <w:lvl w:ilvl="0">
      <w:lvlJc w:val="left"/>
      <w:lvlText w:val="(%1)"/>
      <w:numFmt w:val="lowerLetter"/>
      <w:start w:val="1"/>
    </w:lvl>
  </w:abstractNum>
  <w:abstractNum w:abstractNumId="164">
    <w:nsid w:val="5243BFAC"/>
    <w:multiLevelType w:val="hybridMultilevel"/>
    <w:lvl w:ilvl="0">
      <w:lvlJc w:val="left"/>
      <w:lvlText w:val="(%1)"/>
      <w:numFmt w:val="lowerLetter"/>
      <w:start w:val="2"/>
    </w:lvl>
    <w:lvl w:ilvl="1">
      <w:lvlJc w:val="left"/>
      <w:lvlText w:val="(%2)"/>
      <w:numFmt w:val="lowerRoman"/>
      <w:start w:val="1"/>
    </w:lvl>
  </w:abstractNum>
  <w:abstractNum w:abstractNumId="165">
    <w:nsid w:val="425EB207"/>
    <w:multiLevelType w:val="hybridMultilevel"/>
    <w:lvl w:ilvl="0">
      <w:lvlJc w:val="left"/>
      <w:lvlText w:val="(%1)"/>
      <w:numFmt w:val="upperLetter"/>
      <w:start w:val="2"/>
    </w:lvl>
    <w:lvl w:ilvl="1">
      <w:lvlJc w:val="left"/>
      <w:lvlText w:val="(%2)"/>
      <w:numFmt w:val="lowerRoman"/>
      <w:start w:val="3"/>
    </w:lvl>
  </w:abstractNum>
  <w:abstractNum w:abstractNumId="166">
    <w:nsid w:val="334A6F1F"/>
    <w:multiLevelType w:val="hybridMultilevel"/>
    <w:lvl w:ilvl="0">
      <w:lvlJc w:val="left"/>
      <w:lvlText w:val="(%1)"/>
      <w:numFmt w:val="lowerLetter"/>
      <w:start w:val="3"/>
    </w:lvl>
  </w:abstractNum>
  <w:abstractNum w:abstractNumId="167">
    <w:nsid w:val="2E5B12B8"/>
    <w:multiLevelType w:val="hybridMultilevel"/>
    <w:lvl w:ilvl="0">
      <w:lvlJc w:val="left"/>
      <w:lvlText w:val="(%1)"/>
      <w:numFmt w:val="lowerLetter"/>
      <w:start w:val="6"/>
    </w:lvl>
  </w:abstractNum>
  <w:abstractNum w:abstractNumId="168">
    <w:nsid w:val="5C03D76D"/>
    <w:multiLevelType w:val="hybridMultilevel"/>
    <w:lvl w:ilvl="0">
      <w:lvlJc w:val="left"/>
      <w:lvlText w:val="(%1)"/>
      <w:numFmt w:val="lowerRoman"/>
      <w:start w:val="2"/>
    </w:lvl>
  </w:abstractNum>
  <w:abstractNum w:abstractNumId="169">
    <w:nsid w:val="66A48D11"/>
    <w:multiLevelType w:val="hybridMultilevel"/>
    <w:lvl w:ilvl="0">
      <w:lvlJc w:val="left"/>
      <w:lvlText w:val="(%1)"/>
      <w:numFmt w:val="upperLetter"/>
      <w:start w:val="1"/>
    </w:lvl>
  </w:abstractNum>
  <w:abstractNum w:abstractNumId="170">
    <w:nsid w:val="56C28E34"/>
    <w:multiLevelType w:val="hybridMultilevel"/>
    <w:lvl w:ilvl="0">
      <w:lvlJc w:val="left"/>
      <w:lvlText w:val="(%1)"/>
      <w:numFmt w:val="lowerRoman"/>
      <w:start w:val="5"/>
    </w:lvl>
  </w:abstractNum>
  <w:abstractNum w:abstractNumId="171">
    <w:nsid w:val="13916F2D"/>
    <w:multiLevelType w:val="hybridMultilevel"/>
    <w:lvl w:ilvl="0">
      <w:lvlJc w:val="left"/>
      <w:lvlText w:val="%1"/>
      <w:numFmt w:val="lowerRoman"/>
      <w:start w:val="1"/>
    </w:lvl>
    <w:lvl w:ilvl="1">
      <w:lvlJc w:val="left"/>
      <w:lvlText w:val="(%2)"/>
      <w:numFmt w:val="lowerLetter"/>
      <w:start w:val="1"/>
    </w:lvl>
  </w:abstractNum>
  <w:abstractNum w:abstractNumId="172">
    <w:nsid w:val="435D38D"/>
    <w:multiLevelType w:val="hybridMultilevel"/>
    <w:lvl w:ilvl="0">
      <w:lvlJc w:val="left"/>
      <w:lvlText w:val="(%1)"/>
      <w:numFmt w:val="lowerRoman"/>
      <w:start w:val="4"/>
    </w:lvl>
    <w:lvl w:ilvl="1">
      <w:lvlJc w:val="left"/>
      <w:lvlText w:val="%2"/>
      <w:numFmt w:val="lowerLetter"/>
      <w:start w:val="1"/>
    </w:lvl>
  </w:abstractNum>
  <w:abstractNum w:abstractNumId="173">
    <w:nsid w:val="822C0EF"/>
    <w:multiLevelType w:val="hybridMultilevel"/>
    <w:lvl w:ilvl="0">
      <w:lvlJc w:val="left"/>
      <w:lvlText w:val="(%1)"/>
      <w:numFmt w:val="lowerLetter"/>
      <w:start w:val="4"/>
    </w:lvl>
  </w:abstractNum>
  <w:abstractNum w:abstractNumId="174">
    <w:nsid w:val="57C5BB4F"/>
    <w:multiLevelType w:val="hybridMultilevel"/>
    <w:lvl w:ilvl="0">
      <w:lvlJc w:val="left"/>
      <w:lvlText w:val="(%1)"/>
      <w:numFmt w:val="lowerLetter"/>
      <w:start w:val="1"/>
    </w:lvl>
    <w:lvl w:ilvl="1">
      <w:lvlJc w:val="left"/>
      <w:lvlText w:val="(%2)"/>
      <w:numFmt w:val="lowerRoman"/>
      <w:start w:val="1"/>
    </w:lvl>
  </w:abstractNum>
  <w:abstractNum w:abstractNumId="175">
    <w:nsid w:val="1803D089"/>
    <w:multiLevelType w:val="hybridMultilevel"/>
    <w:lvl w:ilvl="0">
      <w:lvlJc w:val="left"/>
      <w:lvlText w:val="(%1)"/>
      <w:numFmt w:val="lowerLetter"/>
      <w:start w:val="1"/>
    </w:lvl>
  </w:abstractNum>
  <w:abstractNum w:abstractNumId="176">
    <w:nsid w:val="4F3A06D4"/>
    <w:multiLevelType w:val="hybridMultilevel"/>
    <w:lvl w:ilvl="0">
      <w:lvlJc w:val="left"/>
      <w:lvlText w:val="(%1)"/>
      <w:numFmt w:val="lowerLetter"/>
      <w:start w:val="1"/>
    </w:lvl>
  </w:abstractNum>
  <w:abstractNum w:abstractNumId="177">
    <w:nsid w:val="59A377B6"/>
    <w:multiLevelType w:val="hybridMultilevel"/>
    <w:lvl w:ilvl="0">
      <w:lvlJc w:val="left"/>
      <w:lvlText w:val="(%1)"/>
      <w:numFmt w:val="lowerLetter"/>
      <w:start w:val="1"/>
    </w:lvl>
  </w:abstractNum>
  <w:abstractNum w:abstractNumId="178">
    <w:nsid w:val="48AEB063"/>
    <w:multiLevelType w:val="hybridMultilevel"/>
    <w:lvl w:ilvl="0">
      <w:lvlJc w:val="left"/>
      <w:lvlText w:val="%1"/>
      <w:numFmt w:val="lowerLetter"/>
      <w:start w:val="1"/>
    </w:lvl>
    <w:lvl w:ilvl="1">
      <w:lvlJc w:val="left"/>
      <w:lvlText w:val="(%2)"/>
      <w:numFmt w:val="lowerLetter"/>
      <w:start w:val="1"/>
    </w:lvl>
  </w:abstractNum>
  <w:abstractNum w:abstractNumId="179">
    <w:nsid w:val="24E135"/>
    <w:multiLevelType w:val="hybridMultilevel"/>
    <w:lvl w:ilvl="0">
      <w:lvlJc w:val="left"/>
      <w:lvlText w:val="(%1)"/>
      <w:numFmt w:val="lowerLetter"/>
      <w:start w:val="9"/>
    </w:lvl>
    <w:lvl w:ilvl="1">
      <w:lvlJc w:val="left"/>
      <w:lvlText w:val="%2"/>
      <w:numFmt w:val="lowerLetter"/>
      <w:start w:val="1"/>
    </w:lvl>
  </w:abstractNum>
  <w:abstractNum w:abstractNumId="180">
    <w:nsid w:val="BB13C1"/>
    <w:multiLevelType w:val="hybridMultilevel"/>
    <w:lvl w:ilvl="0">
      <w:lvlJc w:val="left"/>
      <w:lvlText w:val="(%1)"/>
      <w:numFmt w:val="lowerLetter"/>
      <w:start w:val="2"/>
    </w:lvl>
  </w:abstractNum>
  <w:abstractNum w:abstractNumId="181">
    <w:nsid w:val="271210C7"/>
    <w:multiLevelType w:val="hybridMultilevel"/>
    <w:lvl w:ilvl="0">
      <w:lvlJc w:val="left"/>
      <w:lvlText w:val="(%1)"/>
      <w:numFmt w:val="lowerLetter"/>
      <w:start w:val="1"/>
    </w:lvl>
  </w:abstractNum>
  <w:abstractNum w:abstractNumId="182">
    <w:nsid w:val="217B22E4"/>
    <w:multiLevelType w:val="hybridMultilevel"/>
    <w:lvl w:ilvl="0">
      <w:lvlJc w:val="left"/>
      <w:lvlText w:val="(%1)"/>
      <w:numFmt w:val="lowerLetter"/>
      <w:start w:val="1"/>
    </w:lvl>
  </w:abstractNum>
  <w:abstractNum w:abstractNumId="183">
    <w:nsid w:val="53E31A24"/>
    <w:multiLevelType w:val="hybridMultilevel"/>
    <w:lvl w:ilvl="0">
      <w:lvlJc w:val="left"/>
      <w:lvlText w:val="(%1)"/>
      <w:numFmt w:val="lowerLetter"/>
      <w:start w:val="4"/>
    </w:lvl>
  </w:abstractNum>
  <w:abstractNum w:abstractNumId="184">
    <w:nsid w:val="6DC45E83"/>
    <w:multiLevelType w:val="hybridMultilevel"/>
    <w:lvl w:ilvl="0">
      <w:lvlJc w:val="left"/>
      <w:lvlText w:val="(%1)"/>
      <w:numFmt w:val="lowerLetter"/>
      <w:start w:val="1"/>
    </w:lvl>
  </w:abstractNum>
  <w:abstractNum w:abstractNumId="185">
    <w:nsid w:val="17304A67"/>
    <w:multiLevelType w:val="hybridMultilevel"/>
    <w:lvl w:ilvl="0">
      <w:lvlJc w:val="left"/>
      <w:lvlText w:val="(%1)"/>
      <w:numFmt w:val="lowerLetter"/>
      <w:start w:val="1"/>
    </w:lvl>
  </w:abstractNum>
  <w:abstractNum w:abstractNumId="186">
    <w:nsid w:val="2BB180D8"/>
    <w:multiLevelType w:val="hybridMultilevel"/>
    <w:lvl w:ilvl="0">
      <w:lvlJc w:val="left"/>
      <w:lvlText w:val="(%1)"/>
      <w:numFmt w:val="lowerLetter"/>
      <w:start w:val="2"/>
    </w:lvl>
  </w:abstractNum>
  <w:abstractNum w:abstractNumId="187">
    <w:nsid w:val="556B69ED"/>
    <w:multiLevelType w:val="hybridMultilevel"/>
    <w:lvl w:ilvl="0">
      <w:lvlJc w:val="left"/>
      <w:lvlText w:val="(%1)"/>
      <w:numFmt w:val="lowerLetter"/>
      <w:start w:val="1"/>
    </w:lvl>
  </w:abstractNum>
  <w:abstractNum w:abstractNumId="188">
    <w:nsid w:val="70836196"/>
    <w:multiLevelType w:val="hybridMultilevel"/>
    <w:lvl w:ilvl="0">
      <w:lvlJc w:val="left"/>
      <w:lvlText w:val="(%1)"/>
      <w:numFmt w:val="lowerLetter"/>
      <w:start w:val="2"/>
    </w:lvl>
  </w:abstractNum>
  <w:abstractNum w:abstractNumId="189">
    <w:nsid w:val="539F7F12"/>
    <w:multiLevelType w:val="hybridMultilevel"/>
    <w:lvl w:ilvl="0">
      <w:lvlJc w:val="left"/>
      <w:lvlText w:val="(%1)"/>
      <w:numFmt w:val="lowerLetter"/>
      <w:start w:val="4"/>
    </w:lvl>
  </w:abstractNum>
  <w:abstractNum w:abstractNumId="190">
    <w:nsid w:val="2817E7EC"/>
    <w:multiLevelType w:val="hybridMultilevel"/>
    <w:lvl w:ilvl="0">
      <w:lvlJc w:val="left"/>
      <w:lvlText w:val="(%1)"/>
      <w:numFmt w:val="lowerLetter"/>
      <w:start w:val="5"/>
    </w:lvl>
  </w:abstractNum>
  <w:abstractNum w:abstractNumId="191">
    <w:nsid w:val="71482545"/>
    <w:multiLevelType w:val="hybridMultilevel"/>
    <w:lvl w:ilvl="0">
      <w:lvlJc w:val="left"/>
      <w:lvlText w:val="(%1)"/>
      <w:numFmt w:val="lowerLetter"/>
      <w:start w:val="9"/>
    </w:lvl>
    <w:lvl w:ilvl="1">
      <w:lvlJc w:val="left"/>
      <w:lvlText w:val="(%2)"/>
      <w:numFmt w:val="lowerRoman"/>
      <w:start w:val="1"/>
    </w:lvl>
  </w:abstractNum>
  <w:abstractNum w:abstractNumId="192">
    <w:nsid w:val="17D78639"/>
    <w:multiLevelType w:val="hybridMultilevel"/>
    <w:lvl w:ilvl="0">
      <w:lvlJc w:val="left"/>
      <w:lvlText w:val="(%1)"/>
      <w:numFmt w:val="lowerRoman"/>
      <w:start w:val="3"/>
    </w:lvl>
  </w:abstractNum>
  <w:abstractNum w:abstractNumId="193">
    <w:nsid w:val="141D2302"/>
    <w:multiLevelType w:val="hybridMultilevel"/>
    <w:lvl w:ilvl="0">
      <w:lvlJc w:val="left"/>
      <w:lvlText w:val="(%1)"/>
      <w:numFmt w:val="lowerLetter"/>
      <w:start w:val="1"/>
    </w:lvl>
  </w:abstractNum>
  <w:abstractNum w:abstractNumId="194">
    <w:nsid w:val="407168D8"/>
    <w:multiLevelType w:val="hybridMultilevel"/>
    <w:lvl w:ilvl="0">
      <w:lvlJc w:val="left"/>
      <w:lvlText w:val="(%1)"/>
      <w:numFmt w:val="lowerLetter"/>
      <w:start w:val="4"/>
    </w:lvl>
  </w:abstractNum>
  <w:abstractNum w:abstractNumId="195">
    <w:nsid w:val="6A1B45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6">
    <w:nsid w:val="567BD50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97">
    <w:nsid w:val="73BBD7F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98">
    <w:nsid w:val="1876589D"/>
    <w:multiLevelType w:val="hybridMultilevel"/>
    <w:lvl w:ilvl="0">
      <w:lvlJc w:val="left"/>
      <w:lvlText w:val="%1"/>
      <w:numFmt w:val="lowerRoman"/>
      <w:start w:val="1"/>
    </w:lvl>
    <w:lvl w:ilvl="1">
      <w:lvlJc w:val="left"/>
      <w:lvlText w:val="(%2)"/>
      <w:numFmt w:val="lowerRoman"/>
      <w:start w:val="2"/>
    </w:lvl>
  </w:abstractNum>
  <w:abstractNum w:abstractNumId="199">
    <w:nsid w:val="327FAC77"/>
    <w:multiLevelType w:val="hybridMultilevel"/>
    <w:lvl w:ilvl="0">
      <w:lvlJc w:val="left"/>
      <w:lvlText w:val="(%1)"/>
      <w:numFmt w:val="lowerRoman"/>
      <w:start w:val="2"/>
    </w:lvl>
    <w:lvl w:ilvl="1">
      <w:lvlJc w:val="left"/>
      <w:lvlText w:val="(%2)"/>
      <w:numFmt w:val="lowerRoman"/>
      <w:start w:val="4"/>
    </w:lvl>
  </w:abstractNum>
  <w:abstractNum w:abstractNumId="200">
    <w:nsid w:val="5A606509"/>
    <w:multiLevelType w:val="hybridMultilevel"/>
    <w:lvl w:ilvl="0">
      <w:lvlJc w:val="left"/>
      <w:lvlText w:val="(%1)"/>
      <w:numFmt w:val="lowerLetter"/>
      <w:start w:val="3"/>
    </w:lvl>
  </w:abstractNum>
  <w:abstractNum w:abstractNumId="201">
    <w:nsid w:val="6F38E6D1"/>
    <w:multiLevelType w:val="hybridMultilevel"/>
    <w:lvl w:ilvl="0">
      <w:lvlJc w:val="left"/>
      <w:lvlText w:val="%1."/>
      <w:numFmt w:val="decimal"/>
      <w:start w:val="4"/>
    </w:lvl>
  </w:abstractNum>
  <w:abstractNum w:abstractNumId="202">
    <w:nsid w:val="46111BA5"/>
    <w:multiLevelType w:val="hybridMultilevel"/>
    <w:lvl w:ilvl="0">
      <w:lvlJc w:val="left"/>
      <w:lvlText w:val="(%1)"/>
      <w:numFmt w:val="lowerLetter"/>
      <w:start w:val="1"/>
    </w:lvl>
  </w:abstractNum>
  <w:abstractNum w:abstractNumId="203">
    <w:nsid w:val="5E963896"/>
    <w:multiLevelType w:val="hybridMultilevel"/>
    <w:lvl w:ilvl="0">
      <w:lvlJc w:val="left"/>
      <w:lvlText w:val="(%1)"/>
      <w:numFmt w:val="lowerRoman"/>
      <w:start w:val="1"/>
    </w:lvl>
  </w:abstractNum>
  <w:abstractNum w:abstractNumId="204">
    <w:nsid w:val="775BA7C1"/>
    <w:multiLevelType w:val="hybridMultilevel"/>
    <w:lvl w:ilvl="0">
      <w:lvlJc w:val="left"/>
      <w:lvlText w:val="%1"/>
      <w:numFmt w:val="lowerLetter"/>
      <w:start w:val="1"/>
    </w:lvl>
    <w:lvl w:ilvl="1">
      <w:lvlJc w:val="left"/>
      <w:lvlText w:val="(%2)"/>
      <w:numFmt w:val="lowerRoman"/>
      <w:start w:val="2"/>
    </w:lvl>
  </w:abstractNum>
  <w:abstractNum w:abstractNumId="205">
    <w:nsid w:val="1DD6D6F4"/>
    <w:multiLevelType w:val="hybridMultilevel"/>
    <w:lvl w:ilvl="0">
      <w:lvlJc w:val="left"/>
      <w:lvlText w:val="(%1)"/>
      <w:numFmt w:val="lowerLetter"/>
      <w:start w:val="4"/>
    </w:lvl>
    <w:lvl w:ilvl="1">
      <w:lvlJc w:val="left"/>
      <w:lvlText w:val="%2"/>
      <w:numFmt w:val="lowerRoman"/>
      <w:start w:val="1"/>
    </w:lvl>
  </w:abstractNum>
  <w:abstractNum w:abstractNumId="206">
    <w:nsid w:val="769A091F"/>
    <w:multiLevelType w:val="hybridMultilevel"/>
    <w:lvl w:ilvl="0">
      <w:lvlJc w:val="left"/>
      <w:lvlText w:val="%1"/>
      <w:numFmt w:val="lowerLetter"/>
      <w:start w:val="1"/>
    </w:lvl>
    <w:lvl w:ilvl="1">
      <w:lvlJc w:val="left"/>
      <w:lvlText w:val="(%2)"/>
      <w:numFmt w:val="lowerRoman"/>
      <w:start w:val="1"/>
    </w:lvl>
  </w:abstractNum>
  <w:abstractNum w:abstractNumId="207">
    <w:nsid w:val="4695AE95"/>
    <w:multiLevelType w:val="hybridMultilevel"/>
    <w:lvl w:ilvl="0">
      <w:lvlJc w:val="left"/>
      <w:lvlText w:val="(%1)"/>
      <w:numFmt w:val="lowerLetter"/>
      <w:start w:val="6"/>
    </w:lvl>
    <w:lvl w:ilvl="1">
      <w:lvlJc w:val="left"/>
      <w:lvlText w:val="(%2)"/>
      <w:numFmt w:val="lowerRoman"/>
      <w:start w:val="1"/>
    </w:lvl>
  </w:abstractNum>
  <w:abstractNum w:abstractNumId="208">
    <w:nsid w:val="777A4EAA"/>
    <w:multiLevelType w:val="hybridMultilevel"/>
    <w:lvl w:ilvl="0">
      <w:lvlJc w:val="left"/>
      <w:lvlText w:val="(%1)"/>
      <w:numFmt w:val="lowerRoman"/>
      <w:start w:val="2"/>
    </w:lvl>
  </w:abstractNum>
  <w:abstractNum w:abstractNumId="209">
    <w:nsid w:val="3F48B982"/>
    <w:multiLevelType w:val="hybridMultilevel"/>
    <w:lvl w:ilvl="0">
      <w:lvlJc w:val="left"/>
      <w:lvlText w:val="(%1)"/>
      <w:numFmt w:val="lowerLetter"/>
      <w:start w:val="9"/>
    </w:lvl>
  </w:abstractNum>
  <w:abstractNum w:abstractNumId="210">
    <w:nsid w:val="46BA8FCA"/>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211">
    <w:nsid w:val="7835626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12">
    <w:nsid w:val="665ACA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13">
    <w:nsid w:val="6835B2A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4">
    <w:nsid w:val="4C187C9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5">
    <w:nsid w:val="541F28CD"/>
    <w:multiLevelType w:val="hybridMultilevel"/>
    <w:lvl w:ilvl="0">
      <w:lvlJc w:val="left"/>
      <w:lvlText w:val="(%1)"/>
      <w:numFmt w:val="lowerLetter"/>
      <w:start w:val="2"/>
    </w:lvl>
  </w:abstractNum>
  <w:abstractNum w:abstractNumId="216">
    <w:nsid w:val="7F65FD16"/>
    <w:multiLevelType w:val="hybridMultilevel"/>
    <w:lvl w:ilvl="0">
      <w:lvlJc w:val="left"/>
      <w:lvlText w:val="(%1)"/>
      <w:numFmt w:val="lowerRoman"/>
      <w:start w:val="1"/>
    </w:lvl>
  </w:abstractNum>
  <w:abstractNum w:abstractNumId="217">
    <w:nsid w:val="77C9FD68"/>
    <w:multiLevelType w:val="hybridMultilevel"/>
    <w:lvl w:ilvl="0">
      <w:lvlJc w:val="left"/>
      <w:lvlText w:val="%1"/>
      <w:numFmt w:val="lowerLetter"/>
      <w:start w:val="1"/>
    </w:lvl>
    <w:lvl w:ilvl="1">
      <w:lvlJc w:val="left"/>
      <w:lvlText w:val="(%2)"/>
      <w:numFmt w:val="lowerRoman"/>
      <w:start w:val="3"/>
    </w:lvl>
  </w:abstractNum>
  <w:abstractNum w:abstractNumId="218">
    <w:nsid w:val="298A92BA"/>
    <w:multiLevelType w:val="hybridMultilevel"/>
    <w:lvl w:ilvl="0">
      <w:lvlJc w:val="left"/>
      <w:lvlText w:val="(%1)"/>
      <w:numFmt w:val="lowerLetter"/>
      <w:start w:val="4"/>
    </w:lvl>
    <w:lvl w:ilvl="1">
      <w:lvlJc w:val="left"/>
      <w:lvlText w:val="%2"/>
      <w:numFmt w:val="lowerRoman"/>
      <w:start w:val="1"/>
    </w:lvl>
  </w:abstractNum>
  <w:abstractNum w:abstractNumId="219">
    <w:nsid w:val="6FE95EA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20">
    <w:nsid w:val="4B697C7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21">
    <w:nsid w:val="51A27AA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22">
    <w:nsid w:val="613183F2"/>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8"/>
    </w:lvl>
  </w:abstractNum>
  <w:abstractNum w:abstractNumId="223">
    <w:nsid w:val="634102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4">
    <w:nsid w:val="65BF9D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25">
    <w:nsid w:val="21A2ECC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26">
    <w:nsid w:val="4D5C4899"/>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27">
    <w:nsid w:val="3C3B72B2"/>
    <w:multiLevelType w:val="hybridMultilevel"/>
    <w:lvl w:ilvl="0">
      <w:lvlJc w:val="left"/>
      <w:lvlText w:val="%1."/>
      <w:numFmt w:val="decimal"/>
      <w:start w:val="8"/>
    </w:lvl>
    <w:lvl w:ilvl="1">
      <w:lvlJc w:val="left"/>
      <w:lvlText w:val="(%2)"/>
      <w:numFmt w:val="lowerLetter"/>
      <w:start w:val="1"/>
    </w:lvl>
  </w:abstractNum>
  <w:abstractNum w:abstractNumId="228">
    <w:nsid w:val="155EC4C2"/>
    <w:multiLevelType w:val="hybridMultilevel"/>
    <w:lvl w:ilvl="0">
      <w:lvlJc w:val="left"/>
      <w:lvlText w:val="(%1)"/>
      <w:numFmt w:val="lowerLetter"/>
      <w:start w:val="2"/>
    </w:lvl>
  </w:abstractNum>
  <w:abstractNum w:abstractNumId="229">
    <w:nsid w:val="65D2A137"/>
    <w:multiLevelType w:val="hybridMultilevel"/>
    <w:lvl w:ilvl="0">
      <w:lvlJc w:val="left"/>
      <w:lvlText w:val="%1."/>
      <w:numFmt w:val="decimal"/>
      <w:start w:val="9"/>
    </w:lvl>
    <w:lvl w:ilvl="1">
      <w:lvlJc w:val="left"/>
      <w:lvlText w:val="(%2)"/>
      <w:numFmt w:val="lowerLetter"/>
      <w:start w:val="1"/>
    </w:lvl>
  </w:abstractNum>
  <w:abstractNum w:abstractNumId="230">
    <w:nsid w:val="6EBB1F2A"/>
    <w:multiLevelType w:val="hybridMultilevel"/>
    <w:lvl w:ilvl="0">
      <w:lvlJc w:val="left"/>
      <w:lvlText w:val="(%1)"/>
      <w:numFmt w:val="lowerLetter"/>
      <w:start w:val="7"/>
    </w:lvl>
  </w:abstractNum>
  <w:abstractNum w:abstractNumId="231">
    <w:nsid w:val="6FBF29CB"/>
    <w:multiLevelType w:val="hybridMultilevel"/>
    <w:lvl w:ilvl="0">
      <w:lvlJc w:val="left"/>
      <w:lvlText w:val="(%1)"/>
      <w:numFmt w:val="lowerLetter"/>
      <w:start w:val="12"/>
    </w:lvl>
  </w:abstractNum>
  <w:abstractNum w:abstractNumId="232">
    <w:nsid w:val="550B8808"/>
    <w:multiLevelType w:val="hybridMultilevel"/>
    <w:lvl w:ilvl="0">
      <w:lvlJc w:val="left"/>
      <w:lvlText w:val="%1."/>
      <w:numFmt w:val="decimal"/>
      <w:start w:val="10"/>
    </w:lvl>
  </w:abstractNum>
  <w:abstractNum w:abstractNumId="233">
    <w:nsid w:val="34CC3AC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34">
    <w:nsid w:val="4E5562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235">
    <w:nsid w:val="4C672FC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236">
    <w:nsid w:val="52A311C3"/>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237">
    <w:nsid w:val="44EF6B80"/>
    <w:multiLevelType w:val="hybridMultilevel"/>
    <w:lvl w:ilvl="0">
      <w:lvlJc w:val="left"/>
      <w:lvlText w:val="(%1)"/>
      <w:numFmt w:val="lowerRoman"/>
      <w:start w:val="2"/>
    </w:lvl>
    <w:lvl w:ilvl="1">
      <w:lvlJc w:val="left"/>
      <w:lvlText w:val="(%2)"/>
      <w:numFmt w:val="decimal"/>
      <w:start w:val="1"/>
    </w:lvl>
  </w:abstractNum>
  <w:abstractNum w:abstractNumId="238">
    <w:nsid w:val="12FCDE5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39">
    <w:nsid w:val="4A1D606E"/>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40">
    <w:nsid w:val="438250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41">
    <w:nsid w:val="59B76E2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42">
    <w:nsid w:val="4252C2DA"/>
    <w:multiLevelType w:val="hybridMultilevel"/>
    <w:lvl w:ilvl="0">
      <w:lvlJc w:val="left"/>
      <w:lvlText w:val="%1."/>
      <w:numFmt w:val="decimal"/>
      <w:start w:val="13"/>
    </w:lvl>
  </w:abstractNum>
  <w:abstractNum w:abstractNumId="243">
    <w:nsid w:val="6A92EF4C"/>
    <w:multiLevelType w:val="hybridMultilevel"/>
    <w:lvl w:ilvl="0">
      <w:lvlJc w:val="left"/>
      <w:lvlText w:val="(%1)"/>
      <w:numFmt w:val="lowerRoman"/>
      <w:start w:val="1"/>
    </w:lvl>
  </w:abstractNum>
  <w:abstractNum w:abstractNumId="244">
    <w:nsid w:val="41ED20D7"/>
    <w:multiLevelType w:val="hybridMultilevel"/>
    <w:lvl w:ilvl="0">
      <w:lvlJc w:val="left"/>
      <w:lvlText w:val="%1."/>
      <w:numFmt w:val="decimal"/>
      <w:start w:val="14"/>
    </w:lvl>
  </w:abstractNum>
  <w:abstractNum w:abstractNumId="245">
    <w:nsid w:val="E6B3F6A"/>
    <w:multiLevelType w:val="hybridMultilevel"/>
    <w:lvl w:ilvl="0">
      <w:lvlJc w:val="left"/>
      <w:lvlText w:val="(%1)"/>
      <w:numFmt w:val="lowerLetter"/>
      <w:start w:val="1"/>
    </w:lvl>
  </w:abstractNum>
  <w:abstractNum w:abstractNumId="246">
    <w:nsid w:val="3EB21819"/>
    <w:multiLevelType w:val="hybridMultilevel"/>
    <w:lvl w:ilvl="0">
      <w:lvlJc w:val="left"/>
      <w:lvlText w:val="(%1)"/>
      <w:numFmt w:val="lowerLetter"/>
      <w:start w:val="9"/>
    </w:lvl>
    <w:lvl w:ilvl="1">
      <w:lvlJc w:val="left"/>
      <w:lvlText w:val="(%2)"/>
      <w:numFmt w:val="lowerLetter"/>
      <w:start w:val="9"/>
    </w:lvl>
  </w:abstractNum>
  <w:abstractNum w:abstractNumId="247">
    <w:nsid w:val="41531DED"/>
    <w:multiLevelType w:val="hybridMultilevel"/>
    <w:lvl w:ilvl="0">
      <w:lvlJc w:val="left"/>
      <w:lvlText w:val="(%1)"/>
      <w:numFmt w:val="lowerRoman"/>
      <w:start w:val="2"/>
    </w:lvl>
  </w:abstractNum>
  <w:abstractNum w:abstractNumId="248">
    <w:nsid w:val="6353CD2"/>
    <w:multiLevelType w:val="hybridMultilevel"/>
    <w:lvl w:ilvl="0">
      <w:lvlJc w:val="left"/>
      <w:lvlText w:val="(%1)"/>
      <w:numFmt w:val="lowerLetter"/>
      <w:start w:val="11"/>
    </w:lvl>
  </w:abstractNum>
  <w:abstractNum w:abstractNumId="249">
    <w:nsid w:val="683CAAD3"/>
    <w:multiLevelType w:val="hybridMultilevel"/>
    <w:lvl w:ilvl="0">
      <w:lvlJc w:val="left"/>
      <w:lvlText w:val="(%1)"/>
      <w:numFmt w:val="lowerLetter"/>
      <w:start w:val="17"/>
    </w:lvl>
    <w:lvl w:ilvl="1">
      <w:lvlJc w:val="left"/>
      <w:lvlText w:val="(%2)"/>
      <w:numFmt w:val="lowerRoman"/>
      <w:start w:val="1"/>
    </w:lvl>
  </w:abstractNum>
  <w:abstractNum w:abstractNumId="250">
    <w:nsid w:val="313C7C99"/>
    <w:multiLevelType w:val="hybridMultilevel"/>
    <w:lvl w:ilvl="0">
      <w:lvlJc w:val="left"/>
      <w:lvlText w:val="(%1)"/>
      <w:numFmt w:val="lowerLetter"/>
      <w:start w:val="19"/>
    </w:lvl>
  </w:abstractNum>
  <w:abstractNum w:abstractNumId="251">
    <w:nsid w:val="519EB94C"/>
    <w:multiLevelType w:val="hybridMultilevel"/>
    <w:lvl w:ilvl="0">
      <w:lvlJc w:val="left"/>
      <w:lvlText w:val="(%1)"/>
      <w:numFmt w:val="lowerLetter"/>
      <w:start w:val="27"/>
    </w:lvl>
  </w:abstractNum>
  <w:abstractNum w:abstractNumId="252">
    <w:nsid w:val="39DF2579"/>
    <w:multiLevelType w:val="hybridMultilevel"/>
    <w:lvl w:ilvl="0">
      <w:lvlJc w:val="left"/>
      <w:lvlText w:val="(%1)"/>
      <w:numFmt w:val="lowerLetter"/>
      <w:start w:val="28"/>
    </w:lvl>
    <w:lvl w:ilvl="1">
      <w:lvlJc w:val="left"/>
      <w:lvlText w:val="(%2)"/>
      <w:numFmt w:val="lowerRoman"/>
      <w:start w:val="1"/>
    </w:lvl>
  </w:abstractNum>
  <w:abstractNum w:abstractNumId="253">
    <w:nsid w:val="126E008B"/>
    <w:multiLevelType w:val="hybridMultilevel"/>
    <w:lvl w:ilvl="0">
      <w:lvlJc w:val="left"/>
      <w:lvlText w:val="%1"/>
      <w:numFmt w:val="lowerLetter"/>
      <w:start w:val="1"/>
    </w:lvl>
    <w:lvl w:ilvl="1">
      <w:lvlJc w:val="left"/>
      <w:lvlText w:val="(%2)"/>
      <w:numFmt w:val="lowerLetter"/>
      <w:start w:val="34"/>
    </w:lvl>
  </w:abstractNum>
  <w:abstractNum w:abstractNumId="254">
    <w:nsid w:val="34DFBC00"/>
    <w:multiLevelType w:val="hybridMultilevel"/>
    <w:lvl w:ilvl="0">
      <w:lvlJc w:val="left"/>
      <w:lvlText w:val="(%1)"/>
      <w:numFmt w:val="lowerLetter"/>
      <w:start w:val="35"/>
    </w:lvl>
    <w:lvl w:ilvl="1">
      <w:lvlJc w:val="left"/>
      <w:lvlText w:val="(%2)"/>
      <w:numFmt w:val="lowerLetter"/>
      <w:start w:val="35"/>
    </w:lvl>
  </w:abstractNum>
  <w:abstractNum w:abstractNumId="255">
    <w:nsid w:val="1F9EC322"/>
    <w:multiLevelType w:val="hybridMultilevel"/>
    <w:lvl w:ilvl="0">
      <w:lvlJc w:val="left"/>
      <w:lvlText w:val="(%1)"/>
      <w:numFmt w:val="lowerLetter"/>
      <w:start w:val="41"/>
    </w:lvl>
  </w:abstractNum>
  <w:abstractNum w:abstractNumId="256">
    <w:nsid w:val="3410ED56"/>
    <w:multiLevelType w:val="hybridMultilevel"/>
    <w:lvl w:ilvl="0">
      <w:lvlJc w:val="left"/>
      <w:lvlText w:val="%1"/>
      <w:numFmt w:val="decimal"/>
      <w:start w:val="1"/>
    </w:lvl>
    <w:lvl w:ilvl="1">
      <w:lvlJc w:val="left"/>
      <w:lvlText w:val="(%2)"/>
      <w:numFmt w:val="lowerLetter"/>
      <w:start w:val="49"/>
    </w:lvl>
  </w:abstractNum>
  <w:abstractNum w:abstractNumId="257">
    <w:nsid w:val="23C049A"/>
    <w:multiLevelType w:val="hybridMultilevel"/>
    <w:lvl w:ilvl="0">
      <w:lvlJc w:val="left"/>
      <w:lvlText w:val="(%1)"/>
      <w:numFmt w:val="decimal"/>
      <w:start w:val="8"/>
    </w:lvl>
    <w:lvl w:ilvl="1">
      <w:lvlJc w:val="left"/>
      <w:lvlText w:val="%2"/>
      <w:numFmt w:val="lowerLetter"/>
      <w:start w:val="1"/>
    </w:lvl>
  </w:abstractNum>
  <w:abstractNum w:abstractNumId="258">
    <w:nsid w:val="5BDA35D4"/>
    <w:multiLevelType w:val="hybridMultilevel"/>
    <w:lvl w:ilvl="0">
      <w:lvlJc w:val="left"/>
      <w:lvlText w:val="(%1)"/>
      <w:numFmt w:val="lowerLetter"/>
      <w:start w:val="50"/>
    </w:lvl>
  </w:abstractNum>
  <w:abstractNum w:abstractNumId="259">
    <w:nsid w:val="496FB218"/>
    <w:multiLevelType w:val="hybridMultilevel"/>
    <w:lvl w:ilvl="0">
      <w:lvlJc w:val="left"/>
      <w:lvlText w:val="(%1)"/>
      <w:numFmt w:val="lowerLetter"/>
      <w:start w:val="53"/>
    </w:lvl>
  </w:abstractNum>
  <w:abstractNum w:abstractNumId="260">
    <w:nsid w:val="680EA5D1"/>
    <w:multiLevelType w:val="hybridMultilevel"/>
    <w:lvl w:ilvl="0">
      <w:lvlJc w:val="left"/>
      <w:lvlText w:val="(%1)"/>
      <w:numFmt w:val="lowerLetter"/>
      <w:start w:val="60"/>
    </w:lvl>
  </w:abstractNum>
  <w:abstractNum w:abstractNumId="261">
    <w:nsid w:val="4A9554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62">
    <w:nsid w:val="392EDBE4"/>
    <w:multiLevelType w:val="hybridMultilevel"/>
    <w:lvl w:ilvl="0">
      <w:lvlJc w:val="left"/>
      <w:lvlText w:val="%1"/>
      <w:numFmt w:val="lowerLetter"/>
      <w:start w:val="1"/>
    </w:lvl>
    <w:lvl w:ilvl="1">
      <w:lvlJc w:val="left"/>
      <w:lvlText w:val="(%2)"/>
      <w:numFmt w:val="lowerRoman"/>
      <w:start w:val="2"/>
    </w:lvl>
  </w:abstractNum>
  <w:abstractNum w:abstractNumId="263">
    <w:nsid w:val="3D1A2DD9"/>
    <w:multiLevelType w:val="hybridMultilevel"/>
    <w:lvl w:ilvl="0">
      <w:lvlJc w:val="left"/>
      <w:lvlText w:val="(%1)"/>
      <w:numFmt w:val="lowerLetter"/>
      <w:start w:val="3"/>
    </w:lvl>
    <w:lvl w:ilvl="1">
      <w:lvlJc w:val="left"/>
      <w:lvlText w:val="%2"/>
      <w:numFmt w:val="lowerRoman"/>
      <w:start w:val="1"/>
    </w:lvl>
  </w:abstractNum>
  <w:abstractNum w:abstractNumId="264">
    <w:nsid w:val="7F618FCD"/>
    <w:multiLevelType w:val="hybridMultilevel"/>
    <w:lvl w:ilvl="0">
      <w:lvlJc w:val="left"/>
      <w:lvlText w:val="(%1)"/>
      <w:numFmt w:val="lowerLetter"/>
      <w:start w:val="8"/>
    </w:lvl>
  </w:abstractNum>
  <w:abstractNum w:abstractNumId="265">
    <w:nsid w:val="7843E45"/>
    <w:multiLevelType w:val="hybridMultilevel"/>
    <w:lvl w:ilvl="0">
      <w:lvlJc w:val="left"/>
      <w:lvlText w:val="%1."/>
      <w:numFmt w:val="decimal"/>
      <w:start w:val="2"/>
    </w:lvl>
    <w:lvl w:ilvl="1">
      <w:lvlJc w:val="left"/>
      <w:lvlText w:val="(%2)"/>
      <w:numFmt w:val="lowerLetter"/>
      <w:start w:val="1"/>
    </w:lvl>
  </w:abstractNum>
  <w:abstractNum w:abstractNumId="266">
    <w:nsid w:val="9815DA3"/>
    <w:multiLevelType w:val="hybridMultilevel"/>
    <w:lvl w:ilvl="0">
      <w:lvlJc w:val="left"/>
      <w:lvlText w:val="%1"/>
      <w:numFmt w:val="decimal"/>
      <w:start w:val="1"/>
    </w:lvl>
    <w:lvl w:ilvl="1">
      <w:lvlJc w:val="left"/>
      <w:lvlText w:val="(%2)"/>
      <w:numFmt w:val="lowerLetter"/>
      <w:start w:val="4"/>
    </w:lvl>
  </w:abstractNum>
  <w:abstractNum w:abstractNumId="267">
    <w:nsid w:val="5204A191"/>
    <w:multiLevelType w:val="hybridMultilevel"/>
    <w:lvl w:ilvl="0">
      <w:lvlJc w:val="left"/>
      <w:lvlText w:val="%1."/>
      <w:numFmt w:val="decimal"/>
      <w:start w:val="6"/>
    </w:lvl>
    <w:lvl w:ilvl="1">
      <w:lvlJc w:val="left"/>
      <w:lvlText w:val="(%2)"/>
      <w:numFmt w:val="lowerLetter"/>
      <w:start w:val="1"/>
    </w:lvl>
  </w:abstractNum>
  <w:abstractNum w:abstractNumId="268">
    <w:nsid w:val="4C73A9C6"/>
    <w:multiLevelType w:val="hybridMultilevel"/>
    <w:lvl w:ilvl="0">
      <w:lvlJc w:val="left"/>
      <w:lvlText w:val="(%1)"/>
      <w:numFmt w:val="lowerLetter"/>
      <w:start w:val="4"/>
    </w:lvl>
  </w:abstractNum>
  <w:abstractNum w:abstractNumId="269">
    <w:nsid w:val="1C7E3C01"/>
    <w:multiLevelType w:val="hybridMultilevel"/>
    <w:lvl w:ilvl="0">
      <w:lvlJc w:val="left"/>
      <w:lvlText w:val="%1"/>
      <w:numFmt w:val="decimal"/>
      <w:start w:val="1"/>
    </w:lvl>
    <w:lvl w:ilvl="1">
      <w:lvlJc w:val="left"/>
      <w:lvlText w:val="(%2)"/>
      <w:numFmt w:val="lowerLetter"/>
      <w:start w:val="5"/>
    </w:lvl>
  </w:abstractNum>
  <w:abstractNum w:abstractNumId="270">
    <w:nsid w:val="1C2201FF"/>
    <w:multiLevelType w:val="hybridMultilevel"/>
    <w:lvl w:ilvl="0">
      <w:lvlJc w:val="left"/>
      <w:lvlText w:val="%1."/>
      <w:numFmt w:val="decimal"/>
      <w:start w:val="8"/>
    </w:lvl>
    <w:lvl w:ilvl="1">
      <w:lvlJc w:val="left"/>
      <w:lvlText w:val="(%2)"/>
      <w:numFmt w:val="lowerLetter"/>
      <w:start w:val="1"/>
    </w:lvl>
  </w:abstractNum>
  <w:abstractNum w:abstractNumId="271">
    <w:nsid w:val="50ABCEC9"/>
    <w:multiLevelType w:val="hybridMultilevel"/>
    <w:lvl w:ilvl="0">
      <w:lvlJc w:val="left"/>
      <w:lvlText w:val="%1"/>
      <w:numFmt w:val="decimal"/>
      <w:start w:val="1"/>
    </w:lvl>
    <w:lvl w:ilvl="1">
      <w:lvlJc w:val="left"/>
      <w:lvlText w:val="(%2)"/>
      <w:numFmt w:val="lowerLetter"/>
      <w:start w:val="3"/>
    </w:lvl>
  </w:abstractNum>
  <w:abstractNum w:abstractNumId="272">
    <w:nsid w:val="7635AA2A"/>
    <w:multiLevelType w:val="hybridMultilevel"/>
    <w:lvl w:ilvl="0">
      <w:lvlJc w:val="left"/>
      <w:lvlText w:val="%1."/>
      <w:numFmt w:val="decimal"/>
      <w:start w:val="9"/>
    </w:lvl>
    <w:lvl w:ilvl="1">
      <w:lvlJc w:val="left"/>
      <w:lvlText w:val="(%2)"/>
      <w:numFmt w:val="lowerLetter"/>
      <w:start w:val="1"/>
    </w:lvl>
  </w:abstractNum>
  <w:abstractNum w:abstractNumId="273">
    <w:nsid w:val="5E74C4D9"/>
    <w:multiLevelType w:val="hybridMultilevel"/>
    <w:lvl w:ilvl="0">
      <w:lvlJc w:val="left"/>
      <w:lvlText w:val="%1"/>
      <w:numFmt w:val="decimal"/>
      <w:start w:val="1"/>
    </w:lvl>
    <w:lvl w:ilvl="1">
      <w:lvlJc w:val="left"/>
      <w:lvlText w:val="(%2)"/>
      <w:numFmt w:val="lowerLetter"/>
      <w:start w:val="3"/>
    </w:lvl>
  </w:abstractNum>
  <w:abstractNum w:abstractNumId="274">
    <w:nsid w:val="3B3EBE15"/>
    <w:multiLevelType w:val="hybridMultilevel"/>
    <w:lvl w:ilvl="0">
      <w:lvlJc w:val="left"/>
      <w:lvlText w:val="%1."/>
      <w:numFmt w:val="decimal"/>
      <w:start w:val="10"/>
    </w:lvl>
    <w:lvl w:ilvl="1">
      <w:lvlJc w:val="left"/>
      <w:lvlText w:val="(%2)"/>
      <w:numFmt w:val="lowerLetter"/>
      <w:start w:val="1"/>
    </w:lvl>
  </w:abstractNum>
  <w:abstractNum w:abstractNumId="275">
    <w:nsid w:val="3822CB01"/>
    <w:multiLevelType w:val="hybridMultilevel"/>
    <w:lvl w:ilvl="0">
      <w:lvlJc w:val="left"/>
      <w:lvlText w:val="%1"/>
      <w:numFmt w:val="decimal"/>
      <w:start w:val="1"/>
    </w:lvl>
    <w:lvl w:ilvl="1">
      <w:lvlJc w:val="left"/>
      <w:lvlText w:val="(%2)"/>
      <w:numFmt w:val="lowerLetter"/>
      <w:start w:val="3"/>
    </w:lvl>
  </w:abstractNum>
  <w:abstractNum w:abstractNumId="276">
    <w:nsid w:val="6CE00443"/>
    <w:multiLevelType w:val="hybridMultilevel"/>
    <w:lvl w:ilvl="0">
      <w:lvlJc w:val="left"/>
      <w:lvlText w:val="%1."/>
      <w:numFmt w:val="decimal"/>
      <w:start w:val="11"/>
    </w:lvl>
    <w:lvl w:ilvl="1">
      <w:lvlJc w:val="left"/>
      <w:lvlText w:val="%2"/>
      <w:numFmt w:val="lowerLetter"/>
      <w:start w:val="1"/>
    </w:lvl>
  </w:abstractNum>
  <w:abstractNum w:abstractNumId="277">
    <w:nsid w:val="79F0D62F"/>
    <w:multiLevelType w:val="hybridMultilevel"/>
    <w:lvl w:ilvl="0">
      <w:lvlJc w:val="left"/>
      <w:lvlText w:val="%1."/>
      <w:numFmt w:val="decimal"/>
      <w:start w:val="13"/>
    </w:lvl>
  </w:abstractNum>
  <w:abstractNum w:abstractNumId="278">
    <w:nsid w:val="7975E8EE"/>
    <w:multiLevelType w:val="hybridMultilevel"/>
    <w:lvl w:ilvl="0">
      <w:lvlJc w:val="left"/>
      <w:lvlText w:val="%1."/>
      <w:numFmt w:val="decimal"/>
      <w:start w:val="18"/>
    </w:lvl>
  </w:abstractNum>
  <w:abstractNum w:abstractNumId="279">
    <w:nsid w:val="73154115"/>
    <w:multiLevelType w:val="hybridMultilevel"/>
    <w:lvl w:ilvl="0">
      <w:lvlJc w:val="left"/>
      <w:lvlText w:val="%1."/>
      <w:numFmt w:val="decimal"/>
      <w:start w:val="24"/>
    </w:lvl>
    <w:lvl w:ilvl="1">
      <w:lvlJc w:val="left"/>
      <w:lvlText w:val="(%2)"/>
      <w:numFmt w:val="lowerLetter"/>
      <w:start w:val="1"/>
    </w:lvl>
  </w:abstractNum>
  <w:abstractNum w:abstractNumId="280">
    <w:nsid w:val="622D8102"/>
    <w:multiLevelType w:val="hybridMultilevel"/>
    <w:lvl w:ilvl="0">
      <w:lvlJc w:val="left"/>
      <w:lvlText w:val="%1."/>
      <w:numFmt w:val="decimal"/>
      <w:start w:val="25"/>
    </w:lvl>
  </w:abstractNum>
  <w:abstractNum w:abstractNumId="281">
    <w:nsid w:val="2AB26587"/>
    <w:multiLevelType w:val="hybridMultilevel"/>
    <w:lvl w:ilvl="0">
      <w:lvlJc w:val="left"/>
      <w:lvlText w:val="%1."/>
      <w:numFmt w:val="decimal"/>
      <w:start w:val="27"/>
    </w:lvl>
  </w:abstractNum>
  <w:abstractNum w:abstractNumId="282">
    <w:nsid w:val="44B3FA61"/>
    <w:multiLevelType w:val="hybridMultilevel"/>
    <w:lvl w:ilvl="0">
      <w:lvlJc w:val="left"/>
      <w:lvlText w:val="%1."/>
      <w:numFmt w:val="decimal"/>
      <w:start w:val="1"/>
    </w:lvl>
  </w:abstractNum>
  <w:abstractNum w:abstractNumId="283">
    <w:nsid w:val="1C0CA67C"/>
    <w:multiLevelType w:val="hybridMultilevel"/>
    <w:lvl w:ilvl="0">
      <w:lvlJc w:val="left"/>
      <w:lvlText w:val="(%1)"/>
      <w:numFmt w:val="lowerLetter"/>
      <w:start w:val="1"/>
    </w:lvl>
  </w:abstractNum>
  <w:abstractNum w:abstractNumId="284">
    <w:nsid w:val="3D206613"/>
    <w:multiLevelType w:val="hybridMultilevel"/>
    <w:lvl w:ilvl="0">
      <w:lvlJc w:val="left"/>
      <w:lvlText w:val="(%1)"/>
      <w:numFmt w:val="lowerRoman"/>
      <w:start w:val="6"/>
    </w:lvl>
  </w:abstractNum>
  <w:abstractNum w:abstractNumId="285">
    <w:nsid w:val="7993B662"/>
    <w:multiLevelType w:val="hybridMultilevel"/>
    <w:lvl w:ilvl="0">
      <w:lvlJc w:val="left"/>
      <w:lvlText w:val="%1."/>
      <w:numFmt w:val="decimal"/>
      <w:start w:val="3"/>
    </w:lvl>
  </w:abstractNum>
  <w:abstractNum w:abstractNumId="286">
    <w:nsid w:val="3BAB699E"/>
    <w:multiLevelType w:val="hybridMultilevel"/>
    <w:lvl w:ilvl="0">
      <w:lvlJc w:val="left"/>
      <w:lvlText w:val="(%1)"/>
      <w:numFmt w:val="lowerLetter"/>
      <w:start w:val="1"/>
    </w:lvl>
  </w:abstractNum>
  <w:abstractNum w:abstractNumId="287">
    <w:nsid w:val="71315369"/>
    <w:multiLevelType w:val="hybridMultilevel"/>
    <w:lvl w:ilvl="0">
      <w:lvlJc w:val="left"/>
      <w:lvlText w:val="(%1)"/>
      <w:numFmt w:val="lowerLetter"/>
      <w:start w:val="5"/>
    </w:lvl>
  </w:abstractNum>
  <w:abstractNum w:abstractNumId="288">
    <w:nsid w:val="7BCFBAFC"/>
    <w:multiLevelType w:val="hybridMultilevel"/>
    <w:lvl w:ilvl="0">
      <w:lvlJc w:val="left"/>
      <w:lvlText w:val="%1."/>
      <w:numFmt w:val="decimal"/>
      <w:start w:val="6"/>
    </w:lvl>
  </w:abstractNum>
  <w:abstractNum w:abstractNumId="289">
    <w:nsid w:val="17859F72"/>
    <w:multiLevelType w:val="hybridMultilevel"/>
    <w:lvl w:ilvl="0">
      <w:lvlJc w:val="left"/>
      <w:lvlText w:val="(%1)"/>
      <w:numFmt w:val="lowerLetter"/>
      <w:start w:val="1"/>
    </w:lvl>
  </w:abstractNum>
  <w:abstractNum w:abstractNumId="290">
    <w:nsid w:val="3AA10581"/>
    <w:multiLevelType w:val="hybridMultilevel"/>
    <w:lvl w:ilvl="0">
      <w:lvlJc w:val="left"/>
      <w:lvlText w:val="%1."/>
      <w:numFmt w:val="decimal"/>
      <w:start w:val="10"/>
    </w:lvl>
  </w:abstractNum>
  <w:abstractNum w:abstractNumId="291">
    <w:nsid w:val="63DE60CD"/>
    <w:multiLevelType w:val="hybridMultilevel"/>
    <w:lvl w:ilvl="0">
      <w:lvlJc w:val="left"/>
      <w:lvlText w:val="%1."/>
      <w:numFmt w:val="decimal"/>
      <w:start w:val="13"/>
    </w:lvl>
  </w:abstractNum>
  <w:abstractNum w:abstractNumId="292">
    <w:nsid w:val="621AF471"/>
    <w:multiLevelType w:val="hybridMultilevel"/>
    <w:lvl w:ilvl="0">
      <w:lvlJc w:val="left"/>
      <w:lvlText w:val="%1."/>
      <w:numFmt w:val="decimal"/>
      <w:start w:val="15"/>
    </w:lvl>
  </w:abstractNum>
  <w:abstractNum w:abstractNumId="293">
    <w:nsid w:val="73CFE165"/>
    <w:multiLevelType w:val="hybridMultilevel"/>
    <w:lvl w:ilvl="0">
      <w:lvlJc w:val="left"/>
      <w:lvlText w:val="%1."/>
      <w:numFmt w:val="decimal"/>
      <w:start w:val="18"/>
    </w:lvl>
  </w:abstractNum>
  <w:abstractNum w:abstractNumId="294">
    <w:nsid w:val="20F88EA6"/>
    <w:multiLevelType w:val="hybridMultilevel"/>
    <w:lvl w:ilvl="0">
      <w:lvlJc w:val="left"/>
      <w:lvlText w:val="%1."/>
      <w:numFmt w:val="decimal"/>
      <w:start w:val="22"/>
    </w:lvl>
  </w:abstractNum>
  <w:abstractNum w:abstractNumId="295">
    <w:nsid w:val="617C843E"/>
    <w:multiLevelType w:val="hybridMultilevel"/>
    <w:lvl w:ilvl="0">
      <w:lvlJc w:val="left"/>
      <w:lvlText w:val="%1."/>
      <w:numFmt w:val="upperLetter"/>
      <w:start w:val="9"/>
    </w:lvl>
  </w:abstractNum>
  <w:abstractNum w:abstractNumId="296">
    <w:nsid w:val="7B541FAB"/>
    <w:multiLevelType w:val="hybridMultilevel"/>
    <w:lvl w:ilvl="0">
      <w:lvlJc w:val="left"/>
      <w:lvlText w:val="%1."/>
      <w:numFmt w:val="upperLetter"/>
      <w:start w:val="35"/>
    </w:lvl>
    <w:lvl w:ilvl="1">
      <w:lvlJc w:val="left"/>
      <w:lvlText w:val="%2."/>
      <w:numFmt w:val="decimal"/>
      <w:start w:val="1"/>
    </w:lvl>
  </w:abstractNum>
  <w:abstractNum w:abstractNumId="297">
    <w:nsid w:val="2A79EC49"/>
    <w:multiLevelType w:val="hybridMultilevel"/>
    <w:lvl w:ilvl="0">
      <w:lvlJc w:val="left"/>
      <w:lvlText w:val="%1."/>
      <w:numFmt w:val="decimal"/>
      <w:start w:val="2"/>
    </w:lvl>
    <w:lvl w:ilvl="1">
      <w:lvlJc w:val="left"/>
      <w:lvlText w:val="(%2)"/>
      <w:numFmt w:val="lowerLetter"/>
      <w:start w:val="1"/>
    </w:lvl>
  </w:abstractNum>
  <w:abstractNum w:abstractNumId="298">
    <w:nsid w:val="338125CF"/>
    <w:multiLevelType w:val="hybridMultilevel"/>
    <w:lvl w:ilvl="0">
      <w:lvlJc w:val="left"/>
      <w:lvlText w:val="%1."/>
      <w:numFmt w:val="decimal"/>
      <w:start w:val="3"/>
    </w:lvl>
    <w:lvl w:ilvl="1">
      <w:lvlJc w:val="left"/>
      <w:lvlText w:val="(%2)"/>
      <w:numFmt w:val="lowerLetter"/>
      <w:start w:val="1"/>
    </w:lvl>
  </w:abstractNum>
  <w:abstractNum w:abstractNumId="299">
    <w:nsid w:val="47C7C971"/>
    <w:multiLevelType w:val="hybridMultilevel"/>
    <w:lvl w:ilvl="0">
      <w:lvlJc w:val="left"/>
      <w:lvlText w:val="%1."/>
      <w:numFmt w:val="decimal"/>
      <w:start w:val="9"/>
    </w:lvl>
    <w:lvl w:ilvl="1">
      <w:lvlJc w:val="left"/>
      <w:lvlText w:val="(%2)"/>
      <w:numFmt w:val="lowerLetter"/>
      <w:start w:val="1"/>
    </w:lvl>
  </w:abstractNum>
  <w:abstractNum w:abstractNumId="300">
    <w:nsid w:val="46F8284B"/>
    <w:multiLevelType w:val="hybridMultilevel"/>
    <w:lvl w:ilvl="0">
      <w:lvlJc w:val="left"/>
      <w:lvlText w:val="%1"/>
      <w:numFmt w:val="decimal"/>
      <w:start w:val="1"/>
    </w:lvl>
    <w:lvl w:ilvl="1">
      <w:lvlJc w:val="left"/>
      <w:lvlText w:val="(%2)"/>
      <w:numFmt w:val="lowerLetter"/>
      <w:start w:val="4"/>
    </w:lvl>
  </w:abstractNum>
  <w:abstractNum w:abstractNumId="301">
    <w:nsid w:val="4FA327CE"/>
    <w:multiLevelType w:val="hybridMultilevel"/>
    <w:lvl w:ilvl="0">
      <w:lvlJc w:val="left"/>
      <w:lvlText w:val="%1."/>
      <w:numFmt w:val="decimal"/>
      <w:start w:val="11"/>
    </w:lvl>
    <w:lvl w:ilvl="1">
      <w:lvlJc w:val="left"/>
      <w:lvlText w:val="%2"/>
      <w:numFmt w:val="lowerLetter"/>
      <w:start w:val="1"/>
    </w:lvl>
  </w:abstractNum>
  <w:abstractNum w:abstractNumId="302">
    <w:nsid w:val="1873983A"/>
    <w:multiLevelType w:val="hybridMultilevel"/>
    <w:lvl w:ilvl="0">
      <w:lvlJc w:val="left"/>
      <w:lvlText w:val="%1."/>
      <w:numFmt w:val="decimal"/>
      <w:start w:val="1"/>
    </w:lvl>
  </w:abstractNum>
  <w:abstractNum w:abstractNumId="303">
    <w:nsid w:val="3D2DD275"/>
    <w:multiLevelType w:val="hybridMultilevel"/>
    <w:lvl w:ilvl="0">
      <w:lvlJc w:val="left"/>
      <w:lvlText w:val="%1."/>
      <w:numFmt w:val="decimal"/>
      <w:start w:val="2"/>
    </w:lvl>
  </w:abstractNum>
  <w:abstractNum w:abstractNumId="304">
    <w:nsid w:val="2E17ECA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18"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307" Type="http://schemas.openxmlformats.org/officeDocument/2006/relationships/hyperlink" Target="http://www.sec.gov/Archives/edgar/data/1657573/000119312521181945/d120843dex31.htm" TargetMode="External"/><Relationship Id="rId308" Type="http://schemas.openxmlformats.org/officeDocument/2006/relationships/hyperlink" Target="http://www.sec.gov/Archives/edgar/data/1657573/000119312521181945/d120843dex33.htm" TargetMode="External"/><Relationship Id="rId309" Type="http://schemas.openxmlformats.org/officeDocument/2006/relationships/hyperlink" Target="http://www.sec.gov/Archives/edgar/data/1657573/000119312521181945/d120843dex101.htm" TargetMode="External"/><Relationship Id="rId310" Type="http://schemas.openxmlformats.org/officeDocument/2006/relationships/hyperlink" Target="http://www.sec.gov/Archives/edgar/data/1657573/000119312521181945/d120843dex102.htm" TargetMode="External"/><Relationship Id="rId311" Type="http://schemas.openxmlformats.org/officeDocument/2006/relationships/hyperlink" Target="http://www.sec.gov/Archives/edgar/data/1657573/000119312521181945/d120843dex103.htm" TargetMode="External"/><Relationship Id="rId312" Type="http://schemas.openxmlformats.org/officeDocument/2006/relationships/hyperlink" Target="http://www.sec.gov/Archives/edgar/data/1657573/000119312521181945/d120843dex104.htm" TargetMode="External"/><Relationship Id="rId313" Type="http://schemas.openxmlformats.org/officeDocument/2006/relationships/hyperlink" Target="http://www.sec.gov/Archives/edgar/data/1657573/000119312521181945/d120843dex105.htm" TargetMode="External"/><Relationship Id="rId314" Type="http://schemas.openxmlformats.org/officeDocument/2006/relationships/hyperlink" Target="http://www.sec.gov/Archives/edgar/data/1657573/000119312521181945/d120843dex106.htm" TargetMode="External"/><Relationship Id="rId315" Type="http://schemas.openxmlformats.org/officeDocument/2006/relationships/hyperlink" Target="http://www.sec.gov/Archives/edgar/data/1657573/000119312521181945/d120843dex107.htm" TargetMode="External"/><Relationship Id="rId316" Type="http://schemas.openxmlformats.org/officeDocument/2006/relationships/hyperlink" Target="http://www.sec.gov/Archives/edgar/data/1657573/000119312521181945/d120843dex108.htm" TargetMode="External"/><Relationship Id="rId317" Type="http://schemas.openxmlformats.org/officeDocument/2006/relationships/hyperlink" Target="http://www.sec.gov/Archives/edgar/data/1657573/000119312521181945/d120843dex211.htm" TargetMode="External"/><Relationship Id="rId319" Type="http://schemas.openxmlformats.org/officeDocument/2006/relationships/hyperlink" Target="http://www.sec.gov/Archives/edgar/data/1657573/000119312521181945/d120843ds1.htm#ii120843_pwr"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2021-06-21T05:21:01Z</dcterms:created>
  <dcterms:modified xsi:type="dcterms:W3CDTF">2021-06-21T05:21:01Z</dcterms:modified>
</cp:coreProperties>
</file>