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48825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8825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Bial Deborah</w:t>
              </w:r>
            </w:hyperlink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60" w:type="dxa"/>
            <w:vAlign w:val="bottom"/>
            <w:gridSpan w:val="5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Xometry, Inc.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XMTR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6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760" w:type="dxa"/>
            <w:vAlign w:val="bottom"/>
            <w:gridSpan w:val="4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760" w:type="dxa"/>
            <w:vAlign w:val="bottom"/>
            <w:gridSpan w:val="4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940" w:type="dxa"/>
            <w:vAlign w:val="bottom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XOMETRY, INC.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20" w:type="dxa"/>
            <w:vAlign w:val="bottom"/>
            <w:gridSpan w:val="6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03/21/2023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4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6116 EXECUTIVE BLVD, SUITE 800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2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14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NORTH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MD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20852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1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restart"/>
          </w:tcPr>
          <w:p>
            <w:pPr>
              <w:spacing w:after="0" w:line="17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BETHESDA</w:t>
            </w: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6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40" w:type="dxa"/>
            <w:vAlign w:val="bottom"/>
            <w:gridSpan w:val="7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5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03/21/2023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7,041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7"/>
                <w:vertAlign w:val="superscript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10,770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5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5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5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a restricted stock unit ("RSU") grant. All of the shares underlying the RSUs will vest on January 1, 2024, subject to the Reporting Person's continuous service.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RSU represents a contingent right to receive one share of the Class A Common Stock of the Issuer.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10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0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Kristie Scott, Attorney-in-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03/23/2023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20" w:type="dxa"/>
            <w:vAlign w:val="bottom"/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Fact</w:t>
            </w: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3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869919" TargetMode="External"/><Relationship Id="rId13" Type="http://schemas.openxmlformats.org/officeDocument/2006/relationships/hyperlink" Target="http://www.sec.gov/cgi-bin/browse-edgar?action=getcompany&amp;CIK=000165757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2023-03-23T21:04:33Z</dcterms:created>
  <dcterms:modified xsi:type="dcterms:W3CDTF">2023-03-23T21:04:33Z</dcterms:modified>
</cp:coreProperties>
</file>