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98423F109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1,010,046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5,164,512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5,164,512</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11.5%</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52-0791372</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w w:val="96"/>
              </w:rPr>
              <w:t>4,013,651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139"/>
          </w:cols>
          <w:pgMar w:left="32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499" w:hanging="312"/>
        <w:spacing w:after="0" w:line="235"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4,013,651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9.0%</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XOMETRY INC-A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6116 EXECUTIVE BOULEVARD, SUITE 800, NORTH BETHESDA, MARYLAND 20852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INC.</w:t>
      </w:r>
    </w:p>
    <w:p>
      <w:pPr>
        <w:spacing w:after="0" w:line="207" w:lineRule="exact"/>
        <w:rPr>
          <w:sz w:val="20"/>
          <w:szCs w:val="20"/>
          <w:color w:val="auto"/>
        </w:rPr>
      </w:pPr>
    </w:p>
    <w:p>
      <w:pPr>
        <w:ind w:left="420" w:right="1919" w:hanging="412"/>
        <w:spacing w:after="0" w:line="236"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as Exhibit A is a copy of an agreement between the Persons Filing (as specified hereinabove) that this Schedule 13G is being filed on behalf of each of them.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98423F109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420" w:right="307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4" w:lineRule="exact"/>
        <w:rPr>
          <w:rFonts w:ascii="Courier New" w:cs="Courier New" w:eastAsia="Courier New" w:hAnsi="Courier New"/>
          <w:sz w:val="18"/>
          <w:szCs w:val="18"/>
          <w:color w:val="auto"/>
        </w:rPr>
      </w:pPr>
    </w:p>
    <w:p>
      <w:pPr>
        <w:ind w:left="860" w:right="30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8"/>
          <w:szCs w:val="18"/>
          <w:color w:val="auto"/>
        </w:rPr>
      </w:pPr>
    </w:p>
    <w:p>
      <w:pPr>
        <w:ind w:left="860" w:right="23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spacing w:after="0" w:line="4" w:lineRule="exact"/>
        <w:rPr>
          <w:rFonts w:ascii="Courier New" w:cs="Courier New" w:eastAsia="Courier New" w:hAnsi="Courier New"/>
          <w:sz w:val="18"/>
          <w:szCs w:val="18"/>
          <w:color w:val="auto"/>
        </w:rPr>
      </w:pPr>
    </w:p>
    <w:p>
      <w:pPr>
        <w:ind w:left="860" w:right="26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207" w:lineRule="exact"/>
        <w:rPr>
          <w:rFonts w:ascii="Courier New" w:cs="Courier New" w:eastAsia="Courier New" w:hAnsi="Courier New"/>
          <w:sz w:val="18"/>
          <w:szCs w:val="18"/>
          <w:color w:val="auto"/>
        </w:rPr>
      </w:pPr>
    </w:p>
    <w:p>
      <w:pPr>
        <w:ind w:left="860" w:right="21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spacing w:after="0" w:line="4" w:lineRule="exact"/>
        <w:rPr>
          <w:rFonts w:ascii="Courier New" w:cs="Courier New" w:eastAsia="Courier New" w:hAnsi="Courier New"/>
          <w:sz w:val="18"/>
          <w:szCs w:val="18"/>
          <w:color w:val="auto"/>
        </w:rPr>
      </w:pPr>
    </w:p>
    <w:p>
      <w:pPr>
        <w:ind w:left="860" w:right="23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08" w:lineRule="exact"/>
        <w:rPr>
          <w:rFonts w:ascii="Courier New" w:cs="Courier New" w:eastAsia="Courier New" w:hAnsi="Courier New"/>
          <w:sz w:val="18"/>
          <w:szCs w:val="18"/>
          <w:color w:val="auto"/>
        </w:rPr>
      </w:pPr>
    </w:p>
    <w:p>
      <w:pPr>
        <w:ind w:left="860" w:right="2339" w:hanging="852"/>
        <w:spacing w:after="0" w:line="290"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securities owned by any one of the T. Rowe Price Funds, only the custodian for each of such Funds, has the right to</w:t>
      </w:r>
    </w:p>
    <w:p>
      <w:pPr>
        <w:sectPr>
          <w:pgSz w:w="11900" w:h="16838" w:orient="portrait"/>
          <w:cols w:equalWidth="0" w:num="1">
            <w:col w:w="10139"/>
          </w:cols>
          <w:pgMar w:left="320" w:top="136" w:right="1440" w:bottom="0" w:gutter="0" w:footer="0" w:header="0"/>
        </w:sectPr>
      </w:pPr>
    </w:p>
    <w:bookmarkStart w:id="2" w:name="page3"/>
    <w:bookmarkEnd w:id="2"/>
    <w:p>
      <w:pPr>
        <w:ind w:left="860" w:right="1919"/>
        <w:spacing w:after="0" w:line="237" w:lineRule="auto"/>
        <w:rPr>
          <w:sz w:val="20"/>
          <w:szCs w:val="20"/>
          <w:color w:val="auto"/>
        </w:rPr>
      </w:pPr>
      <w:r>
        <w:rPr>
          <w:rFonts w:ascii="Courier New" w:cs="Courier New" w:eastAsia="Courier New" w:hAnsi="Courier New"/>
          <w:sz w:val="18"/>
          <w:szCs w:val="18"/>
          <w:color w:val="auto"/>
        </w:rPr>
        <w:t>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7"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spacing w:after="0" w:line="4" w:lineRule="exact"/>
        <w:rPr>
          <w:sz w:val="20"/>
          <w:szCs w:val="20"/>
          <w:color w:val="auto"/>
        </w:rPr>
      </w:pPr>
    </w:p>
    <w:p>
      <w:pPr>
        <w:ind w:left="960" w:right="1819"/>
        <w:spacing w:after="0" w:line="235"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6" w:lineRule="exact"/>
        <w:rPr>
          <w:sz w:val="20"/>
          <w:szCs w:val="20"/>
          <w:color w:val="auto"/>
        </w:rPr>
      </w:pPr>
    </w:p>
    <w:p>
      <w:pPr>
        <w:ind w:left="960" w:right="2559"/>
        <w:spacing w:after="0" w:line="235"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2023</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NEW HORIZONS FUND, INC.</w:t>
      </w:r>
    </w:p>
    <w:p>
      <w:pPr>
        <w:spacing w:after="0" w:line="238" w:lineRule="auto"/>
        <w:rPr>
          <w:sz w:val="20"/>
          <w:szCs w:val="20"/>
          <w:color w:val="auto"/>
        </w:rPr>
      </w:pPr>
      <w:r>
        <w:rPr>
          <w:rFonts w:ascii="Courier New" w:cs="Courier New" w:eastAsia="Courier New" w:hAnsi="Courier New"/>
          <w:sz w:val="18"/>
          <w:szCs w:val="18"/>
          <w:color w:val="auto"/>
        </w:rPr>
        <w:t>Date: February 14, 2023</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38" w:lineRule="auto"/>
        <w:rPr>
          <w:sz w:val="20"/>
          <w:szCs w:val="20"/>
          <w:color w:val="auto"/>
        </w:rPr>
      </w:pPr>
      <w:r>
        <w:rPr>
          <w:rFonts w:ascii="Courier New" w:cs="Courier New" w:eastAsia="Courier New" w:hAnsi="Courier New"/>
          <w:sz w:val="18"/>
          <w:szCs w:val="18"/>
          <w:color w:val="auto"/>
        </w:rPr>
        <w:t>JOINT FILING OF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Associates, Inc. (an investment adviser</w:t>
      </w:r>
    </w:p>
    <w:p>
      <w:pPr>
        <w:spacing w:after="0"/>
        <w:tabs>
          <w:tab w:leader="none" w:pos="5880" w:val="left"/>
        </w:tabs>
        <w:rPr>
          <w:sz w:val="20"/>
          <w:szCs w:val="20"/>
          <w:color w:val="auto"/>
        </w:rPr>
      </w:pPr>
      <w:r>
        <w:rPr>
          <w:rFonts w:ascii="Courier New" w:cs="Courier New" w:eastAsia="Courier New" w:hAnsi="Courier New"/>
          <w:sz w:val="18"/>
          <w:szCs w:val="18"/>
          <w:color w:val="auto"/>
        </w:rPr>
        <w:t>registered under the Investment Advisers Act of 1940),</w:t>
      </w:r>
      <w:r>
        <w:rPr>
          <w:sz w:val="20"/>
          <w:szCs w:val="20"/>
          <w:color w:val="auto"/>
        </w:rPr>
        <w:tab/>
      </w:r>
      <w:r>
        <w:rPr>
          <w:rFonts w:ascii="Courier New" w:cs="Courier New" w:eastAsia="Courier New" w:hAnsi="Courier New"/>
          <w:sz w:val="16"/>
          <w:szCs w:val="16"/>
          <w:color w:val="auto"/>
        </w:rPr>
        <w:t>and</w:t>
      </w:r>
    </w:p>
    <w:p>
      <w:pPr>
        <w:spacing w:after="0" w:line="238" w:lineRule="auto"/>
        <w:rPr>
          <w:sz w:val="20"/>
          <w:szCs w:val="20"/>
          <w:color w:val="auto"/>
        </w:rPr>
      </w:pPr>
      <w:r>
        <w:rPr>
          <w:rFonts w:ascii="Courier New" w:cs="Courier New" w:eastAsia="Courier New" w:hAnsi="Courier New"/>
          <w:sz w:val="18"/>
          <w:szCs w:val="18"/>
          <w:color w:val="auto"/>
        </w:rPr>
        <w:t>T. ROWE PRICE NEW HORIZONS FUND, INC.,</w:t>
      </w:r>
    </w:p>
    <w:p>
      <w:pPr>
        <w:spacing w:after="0" w:line="5"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07"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09"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2023</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ectPr>
          <w:pgSz w:w="11900" w:h="16838" w:orient="portrait"/>
          <w:cols w:equalWidth="0" w:num="1">
            <w:col w:w="10139"/>
          </w:cols>
          <w:pgMar w:left="32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 ROWE PRICE NEW HORIZONS FUND, INC.</w:t>
      </w:r>
    </w:p>
    <w:p>
      <w:pPr>
        <w:spacing w:after="0" w:line="238" w:lineRule="auto"/>
        <w:rPr>
          <w:sz w:val="20"/>
          <w:szCs w:val="20"/>
          <w:color w:val="auto"/>
        </w:rPr>
      </w:pPr>
      <w:r>
        <w:rPr>
          <w:rFonts w:ascii="Courier New" w:cs="Courier New" w:eastAsia="Courier New" w:hAnsi="Courier New"/>
          <w:sz w:val="18"/>
          <w:szCs w:val="18"/>
          <w:color w:val="auto"/>
        </w:rPr>
        <w:t>Date: February 14, 2023</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&amp; Title: David Oestreicher, Executive Vice President</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X"/>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X"/>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2023-02-14T11:48:37Z</dcterms:created>
  <dcterms:modified xsi:type="dcterms:W3CDTF">2023-02-14T11:48:37Z</dcterms:modified>
</cp:coreProperties>
</file>