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sz w:val="1"/>
          <w:szCs w:val="1"/>
          <w:color w:val="auto"/>
        </w:rPr>
        <w:drawing>
          <wp:inline distT="0" distB="0" distL="0" distR="0">
            <wp:extent cx="94615" cy="939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615" cy="93980"/>
                    </a:xfrm>
                    <a:prstGeom prst="rect">
                      <a:avLst/>
                    </a:prstGeom>
                    <a:noFill/>
                    <a:ln>
                      <a:noFill/>
                    </a:ln>
                  </pic:spPr>
                </pic:pic>
              </a:graphicData>
            </a:graphic>
          </wp:inline>
        </w:drawing>
      </w: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3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 – as specified in its charter)</w:t>
      </w: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3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6" w:lineRule="exact"/>
        <w:rPr>
          <w:sz w:val="24"/>
          <w:szCs w:val="24"/>
          <w:color w:val="auto"/>
        </w:rPr>
      </w:pPr>
    </w:p>
    <w:p>
      <w:pPr>
        <w:ind w:left="1320" w:hanging="664"/>
        <w:spacing w:after="0"/>
        <w:tabs>
          <w:tab w:leader="none" w:pos="132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Rule 13d-1(b)</w:t>
      </w:r>
    </w:p>
    <w:p>
      <w:pPr>
        <w:spacing w:after="0" w:line="20" w:lineRule="exact"/>
        <w:rPr>
          <w:rFonts w:ascii="Arial" w:cs="Arial" w:eastAsia="Arial" w:hAnsi="Arial"/>
          <w:sz w:val="20"/>
          <w:szCs w:val="20"/>
          <w:b w:val="1"/>
          <w:bCs w:val="1"/>
          <w:color w:val="auto"/>
        </w:rPr>
      </w:pPr>
    </w:p>
    <w:p>
      <w:pPr>
        <w:ind w:left="660"/>
        <w:spacing w:after="0" w:line="230" w:lineRule="exact"/>
        <w:rPr>
          <w:rFonts w:ascii="Arial" w:cs="Arial" w:eastAsia="Arial" w:hAnsi="Arial"/>
          <w:sz w:val="20"/>
          <w:szCs w:val="20"/>
          <w:b w:val="1"/>
          <w:bCs w:val="1"/>
          <w:color w:val="auto"/>
        </w:rPr>
      </w:pPr>
      <w:r>
        <w:rPr>
          <w:rFonts w:ascii="MS PGothic" w:cs="MS PGothic" w:eastAsia="MS PGothic" w:hAnsi="MS PGothic"/>
          <w:sz w:val="16"/>
          <w:szCs w:val="16"/>
          <w:color w:val="auto"/>
        </w:rPr>
        <w:t>☐</w:t>
      </w:r>
      <w:r>
        <w:rPr>
          <w:rFonts w:ascii="Times New Roman" w:cs="Times New Roman" w:eastAsia="Times New Roman" w:hAnsi="Times New Roman"/>
          <w:sz w:val="19"/>
          <w:szCs w:val="19"/>
          <w:color w:val="auto"/>
        </w:rPr>
        <w:t>Rule 13d-1(c)</w:t>
      </w:r>
    </w:p>
    <w:p>
      <w:pPr>
        <w:ind w:left="660"/>
        <w:spacing w:after="0" w:line="230" w:lineRule="exact"/>
        <w:rPr>
          <w:rFonts w:ascii="Arial" w:cs="Arial" w:eastAsia="Arial" w:hAnsi="Arial"/>
          <w:sz w:val="20"/>
          <w:szCs w:val="20"/>
          <w:b w:val="1"/>
          <w:bCs w:val="1"/>
          <w:color w:val="auto"/>
        </w:rPr>
      </w:pPr>
      <w:r>
        <w:rPr>
          <w:rFonts w:ascii="MS PGothic" w:cs="MS PGothic" w:eastAsia="MS PGothic" w:hAnsi="MS PGothic"/>
          <w:sz w:val="16"/>
          <w:szCs w:val="16"/>
          <w:color w:val="auto"/>
        </w:rPr>
        <w:t>☐</w:t>
      </w:r>
      <w:r>
        <w:rPr>
          <w:rFonts w:ascii="Times New Roman" w:cs="Times New Roman" w:eastAsia="Times New Roman" w:hAnsi="Times New Roman"/>
          <w:sz w:val="19"/>
          <w:szCs w:val="19"/>
          <w:color w:val="auto"/>
        </w:rPr>
        <w:t>Rule 13d-1(d)</w:t>
      </w:r>
    </w:p>
    <w:p>
      <w:pPr>
        <w:spacing w:after="0" w:line="19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9"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8"/>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1</w:t>
            </w:r>
          </w:p>
        </w:tc>
        <w:tc>
          <w:tcPr>
            <w:tcW w:w="80" w:type="dxa"/>
            <w:vAlign w:val="bottom"/>
            <w:tcBorders>
              <w:top w:val="single" w:sz="8" w:color="auto"/>
            </w:tcBorders>
          </w:tcPr>
          <w:p>
            <w:pPr>
              <w:spacing w:after="0"/>
              <w:rPr>
                <w:sz w:val="24"/>
                <w:szCs w:val="24"/>
                <w:color w:val="auto"/>
              </w:rPr>
            </w:pPr>
          </w:p>
        </w:tc>
        <w:tc>
          <w:tcPr>
            <w:tcW w:w="990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Eventide Asset Management, LLC</w:t>
            </w: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90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0" w:type="dxa"/>
            <w:vAlign w:val="bottom"/>
          </w:tcPr>
          <w:p>
            <w:pPr>
              <w:spacing w:after="0"/>
              <w:rPr>
                <w:sz w:val="1"/>
                <w:szCs w:val="1"/>
                <w:color w:val="auto"/>
              </w:rPr>
            </w:pPr>
          </w:p>
        </w:tc>
      </w:tr>
      <w:tr>
        <w:trPr>
          <w:trHeight w:val="307"/>
        </w:trPr>
        <w:tc>
          <w:tcPr>
            <w:tcW w:w="1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2</w:t>
            </w:r>
          </w:p>
        </w:tc>
        <w:tc>
          <w:tcPr>
            <w:tcW w:w="80" w:type="dxa"/>
            <w:vAlign w:val="bottom"/>
          </w:tcPr>
          <w:p>
            <w:pPr>
              <w:spacing w:after="0"/>
              <w:rPr>
                <w:sz w:val="24"/>
                <w:szCs w:val="24"/>
                <w:color w:val="auto"/>
              </w:rPr>
            </w:pPr>
          </w:p>
        </w:tc>
        <w:tc>
          <w:tcPr>
            <w:tcW w:w="28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260" w:type="dxa"/>
            <w:vAlign w:val="bottom"/>
            <w:tcBorders>
              <w:left w:val="single" w:sz="8" w:color="auto"/>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8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1260" w:type="dxa"/>
            <w:vAlign w:val="bottom"/>
            <w:tcBorders>
              <w:left w:val="single" w:sz="8" w:color="auto"/>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3</w:t>
            </w:r>
          </w:p>
        </w:tc>
        <w:tc>
          <w:tcPr>
            <w:tcW w:w="80" w:type="dxa"/>
            <w:vAlign w:val="bottom"/>
            <w:tcBorders>
              <w:bottom w:val="single" w:sz="8" w:color="auto"/>
            </w:tcBorders>
            <w:shd w:val="clear" w:color="auto" w:fill="DFDFDF"/>
          </w:tcPr>
          <w:p>
            <w:pPr>
              <w:spacing w:after="0"/>
              <w:rPr>
                <w:sz w:val="24"/>
                <w:szCs w:val="24"/>
                <w:color w:val="auto"/>
              </w:rPr>
            </w:pPr>
          </w:p>
        </w:tc>
        <w:tc>
          <w:tcPr>
            <w:tcW w:w="1500" w:type="dxa"/>
            <w:vAlign w:val="bottom"/>
            <w:tcBorders>
              <w:bottom w:val="single" w:sz="8" w:color="auto"/>
              <w:right w:val="single" w:sz="8" w:color="DFDFDF"/>
            </w:tcBorders>
            <w:gridSpan w:val="3"/>
            <w:shd w:val="clear" w:color="auto" w:fill="DFDFDF"/>
          </w:tcPr>
          <w:p>
            <w:pPr>
              <w:ind w:left="20"/>
              <w:spacing w:after="0"/>
              <w:rPr>
                <w:sz w:val="20"/>
                <w:szCs w:val="20"/>
                <w:color w:val="auto"/>
              </w:rPr>
            </w:pPr>
            <w:r>
              <w:rPr>
                <w:rFonts w:ascii="Times New Roman" w:cs="Times New Roman" w:eastAsia="Times New Roman" w:hAnsi="Times New Roman"/>
                <w:sz w:val="16"/>
                <w:szCs w:val="16"/>
                <w:color w:val="auto"/>
              </w:rPr>
              <w:t>SEC USE ONLY</w:t>
            </w:r>
          </w:p>
        </w:tc>
        <w:tc>
          <w:tcPr>
            <w:tcW w:w="8400" w:type="dxa"/>
            <w:vAlign w:val="bottom"/>
            <w:tcBorders>
              <w:bottom w:val="single" w:sz="8" w:color="auto"/>
              <w:right w:val="single" w:sz="8" w:color="auto"/>
            </w:tcBorders>
            <w:shd w:val="clear" w:color="auto" w:fill="DFDFD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4</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8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vMerge w:val="continue"/>
          </w:tcPr>
          <w:p>
            <w:pPr>
              <w:spacing w:after="0"/>
              <w:rPr>
                <w:sz w:val="11"/>
                <w:szCs w:val="11"/>
                <w:color w:val="auto"/>
              </w:rPr>
            </w:pPr>
          </w:p>
        </w:tc>
        <w:tc>
          <w:tcPr>
            <w:tcW w:w="8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2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5</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vMerge w:val="continue"/>
          </w:tcPr>
          <w:p>
            <w:pPr>
              <w:spacing w:after="0"/>
              <w:rPr>
                <w:sz w:val="17"/>
                <w:szCs w:val="17"/>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5,727,770</w:t>
            </w:r>
          </w:p>
        </w:tc>
        <w:tc>
          <w:tcPr>
            <w:tcW w:w="0" w:type="dxa"/>
            <w:vAlign w:val="bottom"/>
          </w:tcPr>
          <w:p>
            <w:pPr>
              <w:spacing w:after="0"/>
              <w:rPr>
                <w:sz w:val="1"/>
                <w:szCs w:val="1"/>
                <w:color w:val="auto"/>
              </w:rPr>
            </w:pPr>
          </w:p>
        </w:tc>
      </w:tr>
      <w:tr>
        <w:trPr>
          <w:trHeight w:val="91"/>
        </w:trPr>
        <w:tc>
          <w:tcPr>
            <w:tcW w:w="1620" w:type="dxa"/>
            <w:vAlign w:val="bottom"/>
            <w:tcBorders>
              <w:left w:val="single" w:sz="8" w:color="auto"/>
            </w:tcBorders>
            <w:gridSpan w:val="3"/>
            <w:vMerge w:val="restart"/>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320" w:type="dxa"/>
            <w:vAlign w:val="bottom"/>
            <w:tcBorders>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20" w:type="dxa"/>
            <w:vAlign w:val="bottom"/>
            <w:tcBorders>
              <w:left w:val="single" w:sz="8" w:color="auto"/>
            </w:tcBorders>
            <w:gridSpan w:val="3"/>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203"/>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OWNED BY</w:t>
            </w:r>
          </w:p>
        </w:tc>
        <w:tc>
          <w:tcPr>
            <w:tcW w:w="3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6</w:t>
            </w:r>
          </w:p>
        </w:tc>
        <w:tc>
          <w:tcPr>
            <w:tcW w:w="84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340" w:type="dxa"/>
            <w:vAlign w:val="bottom"/>
            <w:tcBorders>
              <w:left w:val="single" w:sz="8" w:color="auto"/>
            </w:tcBorders>
            <w:gridSpan w:val="2"/>
            <w:vMerge w:val="restart"/>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w w:val="99"/>
              </w:rPr>
              <w:t>EACH</w:t>
            </w:r>
          </w:p>
        </w:tc>
        <w:tc>
          <w:tcPr>
            <w:tcW w:w="2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32"/>
        </w:trPr>
        <w:tc>
          <w:tcPr>
            <w:tcW w:w="1340" w:type="dxa"/>
            <w:vAlign w:val="bottom"/>
            <w:tcBorders>
              <w:left w:val="single" w:sz="8" w:color="auto"/>
            </w:tcBorders>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840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1620" w:type="dxa"/>
            <w:vAlign w:val="bottom"/>
            <w:tcBorders>
              <w:left w:val="single" w:sz="8" w:color="auto"/>
            </w:tcBorders>
            <w:gridSpan w:val="3"/>
            <w:vMerge w:val="restart"/>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REPORTING</w:t>
            </w:r>
          </w:p>
        </w:tc>
        <w:tc>
          <w:tcPr>
            <w:tcW w:w="320" w:type="dxa"/>
            <w:vAlign w:val="bottom"/>
            <w:tcBorders>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4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620" w:type="dxa"/>
            <w:vAlign w:val="bottom"/>
            <w:tcBorders>
              <w:left w:val="single" w:sz="8" w:color="auto"/>
            </w:tcBorders>
            <w:gridSpan w:val="3"/>
            <w:vMerge w:val="continue"/>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tcBorders>
            <w:gridSpan w:val="2"/>
            <w:vMerge w:val="restart"/>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PERSON</w:t>
            </w:r>
          </w:p>
        </w:tc>
        <w:tc>
          <w:tcPr>
            <w:tcW w:w="2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7</w:t>
            </w:r>
          </w:p>
        </w:tc>
        <w:tc>
          <w:tcPr>
            <w:tcW w:w="84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1340" w:type="dxa"/>
            <w:vAlign w:val="bottom"/>
            <w:tcBorders>
              <w:lef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8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340" w:type="dxa"/>
            <w:vAlign w:val="bottom"/>
            <w:tcBorders>
              <w:left w:val="single" w:sz="8" w:color="auto"/>
            </w:tcBorders>
            <w:gridSpan w:val="2"/>
            <w:vMerge w:val="restart"/>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5,727,770</w:t>
            </w:r>
          </w:p>
        </w:tc>
        <w:tc>
          <w:tcPr>
            <w:tcW w:w="0" w:type="dxa"/>
            <w:vAlign w:val="bottom"/>
          </w:tcPr>
          <w:p>
            <w:pPr>
              <w:spacing w:after="0"/>
              <w:rPr>
                <w:sz w:val="1"/>
                <w:szCs w:val="1"/>
                <w:color w:val="auto"/>
              </w:rPr>
            </w:pPr>
          </w:p>
        </w:tc>
      </w:tr>
      <w:tr>
        <w:trPr>
          <w:trHeight w:val="83"/>
        </w:trPr>
        <w:tc>
          <w:tcPr>
            <w:tcW w:w="1340" w:type="dxa"/>
            <w:vAlign w:val="bottom"/>
            <w:tcBorders>
              <w:left w:val="single" w:sz="8" w:color="auto"/>
            </w:tcBorders>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26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8</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311"/>
        </w:trPr>
        <w:tc>
          <w:tcPr>
            <w:tcW w:w="12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4"/>
        </w:trPr>
        <w:tc>
          <w:tcPr>
            <w:tcW w:w="1260" w:type="dxa"/>
            <w:vAlign w:val="bottom"/>
            <w:tcBorders>
              <w:left w:val="single" w:sz="8" w:color="auto"/>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gridSpan w:val="2"/>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8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63"/>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5,727,770</w:t>
            </w: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vMerge w:val="continue"/>
          </w:tcPr>
          <w:p>
            <w:pPr>
              <w:spacing w:after="0"/>
              <w:rPr>
                <w:sz w:val="10"/>
                <w:szCs w:val="10"/>
                <w:color w:val="auto"/>
              </w:rPr>
            </w:pPr>
          </w:p>
        </w:tc>
        <w:tc>
          <w:tcPr>
            <w:tcW w:w="8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80" w:type="dxa"/>
            <w:vAlign w:val="bottom"/>
          </w:tcPr>
          <w:p>
            <w:pPr>
              <w:spacing w:after="0"/>
              <w:rPr>
                <w:sz w:val="18"/>
                <w:szCs w:val="18"/>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6"/>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260" w:type="dxa"/>
            <w:vAlign w:val="bottom"/>
            <w:tcBorders>
              <w:left w:val="single" w:sz="8" w:color="auto"/>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11</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12.62%</w:t>
            </w:r>
          </w:p>
        </w:tc>
        <w:tc>
          <w:tcPr>
            <w:tcW w:w="90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12</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63"/>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IA</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33"/>
        </w:trPr>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1</w:t>
            </w:r>
          </w:p>
        </w:tc>
        <w:tc>
          <w:tcPr>
            <w:tcW w:w="80" w:type="dxa"/>
            <w:vAlign w:val="bottom"/>
            <w:tcBorders>
              <w:top w:val="single" w:sz="8" w:color="auto"/>
            </w:tcBorders>
          </w:tcPr>
          <w:p>
            <w:pPr>
              <w:spacing w:after="0"/>
              <w:rPr>
                <w:sz w:val="24"/>
                <w:szCs w:val="24"/>
                <w:color w:val="auto"/>
              </w:rPr>
            </w:pPr>
          </w:p>
        </w:tc>
        <w:tc>
          <w:tcPr>
            <w:tcW w:w="990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330"/>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Finny Kuruvilla, M.D. Ph. D.</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900" w:type="dxa"/>
            <w:vAlign w:val="bottom"/>
            <w:tcBorders>
              <w:bottom w:val="single" w:sz="8" w:color="auto"/>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0" w:type="dxa"/>
            <w:vAlign w:val="bottom"/>
          </w:tcPr>
          <w:p>
            <w:pPr>
              <w:spacing w:after="0"/>
              <w:rPr>
                <w:sz w:val="1"/>
                <w:szCs w:val="1"/>
                <w:color w:val="auto"/>
              </w:rPr>
            </w:pPr>
          </w:p>
        </w:tc>
      </w:tr>
      <w:tr>
        <w:trPr>
          <w:trHeight w:val="307"/>
        </w:trPr>
        <w:tc>
          <w:tcPr>
            <w:tcW w:w="1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2</w:t>
            </w:r>
          </w:p>
        </w:tc>
        <w:tc>
          <w:tcPr>
            <w:tcW w:w="80" w:type="dxa"/>
            <w:vAlign w:val="bottom"/>
          </w:tcPr>
          <w:p>
            <w:pPr>
              <w:spacing w:after="0"/>
              <w:rPr>
                <w:sz w:val="24"/>
                <w:szCs w:val="24"/>
                <w:color w:val="auto"/>
              </w:rPr>
            </w:pPr>
          </w:p>
        </w:tc>
        <w:tc>
          <w:tcPr>
            <w:tcW w:w="28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260" w:type="dxa"/>
            <w:vAlign w:val="bottom"/>
            <w:tcBorders>
              <w:left w:val="single" w:sz="8" w:color="auto"/>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8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1260" w:type="dxa"/>
            <w:vAlign w:val="bottom"/>
            <w:tcBorders>
              <w:left w:val="single" w:sz="8" w:color="auto"/>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3</w:t>
            </w:r>
          </w:p>
        </w:tc>
        <w:tc>
          <w:tcPr>
            <w:tcW w:w="80" w:type="dxa"/>
            <w:vAlign w:val="bottom"/>
            <w:tcBorders>
              <w:bottom w:val="single" w:sz="8" w:color="auto"/>
            </w:tcBorders>
            <w:shd w:val="clear" w:color="auto" w:fill="DFDFDF"/>
          </w:tcPr>
          <w:p>
            <w:pPr>
              <w:spacing w:after="0"/>
              <w:rPr>
                <w:sz w:val="24"/>
                <w:szCs w:val="24"/>
                <w:color w:val="auto"/>
              </w:rPr>
            </w:pPr>
          </w:p>
        </w:tc>
        <w:tc>
          <w:tcPr>
            <w:tcW w:w="1500" w:type="dxa"/>
            <w:vAlign w:val="bottom"/>
            <w:tcBorders>
              <w:bottom w:val="single" w:sz="8" w:color="auto"/>
              <w:right w:val="single" w:sz="8" w:color="DFDFDF"/>
            </w:tcBorders>
            <w:gridSpan w:val="3"/>
            <w:shd w:val="clear" w:color="auto" w:fill="DFDFDF"/>
          </w:tcPr>
          <w:p>
            <w:pPr>
              <w:ind w:left="20"/>
              <w:spacing w:after="0"/>
              <w:rPr>
                <w:sz w:val="20"/>
                <w:szCs w:val="20"/>
                <w:color w:val="auto"/>
              </w:rPr>
            </w:pPr>
            <w:r>
              <w:rPr>
                <w:rFonts w:ascii="Times New Roman" w:cs="Times New Roman" w:eastAsia="Times New Roman" w:hAnsi="Times New Roman"/>
                <w:sz w:val="16"/>
                <w:szCs w:val="16"/>
                <w:color w:val="auto"/>
              </w:rPr>
              <w:t>SEC USE ONLY</w:t>
            </w:r>
          </w:p>
        </w:tc>
        <w:tc>
          <w:tcPr>
            <w:tcW w:w="8400" w:type="dxa"/>
            <w:vAlign w:val="bottom"/>
            <w:tcBorders>
              <w:bottom w:val="single" w:sz="8" w:color="auto"/>
              <w:right w:val="single" w:sz="8" w:color="auto"/>
            </w:tcBorders>
            <w:shd w:val="clear" w:color="auto" w:fill="DFDFD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4</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63"/>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vMerge w:val="continue"/>
          </w:tcPr>
          <w:p>
            <w:pPr>
              <w:spacing w:after="0"/>
              <w:rPr>
                <w:sz w:val="10"/>
                <w:szCs w:val="10"/>
                <w:color w:val="auto"/>
              </w:rPr>
            </w:pPr>
          </w:p>
        </w:tc>
        <w:tc>
          <w:tcPr>
            <w:tcW w:w="8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338"/>
        </w:trPr>
        <w:tc>
          <w:tcPr>
            <w:tcW w:w="1340" w:type="dxa"/>
            <w:vAlign w:val="bottom"/>
            <w:tcBorders>
              <w:left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25"/>
                <w:szCs w:val="25"/>
                <w:color w:val="auto"/>
              </w:rPr>
              <w:t>5</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320" w:type="dxa"/>
            <w:vAlign w:val="bottom"/>
            <w:tcBorders>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OWNED BY</w:t>
            </w: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6</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tcBorders>
            <w:gridSpan w:val="2"/>
            <w:vMerge w:val="restart"/>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w w:val="99"/>
              </w:rPr>
              <w:t>EACH</w:t>
            </w:r>
          </w:p>
        </w:tc>
        <w:tc>
          <w:tcPr>
            <w:tcW w:w="2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vMerge w:val="continue"/>
          </w:tcPr>
          <w:p>
            <w:pPr>
              <w:spacing w:after="0"/>
              <w:rPr>
                <w:sz w:val="17"/>
                <w:szCs w:val="17"/>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5,727,770</w:t>
            </w:r>
          </w:p>
        </w:tc>
        <w:tc>
          <w:tcPr>
            <w:tcW w:w="0" w:type="dxa"/>
            <w:vAlign w:val="bottom"/>
          </w:tcPr>
          <w:p>
            <w:pPr>
              <w:spacing w:after="0"/>
              <w:rPr>
                <w:sz w:val="1"/>
                <w:szCs w:val="1"/>
                <w:color w:val="auto"/>
              </w:rPr>
            </w:pPr>
          </w:p>
        </w:tc>
      </w:tr>
      <w:tr>
        <w:trPr>
          <w:trHeight w:val="80"/>
        </w:trPr>
        <w:tc>
          <w:tcPr>
            <w:tcW w:w="1340" w:type="dxa"/>
            <w:vAlign w:val="bottom"/>
            <w:tcBorders>
              <w:lef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84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REPORTING</w:t>
            </w: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229"/>
        </w:trPr>
        <w:tc>
          <w:tcPr>
            <w:tcW w:w="1340" w:type="dxa"/>
            <w:vAlign w:val="bottom"/>
            <w:tcBorders>
              <w:left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PERSON</w:t>
            </w:r>
          </w:p>
        </w:tc>
        <w:tc>
          <w:tcPr>
            <w:tcW w:w="2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7</w:t>
            </w: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3"/>
        </w:trPr>
        <w:tc>
          <w:tcPr>
            <w:tcW w:w="1340" w:type="dxa"/>
            <w:vAlign w:val="bottom"/>
            <w:tcBorders>
              <w:left w:val="single" w:sz="8" w:color="auto"/>
            </w:tcBorders>
            <w:gridSpan w:val="2"/>
            <w:vMerge w:val="restart"/>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40" w:type="dxa"/>
            <w:vAlign w:val="bottom"/>
            <w:tcBorders>
              <w:left w:val="single" w:sz="8" w:color="auto"/>
            </w:tcBorders>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2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8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8</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vMerge w:val="continue"/>
          </w:tcPr>
          <w:p>
            <w:pPr>
              <w:spacing w:after="0"/>
              <w:rPr>
                <w:sz w:val="17"/>
                <w:szCs w:val="17"/>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5,727,770</w:t>
            </w:r>
          </w:p>
        </w:tc>
        <w:tc>
          <w:tcPr>
            <w:tcW w:w="0" w:type="dxa"/>
            <w:vAlign w:val="bottom"/>
          </w:tcPr>
          <w:p>
            <w:pPr>
              <w:spacing w:after="0"/>
              <w:rPr>
                <w:sz w:val="1"/>
                <w:szCs w:val="1"/>
                <w:color w:val="auto"/>
              </w:rPr>
            </w:pPr>
          </w:p>
        </w:tc>
      </w:tr>
      <w:tr>
        <w:trPr>
          <w:trHeight w:val="83"/>
        </w:trPr>
        <w:tc>
          <w:tcPr>
            <w:tcW w:w="1260" w:type="dxa"/>
            <w:vAlign w:val="bottom"/>
            <w:tcBorders>
              <w:left w:val="single" w:sz="8" w:color="auto"/>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63"/>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5,727,770</w:t>
            </w: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vMerge w:val="continue"/>
          </w:tcPr>
          <w:p>
            <w:pPr>
              <w:spacing w:after="0"/>
              <w:rPr>
                <w:sz w:val="10"/>
                <w:szCs w:val="10"/>
                <w:color w:val="auto"/>
              </w:rPr>
            </w:pPr>
          </w:p>
        </w:tc>
        <w:tc>
          <w:tcPr>
            <w:tcW w:w="8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80" w:type="dxa"/>
            <w:vAlign w:val="bottom"/>
          </w:tcPr>
          <w:p>
            <w:pPr>
              <w:spacing w:after="0"/>
              <w:rPr>
                <w:sz w:val="18"/>
                <w:szCs w:val="18"/>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6"/>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260" w:type="dxa"/>
            <w:vAlign w:val="bottom"/>
            <w:tcBorders>
              <w:left w:val="single" w:sz="8" w:color="auto"/>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11</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12.62%</w:t>
            </w:r>
          </w:p>
        </w:tc>
        <w:tc>
          <w:tcPr>
            <w:tcW w:w="90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12</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IN;HC</w:t>
            </w:r>
          </w:p>
        </w:tc>
        <w:tc>
          <w:tcPr>
            <w:tcW w:w="8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260" w:type="dxa"/>
            <w:vAlign w:val="bottom"/>
            <w:tcBorders>
              <w:left w:val="single" w:sz="8" w:color="auto"/>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vMerge w:val="continue"/>
          </w:tcPr>
          <w:p>
            <w:pPr>
              <w:spacing w:after="0"/>
              <w:rPr>
                <w:sz w:val="11"/>
                <w:szCs w:val="11"/>
                <w:color w:val="auto"/>
              </w:rPr>
            </w:pPr>
          </w:p>
        </w:tc>
        <w:tc>
          <w:tcPr>
            <w:tcW w:w="8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30"/>
        </w:trPr>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1</w:t>
            </w:r>
          </w:p>
        </w:tc>
        <w:tc>
          <w:tcPr>
            <w:tcW w:w="80" w:type="dxa"/>
            <w:vAlign w:val="bottom"/>
            <w:tcBorders>
              <w:top w:val="single" w:sz="8" w:color="auto"/>
            </w:tcBorders>
          </w:tcPr>
          <w:p>
            <w:pPr>
              <w:spacing w:after="0"/>
              <w:rPr>
                <w:sz w:val="24"/>
                <w:szCs w:val="24"/>
                <w:color w:val="auto"/>
              </w:rPr>
            </w:pPr>
          </w:p>
        </w:tc>
        <w:tc>
          <w:tcPr>
            <w:tcW w:w="990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330"/>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Robin C. John</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900" w:type="dxa"/>
            <w:vAlign w:val="bottom"/>
            <w:tcBorders>
              <w:bottom w:val="single" w:sz="8" w:color="auto"/>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0" w:type="dxa"/>
            <w:vAlign w:val="bottom"/>
          </w:tcPr>
          <w:p>
            <w:pPr>
              <w:spacing w:after="0"/>
              <w:rPr>
                <w:sz w:val="1"/>
                <w:szCs w:val="1"/>
                <w:color w:val="auto"/>
              </w:rPr>
            </w:pPr>
          </w:p>
        </w:tc>
      </w:tr>
      <w:tr>
        <w:trPr>
          <w:trHeight w:val="307"/>
        </w:trPr>
        <w:tc>
          <w:tcPr>
            <w:tcW w:w="1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2</w:t>
            </w:r>
          </w:p>
        </w:tc>
        <w:tc>
          <w:tcPr>
            <w:tcW w:w="80" w:type="dxa"/>
            <w:vAlign w:val="bottom"/>
          </w:tcPr>
          <w:p>
            <w:pPr>
              <w:spacing w:after="0"/>
              <w:rPr>
                <w:sz w:val="24"/>
                <w:szCs w:val="24"/>
                <w:color w:val="auto"/>
              </w:rPr>
            </w:pPr>
          </w:p>
        </w:tc>
        <w:tc>
          <w:tcPr>
            <w:tcW w:w="28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260" w:type="dxa"/>
            <w:vAlign w:val="bottom"/>
            <w:tcBorders>
              <w:left w:val="single" w:sz="8" w:color="auto"/>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84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1260" w:type="dxa"/>
            <w:vAlign w:val="bottom"/>
            <w:tcBorders>
              <w:left w:val="single" w:sz="8" w:color="auto"/>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3</w:t>
            </w:r>
          </w:p>
        </w:tc>
        <w:tc>
          <w:tcPr>
            <w:tcW w:w="80" w:type="dxa"/>
            <w:vAlign w:val="bottom"/>
            <w:tcBorders>
              <w:bottom w:val="single" w:sz="8" w:color="auto"/>
            </w:tcBorders>
            <w:shd w:val="clear" w:color="auto" w:fill="DFDFDF"/>
          </w:tcPr>
          <w:p>
            <w:pPr>
              <w:spacing w:after="0"/>
              <w:rPr>
                <w:sz w:val="24"/>
                <w:szCs w:val="24"/>
                <w:color w:val="auto"/>
              </w:rPr>
            </w:pPr>
          </w:p>
        </w:tc>
        <w:tc>
          <w:tcPr>
            <w:tcW w:w="1500" w:type="dxa"/>
            <w:vAlign w:val="bottom"/>
            <w:tcBorders>
              <w:bottom w:val="single" w:sz="8" w:color="auto"/>
              <w:right w:val="single" w:sz="8" w:color="DFDFDF"/>
            </w:tcBorders>
            <w:gridSpan w:val="3"/>
            <w:shd w:val="clear" w:color="auto" w:fill="DFDFDF"/>
          </w:tcPr>
          <w:p>
            <w:pPr>
              <w:ind w:left="20"/>
              <w:spacing w:after="0"/>
              <w:rPr>
                <w:sz w:val="20"/>
                <w:szCs w:val="20"/>
                <w:color w:val="auto"/>
              </w:rPr>
            </w:pPr>
            <w:r>
              <w:rPr>
                <w:rFonts w:ascii="Times New Roman" w:cs="Times New Roman" w:eastAsia="Times New Roman" w:hAnsi="Times New Roman"/>
                <w:sz w:val="16"/>
                <w:szCs w:val="16"/>
                <w:color w:val="auto"/>
              </w:rPr>
              <w:t>SEC USE ONLY</w:t>
            </w:r>
          </w:p>
        </w:tc>
        <w:tc>
          <w:tcPr>
            <w:tcW w:w="8400" w:type="dxa"/>
            <w:vAlign w:val="bottom"/>
            <w:tcBorders>
              <w:bottom w:val="single" w:sz="8" w:color="auto"/>
              <w:right w:val="single" w:sz="8" w:color="auto"/>
            </w:tcBorders>
            <w:shd w:val="clear" w:color="auto" w:fill="DFDFD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4</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63"/>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vMerge w:val="continue"/>
          </w:tcPr>
          <w:p>
            <w:pPr>
              <w:spacing w:after="0"/>
              <w:rPr>
                <w:sz w:val="10"/>
                <w:szCs w:val="10"/>
                <w:color w:val="auto"/>
              </w:rPr>
            </w:pPr>
          </w:p>
        </w:tc>
        <w:tc>
          <w:tcPr>
            <w:tcW w:w="8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338"/>
        </w:trPr>
        <w:tc>
          <w:tcPr>
            <w:tcW w:w="1340" w:type="dxa"/>
            <w:vAlign w:val="bottom"/>
            <w:tcBorders>
              <w:left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right"/>
              <w:ind w:right="274"/>
              <w:spacing w:after="0"/>
              <w:rPr>
                <w:sz w:val="20"/>
                <w:szCs w:val="20"/>
                <w:color w:val="auto"/>
              </w:rPr>
            </w:pPr>
            <w:r>
              <w:rPr>
                <w:rFonts w:ascii="Times New Roman" w:cs="Times New Roman" w:eastAsia="Times New Roman" w:hAnsi="Times New Roman"/>
                <w:sz w:val="25"/>
                <w:szCs w:val="25"/>
                <w:color w:val="auto"/>
              </w:rPr>
              <w:t>5</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320" w:type="dxa"/>
            <w:vAlign w:val="bottom"/>
            <w:tcBorders>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OWNED BY</w:t>
            </w: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6</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tcBorders>
            <w:gridSpan w:val="2"/>
            <w:vMerge w:val="restart"/>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w w:val="99"/>
              </w:rPr>
              <w:t>EACH</w:t>
            </w:r>
          </w:p>
        </w:tc>
        <w:tc>
          <w:tcPr>
            <w:tcW w:w="2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vMerge w:val="continue"/>
          </w:tcPr>
          <w:p>
            <w:pPr>
              <w:spacing w:after="0"/>
              <w:rPr>
                <w:sz w:val="17"/>
                <w:szCs w:val="17"/>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5,727,770</w:t>
            </w:r>
          </w:p>
        </w:tc>
        <w:tc>
          <w:tcPr>
            <w:tcW w:w="0" w:type="dxa"/>
            <w:vAlign w:val="bottom"/>
          </w:tcPr>
          <w:p>
            <w:pPr>
              <w:spacing w:after="0"/>
              <w:rPr>
                <w:sz w:val="1"/>
                <w:szCs w:val="1"/>
                <w:color w:val="auto"/>
              </w:rPr>
            </w:pPr>
          </w:p>
        </w:tc>
      </w:tr>
      <w:tr>
        <w:trPr>
          <w:trHeight w:val="80"/>
        </w:trPr>
        <w:tc>
          <w:tcPr>
            <w:tcW w:w="1340" w:type="dxa"/>
            <w:vAlign w:val="bottom"/>
            <w:tcBorders>
              <w:lef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84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1620" w:type="dxa"/>
            <w:vAlign w:val="bottom"/>
            <w:tcBorders>
              <w:left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6"/>
                <w:szCs w:val="16"/>
                <w:b w:val="1"/>
                <w:bCs w:val="1"/>
                <w:color w:val="auto"/>
              </w:rPr>
              <w:t>REPORTING</w:t>
            </w: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229"/>
        </w:trPr>
        <w:tc>
          <w:tcPr>
            <w:tcW w:w="1340" w:type="dxa"/>
            <w:vAlign w:val="bottom"/>
            <w:tcBorders>
              <w:left w:val="single" w:sz="8" w:color="auto"/>
            </w:tcBorders>
            <w:gridSpan w:val="2"/>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PERSON</w:t>
            </w:r>
          </w:p>
        </w:tc>
        <w:tc>
          <w:tcPr>
            <w:tcW w:w="28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7</w:t>
            </w: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3"/>
        </w:trPr>
        <w:tc>
          <w:tcPr>
            <w:tcW w:w="1340" w:type="dxa"/>
            <w:vAlign w:val="bottom"/>
            <w:tcBorders>
              <w:left w:val="single" w:sz="8" w:color="auto"/>
            </w:tcBorders>
            <w:gridSpan w:val="2"/>
            <w:vMerge w:val="restart"/>
          </w:tcPr>
          <w:p>
            <w:pPr>
              <w:jc w:val="center"/>
              <w:ind w:left="497"/>
              <w:spacing w:after="0"/>
              <w:rPr>
                <w:sz w:val="20"/>
                <w:szCs w:val="20"/>
                <w:color w:val="auto"/>
              </w:rPr>
            </w:pPr>
            <w:r>
              <w:rPr>
                <w:rFonts w:ascii="Times New Roman" w:cs="Times New Roman" w:eastAsia="Times New Roman" w:hAnsi="Times New Roman"/>
                <w:sz w:val="16"/>
                <w:szCs w:val="16"/>
                <w:b w:val="1"/>
                <w:bCs w:val="1"/>
                <w:color w:val="auto"/>
              </w:rPr>
              <w:t>WITH</w:t>
            </w:r>
          </w:p>
        </w:tc>
        <w:tc>
          <w:tcPr>
            <w:tcW w:w="28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40" w:type="dxa"/>
            <w:vAlign w:val="bottom"/>
            <w:tcBorders>
              <w:left w:val="single" w:sz="8" w:color="auto"/>
            </w:tcBorders>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2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8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25"/>
                <w:szCs w:val="25"/>
                <w:color w:val="auto"/>
              </w:rPr>
              <w:t>8</w:t>
            </w:r>
          </w:p>
        </w:tc>
        <w:tc>
          <w:tcPr>
            <w:tcW w:w="8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vMerge w:val="continue"/>
          </w:tcPr>
          <w:p>
            <w:pPr>
              <w:spacing w:after="0"/>
              <w:rPr>
                <w:sz w:val="17"/>
                <w:szCs w:val="17"/>
                <w:color w:val="auto"/>
              </w:rPr>
            </w:pPr>
          </w:p>
        </w:tc>
        <w:tc>
          <w:tcPr>
            <w:tcW w:w="84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5,727,770</w:t>
            </w:r>
          </w:p>
        </w:tc>
        <w:tc>
          <w:tcPr>
            <w:tcW w:w="0" w:type="dxa"/>
            <w:vAlign w:val="bottom"/>
          </w:tcPr>
          <w:p>
            <w:pPr>
              <w:spacing w:after="0"/>
              <w:rPr>
                <w:sz w:val="1"/>
                <w:szCs w:val="1"/>
                <w:color w:val="auto"/>
              </w:rPr>
            </w:pPr>
          </w:p>
        </w:tc>
      </w:tr>
      <w:tr>
        <w:trPr>
          <w:trHeight w:val="83"/>
        </w:trPr>
        <w:tc>
          <w:tcPr>
            <w:tcW w:w="1260" w:type="dxa"/>
            <w:vAlign w:val="bottom"/>
            <w:tcBorders>
              <w:left w:val="single" w:sz="8" w:color="auto"/>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84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63"/>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5,727,770</w:t>
            </w: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vMerge w:val="continue"/>
          </w:tcPr>
          <w:p>
            <w:pPr>
              <w:spacing w:after="0"/>
              <w:rPr>
                <w:sz w:val="10"/>
                <w:szCs w:val="10"/>
                <w:color w:val="auto"/>
              </w:rPr>
            </w:pPr>
          </w:p>
        </w:tc>
        <w:tc>
          <w:tcPr>
            <w:tcW w:w="8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80" w:type="dxa"/>
            <w:vAlign w:val="bottom"/>
          </w:tcPr>
          <w:p>
            <w:pPr>
              <w:spacing w:after="0"/>
              <w:rPr>
                <w:sz w:val="18"/>
                <w:szCs w:val="18"/>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6"/>
        </w:trPr>
        <w:tc>
          <w:tcPr>
            <w:tcW w:w="1260" w:type="dxa"/>
            <w:vAlign w:val="bottom"/>
            <w:tcBorders>
              <w:left w:val="single" w:sz="8" w:color="auto"/>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260" w:type="dxa"/>
            <w:vAlign w:val="bottom"/>
            <w:tcBorders>
              <w:left w:val="single" w:sz="8" w:color="auto"/>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11</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303"/>
        </w:trPr>
        <w:tc>
          <w:tcPr>
            <w:tcW w:w="1260" w:type="dxa"/>
            <w:vAlign w:val="bottom"/>
            <w:tcBorders>
              <w:left w:val="single" w:sz="8" w:color="auto"/>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12.62%</w:t>
            </w:r>
          </w:p>
        </w:tc>
        <w:tc>
          <w:tcPr>
            <w:tcW w:w="900" w:type="dxa"/>
            <w:vAlign w:val="bottom"/>
          </w:tcPr>
          <w:p>
            <w:pPr>
              <w:spacing w:after="0"/>
              <w:rPr>
                <w:sz w:val="24"/>
                <w:szCs w:val="24"/>
                <w:color w:val="auto"/>
              </w:rPr>
            </w:pPr>
          </w:p>
        </w:tc>
        <w:tc>
          <w:tcPr>
            <w:tcW w:w="8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12</w:t>
            </w:r>
          </w:p>
        </w:tc>
        <w:tc>
          <w:tcPr>
            <w:tcW w:w="80" w:type="dxa"/>
            <w:vAlign w:val="bottom"/>
          </w:tcPr>
          <w:p>
            <w:pPr>
              <w:spacing w:after="0"/>
              <w:rPr>
                <w:sz w:val="22"/>
                <w:szCs w:val="22"/>
                <w:color w:val="auto"/>
              </w:rPr>
            </w:pPr>
          </w:p>
        </w:tc>
        <w:tc>
          <w:tcPr>
            <w:tcW w:w="990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IN;HC</w:t>
            </w:r>
          </w:p>
        </w:tc>
        <w:tc>
          <w:tcPr>
            <w:tcW w:w="8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260" w:type="dxa"/>
            <w:vAlign w:val="bottom"/>
            <w:tcBorders>
              <w:left w:val="single" w:sz="8" w:color="auto"/>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vMerge w:val="continue"/>
          </w:tcPr>
          <w:p>
            <w:pPr>
              <w:spacing w:after="0"/>
              <w:rPr>
                <w:sz w:val="11"/>
                <w:szCs w:val="11"/>
                <w:color w:val="auto"/>
              </w:rPr>
            </w:pPr>
          </w:p>
        </w:tc>
        <w:tc>
          <w:tcPr>
            <w:tcW w:w="8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30"/>
        </w:trPr>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Item 1. (a) Name of Issuer:</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Xometry, Inc. (the “Issuer”)</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(b) Address of Issuer’s Principal Executive Offices:</w:t>
      </w:r>
    </w:p>
    <w:p>
      <w:pPr>
        <w:spacing w:after="0" w:line="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6116 Executive Boulevard, Suite 800, North Bethesda, MD, 20852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(a) Name of Persons Filing:</w:t>
      </w:r>
    </w:p>
    <w:p>
      <w:pPr>
        <w:spacing w:after="0" w:line="112" w:lineRule="exact"/>
        <w:rPr>
          <w:sz w:val="20"/>
          <w:szCs w:val="20"/>
          <w:color w:val="auto"/>
        </w:rPr>
      </w:pPr>
    </w:p>
    <w:p>
      <w:pPr>
        <w:ind w:left="1540" w:hanging="236"/>
        <w:spacing w:after="0"/>
        <w:tabs>
          <w:tab w:leader="none" w:pos="15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Eventide Asset Management, LLC (“Eventide”)</w:t>
      </w:r>
    </w:p>
    <w:p>
      <w:pPr>
        <w:spacing w:after="0" w:line="21"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Finny Kuruvilla, M.D., Ph.D. (“Kuruvilla”)</w:t>
      </w:r>
    </w:p>
    <w:p>
      <w:pPr>
        <w:ind w:left="1660" w:hanging="356"/>
        <w:spacing w:after="0"/>
        <w:tabs>
          <w:tab w:leader="none" w:pos="1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Robin C. John (“John”)</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(b). Address of Principal Business Office or, if none, Residence: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Eventide, Kuruvilla and John:</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One International Place, Suite 4210</w:t>
      </w:r>
    </w:p>
    <w:p>
      <w:pPr>
        <w:ind w:left="1300"/>
        <w:spacing w:after="0"/>
        <w:rPr>
          <w:sz w:val="20"/>
          <w:szCs w:val="20"/>
          <w:color w:val="auto"/>
        </w:rPr>
      </w:pPr>
      <w:r>
        <w:rPr>
          <w:rFonts w:ascii="Times New Roman" w:cs="Times New Roman" w:eastAsia="Times New Roman" w:hAnsi="Times New Roman"/>
          <w:sz w:val="20"/>
          <w:szCs w:val="20"/>
          <w:color w:val="auto"/>
        </w:rPr>
        <w:t>Boston, Massachusetts 02110</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 Citizenship or Place of Organization: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Eventide: Delaware</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Kuruvilla: United States</w:t>
      </w:r>
    </w:p>
    <w:p>
      <w:pPr>
        <w:ind w:left="1300"/>
        <w:spacing w:after="0"/>
        <w:rPr>
          <w:sz w:val="20"/>
          <w:szCs w:val="20"/>
          <w:color w:val="auto"/>
        </w:rPr>
      </w:pPr>
      <w:r>
        <w:rPr>
          <w:rFonts w:ascii="Times New Roman" w:cs="Times New Roman" w:eastAsia="Times New Roman" w:hAnsi="Times New Roman"/>
          <w:sz w:val="20"/>
          <w:szCs w:val="20"/>
          <w:color w:val="auto"/>
        </w:rPr>
        <w:t>John: United States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(d). Title of Class of Securities</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Class A Common Stock, par value $0.000001 per share</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(e). CUSIP Number:</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98423F109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If this statement is filed pursuant to sections 240.13d-1(b) or 240.13d-2(b) or (c), check whether the person filing is a:</w:t>
      </w:r>
    </w:p>
    <w:p>
      <w:pPr>
        <w:spacing w:after="0" w:line="231" w:lineRule="exact"/>
        <w:rPr>
          <w:sz w:val="20"/>
          <w:szCs w:val="20"/>
          <w:color w:val="auto"/>
        </w:rPr>
      </w:pPr>
    </w:p>
    <w:p>
      <w:pPr>
        <w:ind w:left="1240" w:hanging="260"/>
        <w:spacing w:after="0"/>
        <w:tabs>
          <w:tab w:leader="none" w:pos="12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107"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107" w:lineRule="exact"/>
        <w:rPr>
          <w:rFonts w:ascii="Times New Roman" w:cs="Times New Roman" w:eastAsia="Times New Roman" w:hAnsi="Times New Roman"/>
          <w:sz w:val="20"/>
          <w:szCs w:val="20"/>
          <w:color w:val="auto"/>
        </w:rPr>
      </w:pPr>
    </w:p>
    <w:p>
      <w:pPr>
        <w:ind w:left="1240" w:hanging="260"/>
        <w:spacing w:after="0"/>
        <w:tabs>
          <w:tab w:leader="none" w:pos="12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107"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107" w:lineRule="exact"/>
        <w:rPr>
          <w:rFonts w:ascii="Times New Roman" w:cs="Times New Roman" w:eastAsia="Times New Roman" w:hAnsi="Times New Roman"/>
          <w:sz w:val="20"/>
          <w:szCs w:val="20"/>
          <w:color w:val="auto"/>
        </w:rPr>
      </w:pPr>
    </w:p>
    <w:p>
      <w:pPr>
        <w:ind w:left="1240" w:hanging="260"/>
        <w:spacing w:after="0"/>
        <w:tabs>
          <w:tab w:leader="none" w:pos="12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 investment adviser in accordance with section 240.13d-1(b)(1)(ii)(E);</w:t>
      </w:r>
    </w:p>
    <w:p>
      <w:pPr>
        <w:spacing w:after="0" w:line="107" w:lineRule="exact"/>
        <w:rPr>
          <w:rFonts w:ascii="Times New Roman" w:cs="Times New Roman" w:eastAsia="Times New Roman" w:hAnsi="Times New Roman"/>
          <w:sz w:val="20"/>
          <w:szCs w:val="20"/>
          <w:color w:val="auto"/>
        </w:rPr>
      </w:pPr>
    </w:p>
    <w:p>
      <w:pPr>
        <w:ind w:left="1220" w:hanging="240"/>
        <w:spacing w:after="0"/>
        <w:tabs>
          <w:tab w:leader="none" w:pos="12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section 240.13d- 1(b)(1)(ii)(F);</w:t>
      </w:r>
    </w:p>
    <w:p>
      <w:pPr>
        <w:spacing w:after="0" w:line="107"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 parent holding company or control person in accordance with section 240.13d- 1(b)(1)(ii)(G);</w:t>
      </w:r>
    </w:p>
    <w:p>
      <w:pPr>
        <w:spacing w:after="0" w:line="107"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 as defined in section 3(b) of the Federal Deposit Insurance</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Act (12 U.S.C. 1813);</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(i) [ ] A church plan that is excluded from the definition of an investment company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464" w:right="1099" w:bottom="1440" w:gutter="0" w:footer="0" w:header="0"/>
        </w:sectPr>
      </w:pPr>
    </w:p>
    <w:bookmarkStart w:id="5" w:name="page6"/>
    <w:bookmarkEnd w:id="5"/>
    <w:p>
      <w:pPr>
        <w:ind w:left="1700"/>
        <w:spacing w:after="0"/>
        <w:rPr>
          <w:sz w:val="20"/>
          <w:szCs w:val="20"/>
          <w:color w:val="auto"/>
        </w:rPr>
      </w:pPr>
      <w:r>
        <w:rPr>
          <w:rFonts w:ascii="Times New Roman" w:cs="Times New Roman" w:eastAsia="Times New Roman" w:hAnsi="Times New Roman"/>
          <w:sz w:val="20"/>
          <w:szCs w:val="20"/>
          <w:color w:val="auto"/>
        </w:rPr>
        <w:t>section 3(c)(14) of the Investment Company Act of 1940 (15 U.S.C. 80a-3);</w:t>
      </w:r>
    </w:p>
    <w:p>
      <w:pPr>
        <w:spacing w:after="0" w:line="108" w:lineRule="exact"/>
        <w:rPr>
          <w:sz w:val="20"/>
          <w:szCs w:val="20"/>
          <w:color w:val="auto"/>
        </w:rPr>
      </w:pPr>
    </w:p>
    <w:p>
      <w:pPr>
        <w:ind w:left="1220" w:hanging="240"/>
        <w:spacing w:after="0"/>
        <w:tabs>
          <w:tab w:leader="none" w:pos="12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non-U.S. institution in accordance with section 240.13d-1(b)(1)(ii)(J);</w:t>
      </w:r>
    </w:p>
    <w:p>
      <w:pPr>
        <w:spacing w:after="0" w:line="107"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group, in accordance with section 240.13d-1(b)(1) (ii)(K).</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If filing as a non-U.S. institution in accordance with section 240.13d-1(b)(1)(ii)(J), please specify the type of institution: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Ownership:</w:t>
      </w:r>
    </w:p>
    <w:p>
      <w:pPr>
        <w:spacing w:after="0" w:line="220" w:lineRule="exact"/>
        <w:rPr>
          <w:sz w:val="20"/>
          <w:szCs w:val="20"/>
          <w:color w:val="auto"/>
        </w:rPr>
      </w:pPr>
    </w:p>
    <w:p>
      <w:pPr>
        <w:ind w:right="540" w:firstLine="648"/>
        <w:spacing w:after="0" w:line="269" w:lineRule="auto"/>
        <w:rPr>
          <w:sz w:val="20"/>
          <w:szCs w:val="20"/>
          <w:color w:val="auto"/>
        </w:rPr>
      </w:pPr>
      <w:r>
        <w:rPr>
          <w:rFonts w:ascii="Times New Roman" w:cs="Times New Roman" w:eastAsia="Times New Roman" w:hAnsi="Times New Roman"/>
          <w:sz w:val="20"/>
          <w:szCs w:val="20"/>
          <w:color w:val="auto"/>
        </w:rPr>
        <w:t>Provide the following information regarding the aggregate number and percentage of the class of securities of the Issuer identified in Item 1.</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Amount beneficially owned:</w:t>
      </w:r>
    </w:p>
    <w:p>
      <w:pPr>
        <w:spacing w:after="0" w:line="67"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Eventide: 5,727,770</w:t>
      </w:r>
    </w:p>
    <w:p>
      <w:pPr>
        <w:spacing w:after="0" w:line="2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Kuruvilla: 5,727,770</w:t>
      </w:r>
    </w:p>
    <w:p>
      <w:pPr>
        <w:ind w:left="360" w:hanging="352"/>
        <w:spacing w:after="0"/>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5,727,770</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 Percent of class:</w:t>
      </w:r>
    </w:p>
    <w:p>
      <w:pPr>
        <w:spacing w:after="0" w:line="21"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Eventide: 12.62%</w:t>
      </w:r>
    </w:p>
    <w:p>
      <w:pPr>
        <w:ind w:left="300" w:hanging="292"/>
        <w:spacing w:after="0"/>
        <w:tabs>
          <w:tab w:leader="none" w:pos="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Kuruvilla: 12.62%</w:t>
      </w:r>
    </w:p>
    <w:p>
      <w:pPr>
        <w:ind w:left="360" w:hanging="352"/>
        <w:spacing w:after="0"/>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12.62%</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 Number of shares as to which the person has:</w:t>
      </w:r>
    </w:p>
    <w:p>
      <w:pPr>
        <w:spacing w:after="0" w:line="216" w:lineRule="exact"/>
        <w:rPr>
          <w:sz w:val="20"/>
          <w:szCs w:val="20"/>
          <w:color w:val="auto"/>
        </w:rPr>
      </w:pPr>
    </w:p>
    <w:p>
      <w:pPr>
        <w:ind w:left="600" w:hanging="592"/>
        <w:spacing w:after="0"/>
        <w:tabs>
          <w:tab w:leader="none" w:pos="6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w:t>
      </w:r>
    </w:p>
    <w:p>
      <w:pPr>
        <w:spacing w:after="0" w:line="216"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Eventide: 5,727,770</w:t>
      </w:r>
    </w:p>
    <w:p>
      <w:pPr>
        <w:spacing w:after="0" w:line="2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Kuruvilla: 0</w:t>
      </w:r>
    </w:p>
    <w:p>
      <w:pPr>
        <w:ind w:left="280" w:hanging="272"/>
        <w:spacing w:after="0"/>
        <w:tabs>
          <w:tab w:leader="none" w:pos="2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0</w:t>
      </w:r>
    </w:p>
    <w:p>
      <w:pPr>
        <w:spacing w:after="0" w:line="194"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w:t>
      </w:r>
    </w:p>
    <w:p>
      <w:pPr>
        <w:spacing w:after="0" w:line="229" w:lineRule="exact"/>
        <w:rPr>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Eventide: 0</w:t>
      </w:r>
    </w:p>
    <w:p>
      <w:pPr>
        <w:spacing w:after="0" w:line="2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Kuruvilla: 5,727,770</w:t>
      </w:r>
    </w:p>
    <w:p>
      <w:pPr>
        <w:ind w:left="280" w:hanging="272"/>
        <w:spacing w:after="0"/>
        <w:tabs>
          <w:tab w:leader="none" w:pos="2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5,727,770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(iii) Sole power to dispose or to direct the disposition of:</w:t>
      </w:r>
    </w:p>
    <w:p>
      <w:pPr>
        <w:spacing w:after="0" w:line="216"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Eventide: 5,727,770</w:t>
      </w:r>
    </w:p>
    <w:p>
      <w:pPr>
        <w:spacing w:after="0" w:line="2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Kuruvilla: 0</w:t>
      </w:r>
    </w:p>
    <w:p>
      <w:pPr>
        <w:ind w:left="280" w:hanging="272"/>
        <w:spacing w:after="0"/>
        <w:tabs>
          <w:tab w:leader="none" w:pos="2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(iv) Shared power to dispose or to direct the disposition of:</w:t>
      </w:r>
    </w:p>
    <w:p>
      <w:pPr>
        <w:spacing w:after="0" w:line="216" w:lineRule="exact"/>
        <w:rPr>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Eventide: 0</w:t>
      </w:r>
    </w:p>
    <w:p>
      <w:pPr>
        <w:spacing w:after="0" w:line="2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Kuruvilla: 5,727,770</w:t>
      </w:r>
    </w:p>
    <w:p>
      <w:pPr>
        <w:ind w:left="280" w:hanging="272"/>
        <w:spacing w:after="0"/>
        <w:tabs>
          <w:tab w:leader="none" w:pos="2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5,727,770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468" w:right="1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Item 5. Ownership of Five Percent or Less of a Class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Ownership of More Than Five Percent on Behalf of Another Person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w:t>
      </w:r>
    </w:p>
    <w:p>
      <w:pPr>
        <w:spacing w:after="0" w:line="220" w:lineRule="exact"/>
        <w:rPr>
          <w:sz w:val="20"/>
          <w:szCs w:val="20"/>
          <w:color w:val="auto"/>
        </w:rPr>
      </w:pPr>
    </w:p>
    <w:p>
      <w:pPr>
        <w:jc w:val="both"/>
        <w:ind w:left="1300" w:right="199"/>
        <w:spacing w:after="0" w:line="246" w:lineRule="auto"/>
        <w:rPr>
          <w:sz w:val="20"/>
          <w:szCs w:val="20"/>
          <w:color w:val="auto"/>
        </w:rPr>
      </w:pPr>
      <w:r>
        <w:rPr>
          <w:rFonts w:ascii="Times New Roman" w:cs="Times New Roman" w:eastAsia="Times New Roman" w:hAnsi="Times New Roman"/>
          <w:sz w:val="20"/>
          <w:szCs w:val="20"/>
          <w:color w:val="auto"/>
        </w:rPr>
        <w:t>As of December 31, 2023, Eventide Asset Management, LLC, a Delaware limited liability company located at One International Place, Suite 4210, Boston, Massachusetts 02110, is the beneficial owner of 5,727,770 shares of the Issuer’s Common Stock by virtue of being the investment adviser to Eventide Gilead Fund, Eventide Exponential Technologies Fund and Eventide Balanced Fund, which are registered investment companies, and Eventide separately managed accounts, (the "Accounts").</w:t>
      </w:r>
    </w:p>
    <w:p>
      <w:pPr>
        <w:spacing w:after="0" w:line="185" w:lineRule="exact"/>
        <w:rPr>
          <w:sz w:val="20"/>
          <w:szCs w:val="20"/>
          <w:color w:val="auto"/>
        </w:rPr>
      </w:pPr>
    </w:p>
    <w:p>
      <w:pPr>
        <w:jc w:val="both"/>
        <w:ind w:left="1300" w:right="199"/>
        <w:spacing w:after="0" w:line="244" w:lineRule="auto"/>
        <w:rPr>
          <w:sz w:val="20"/>
          <w:szCs w:val="20"/>
          <w:color w:val="auto"/>
        </w:rPr>
      </w:pPr>
      <w:r>
        <w:rPr>
          <w:rFonts w:ascii="Times New Roman" w:cs="Times New Roman" w:eastAsia="Times New Roman" w:hAnsi="Times New Roman"/>
          <w:sz w:val="20"/>
          <w:szCs w:val="20"/>
          <w:color w:val="auto"/>
        </w:rPr>
        <w:t>As of December 31, 2023, the Eventide Gilead Fund held 5,320,474 shares of the Issuer’s Common Stock, representing 11.72% of the Issuer's outstanding Common Stock, the Eventide Exponential Technologies Fund held 366,015 shares of the Issuer’s Common Stock, representing 0.81% of the Issuer's outstanding Common Stock, the Eventide Balanced Fund held 37,425 shares of the Issuer’s Common Stock, representing 0.08% of the Issuer’s outstanding Common Stock, and Eventide’s separately managed accounts held 3,856 shares of the Issuer’s Common Stock, representing 0.01% of the Issuer’s outstanding Common Stock, which together represents 12.62% of the Issuer's outstanding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Identification and Classification of the Subsidiary which Acquired the Security Being Reported on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Parent Holding Company</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Identification and Classification of Members of the Group</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Notice of Dissolution of Group</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Certification:</w:t>
      </w:r>
    </w:p>
    <w:p>
      <w:pPr>
        <w:spacing w:after="0" w:line="220" w:lineRule="exact"/>
        <w:rPr>
          <w:sz w:val="20"/>
          <w:szCs w:val="20"/>
          <w:color w:val="auto"/>
        </w:rPr>
      </w:pPr>
    </w:p>
    <w:p>
      <w:pPr>
        <w:jc w:val="both"/>
        <w:ind w:left="1300" w:right="199"/>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jc w:val="both"/>
        <w:ind w:left="1300" w:right="199"/>
        <w:spacing w:after="0" w:line="269" w:lineRule="auto"/>
        <w:rPr>
          <w:sz w:val="20"/>
          <w:szCs w:val="20"/>
          <w:color w:val="auto"/>
        </w:rPr>
      </w:pPr>
      <w:r>
        <w:rPr>
          <w:rFonts w:ascii="Times New Roman" w:cs="Times New Roman" w:eastAsia="Times New Roman" w:hAnsi="Times New Roman"/>
          <w:sz w:val="20"/>
          <w:szCs w:val="20"/>
          <w:color w:val="auto"/>
        </w:rPr>
        <w:t>In accordance with Rule 13d-4 of the Securities Exchange Act of 1934, each of the persons filing this statement expressly disclaim the beneficial ownership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7" w:name="page8"/>
    <w:bookmarkEnd w:id="7"/>
    <w:p>
      <w:pPr>
        <w:ind w:left="180" w:right="199"/>
        <w:spacing w:after="0" w:line="269" w:lineRule="auto"/>
        <w:rPr>
          <w:sz w:val="20"/>
          <w:szCs w:val="20"/>
          <w:color w:val="auto"/>
        </w:rPr>
      </w:pPr>
      <w:r>
        <w:rPr>
          <w:rFonts w:ascii="Times New Roman" w:cs="Times New Roman" w:eastAsia="Times New Roman" w:hAnsi="Times New Roman"/>
          <w:sz w:val="20"/>
          <w:szCs w:val="20"/>
          <w:color w:val="auto"/>
        </w:rPr>
        <w:t>the securities covered by this statement and the filing of this report shall not be construed as an admission by such persons that they are the beneficial owners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8" w:name="page9"/>
    <w:bookmarkEnd w:id="8"/>
    <w:p>
      <w:pPr>
        <w:ind w:left="324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12" w:lineRule="exact"/>
        <w:rPr>
          <w:sz w:val="20"/>
          <w:szCs w:val="20"/>
          <w:color w:val="auto"/>
        </w:rPr>
      </w:pPr>
    </w:p>
    <w:p>
      <w:pPr>
        <w:jc w:val="both"/>
        <w:ind w:right="199"/>
        <w:spacing w:after="0" w:line="254" w:lineRule="auto"/>
        <w:rPr>
          <w:sz w:val="20"/>
          <w:szCs w:val="20"/>
          <w:color w:val="auto"/>
        </w:rPr>
      </w:pPr>
      <w:r>
        <w:rPr>
          <w:rFonts w:ascii="Times New Roman" w:cs="Times New Roman" w:eastAsia="Times New Roman" w:hAnsi="Times New Roman"/>
          <w:sz w:val="20"/>
          <w:szCs w:val="20"/>
          <w:color w:val="auto"/>
        </w:rPr>
        <w:t>The undersigned certify, after reasonable inquiry and to the best knowledge and belief of the undersigned, that the information set forth in this Statement is true, complete and correct. The undersigned agree to the filing of this single Statement on Schedule 13G.</w:t>
      </w:r>
    </w:p>
    <w:p>
      <w:pPr>
        <w:spacing w:after="0" w:line="2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Eventide Asset Management,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14, 2024</w:t>
      </w:r>
    </w:p>
    <w:p>
      <w:pPr>
        <w:ind w:left="3900"/>
        <w:spacing w:after="0"/>
        <w:rPr>
          <w:sz w:val="20"/>
          <w:szCs w:val="20"/>
          <w:color w:val="auto"/>
        </w:rPr>
      </w:pPr>
      <w:r>
        <w:rPr>
          <w:rFonts w:ascii="Times New Roman" w:cs="Times New Roman" w:eastAsia="Times New Roman" w:hAnsi="Times New Roman"/>
          <w:sz w:val="20"/>
          <w:szCs w:val="20"/>
          <w:u w:val="single" w:color="auto"/>
          <w:color w:val="auto"/>
        </w:rPr>
        <w:t>By: /s/ Peter J. Luiso</w:t>
      </w:r>
    </w:p>
    <w:p>
      <w:pPr>
        <w:ind w:left="3900"/>
        <w:spacing w:after="0"/>
        <w:rPr>
          <w:sz w:val="20"/>
          <w:szCs w:val="20"/>
          <w:color w:val="auto"/>
        </w:rPr>
      </w:pPr>
      <w:r>
        <w:rPr>
          <w:rFonts w:ascii="Times New Roman" w:cs="Times New Roman" w:eastAsia="Times New Roman" w:hAnsi="Times New Roman"/>
          <w:sz w:val="20"/>
          <w:szCs w:val="20"/>
          <w:color w:val="auto"/>
        </w:rPr>
        <w:t>Name: Peter J. Luiso</w:t>
      </w:r>
    </w:p>
    <w:p>
      <w:pPr>
        <w:ind w:left="3900"/>
        <w:spacing w:after="0"/>
        <w:rPr>
          <w:sz w:val="20"/>
          <w:szCs w:val="20"/>
          <w:color w:val="auto"/>
        </w:rPr>
      </w:pPr>
      <w:r>
        <w:rPr>
          <w:rFonts w:ascii="Times New Roman" w:cs="Times New Roman" w:eastAsia="Times New Roman" w:hAnsi="Times New Roman"/>
          <w:sz w:val="20"/>
          <w:szCs w:val="20"/>
          <w:color w:val="auto"/>
        </w:rPr>
        <w:t>Title: General Counsel</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Finny Kuruvilla, M.D., Ph. 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14, 2024</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By: /s/ Finny Kuruvilla, M.D., Ph. D.</w:t>
      </w:r>
    </w:p>
    <w:p>
      <w:pPr>
        <w:ind w:left="3900"/>
        <w:spacing w:after="0"/>
        <w:rPr>
          <w:sz w:val="20"/>
          <w:szCs w:val="20"/>
          <w:color w:val="auto"/>
        </w:rPr>
      </w:pPr>
      <w:r>
        <w:rPr>
          <w:rFonts w:ascii="Times New Roman" w:cs="Times New Roman" w:eastAsia="Times New Roman" w:hAnsi="Times New Roman"/>
          <w:sz w:val="20"/>
          <w:szCs w:val="20"/>
          <w:color w:val="auto"/>
        </w:rPr>
        <w:t>Name: Finny Kuruvilla, M.D., Ph. D.</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Robin C. John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14, 2024</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By: /s/ Robin C. John</w:t>
      </w:r>
    </w:p>
    <w:p>
      <w:pPr>
        <w:ind w:left="3900"/>
        <w:spacing w:after="0"/>
        <w:rPr>
          <w:sz w:val="20"/>
          <w:szCs w:val="20"/>
          <w:color w:val="auto"/>
        </w:rPr>
      </w:pPr>
      <w:r>
        <w:rPr>
          <w:rFonts w:ascii="Times New Roman" w:cs="Times New Roman" w:eastAsia="Times New Roman" w:hAnsi="Times New Roman"/>
          <w:sz w:val="20"/>
          <w:szCs w:val="20"/>
          <w:color w:val="auto"/>
        </w:rPr>
        <w:t>Name: Robin C.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64" w:right="1440" w:bottom="1440" w:gutter="0" w:footer="0" w:header="0"/>
        </w:sectPr>
      </w:pPr>
    </w:p>
    <w:bookmarkStart w:id="9" w:name="page10"/>
    <w:bookmarkEnd w:id="9"/>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108" w:lineRule="exact"/>
        <w:rPr>
          <w:sz w:val="20"/>
          <w:szCs w:val="20"/>
          <w:color w:val="auto"/>
        </w:rPr>
      </w:pPr>
    </w:p>
    <w:p>
      <w:pPr>
        <w:jc w:val="both"/>
        <w:ind w:right="19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accordance with Rule 13d-1(k)(1) under the Securities and Exchange Act of 1934 (the "Act"), only one joint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hereto agree as follows:</w:t>
      </w:r>
    </w:p>
    <w:p>
      <w:pPr>
        <w:spacing w:after="0" w:line="112" w:lineRule="exact"/>
        <w:rPr>
          <w:sz w:val="20"/>
          <w:szCs w:val="20"/>
          <w:color w:val="auto"/>
        </w:rPr>
      </w:pPr>
    </w:p>
    <w:p>
      <w:pPr>
        <w:jc w:val="both"/>
        <w:ind w:right="199"/>
        <w:spacing w:after="0" w:line="254" w:lineRule="auto"/>
        <w:rPr>
          <w:sz w:val="20"/>
          <w:szCs w:val="20"/>
          <w:color w:val="auto"/>
        </w:rPr>
      </w:pPr>
      <w:r>
        <w:rPr>
          <w:rFonts w:ascii="Times New Roman" w:cs="Times New Roman" w:eastAsia="Times New Roman" w:hAnsi="Times New Roman"/>
          <w:sz w:val="20"/>
          <w:szCs w:val="20"/>
          <w:color w:val="auto"/>
        </w:rPr>
        <w:t>Eventide Asset Management, LLC, Finny Kuruvilla, M.D., Ph. D. and Robin C. John do hereby agree, in accordance with Rule 13d-1(k)(1) under the Act, to file a Statement on Schedule 13G relating to their ownership of the Common Stock of the Issuer, and do hereby further agree that said Statement on Schedule 13G shall be filed on behalf of each of them.</w:t>
      </w:r>
    </w:p>
    <w:p>
      <w:pPr>
        <w:spacing w:after="0" w:line="29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Eventide Asset Management, LLC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14, 2024</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By: /s/ Peter J. Luiso</w:t>
      </w:r>
    </w:p>
    <w:p>
      <w:pPr>
        <w:ind w:left="3900"/>
        <w:spacing w:after="0"/>
        <w:rPr>
          <w:sz w:val="20"/>
          <w:szCs w:val="20"/>
          <w:color w:val="auto"/>
        </w:rPr>
      </w:pPr>
      <w:r>
        <w:rPr>
          <w:rFonts w:ascii="Times New Roman" w:cs="Times New Roman" w:eastAsia="Times New Roman" w:hAnsi="Times New Roman"/>
          <w:sz w:val="20"/>
          <w:szCs w:val="20"/>
          <w:color w:val="auto"/>
        </w:rPr>
        <w:t>Name: Peter J. Luiso</w:t>
      </w:r>
    </w:p>
    <w:p>
      <w:pPr>
        <w:ind w:left="3900"/>
        <w:spacing w:after="0"/>
        <w:rPr>
          <w:sz w:val="20"/>
          <w:szCs w:val="20"/>
          <w:color w:val="auto"/>
        </w:rPr>
      </w:pPr>
      <w:r>
        <w:rPr>
          <w:rFonts w:ascii="Times New Roman" w:cs="Times New Roman" w:eastAsia="Times New Roman" w:hAnsi="Times New Roman"/>
          <w:sz w:val="20"/>
          <w:szCs w:val="20"/>
          <w:color w:val="auto"/>
        </w:rPr>
        <w:t>Title General Counsel</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Finny Kuruvilla, M.D., Ph. 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14, 2024</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By: /s/ Finny Kuruvilla, M.D., Ph. D.</w:t>
      </w:r>
    </w:p>
    <w:p>
      <w:pPr>
        <w:ind w:left="3900"/>
        <w:spacing w:after="0"/>
        <w:rPr>
          <w:sz w:val="20"/>
          <w:szCs w:val="20"/>
          <w:color w:val="auto"/>
        </w:rPr>
      </w:pPr>
      <w:r>
        <w:rPr>
          <w:rFonts w:ascii="Times New Roman" w:cs="Times New Roman" w:eastAsia="Times New Roman" w:hAnsi="Times New Roman"/>
          <w:sz w:val="20"/>
          <w:szCs w:val="20"/>
          <w:color w:val="auto"/>
        </w:rPr>
        <w:t>Name: Finny Kuruvilla, M.D., Ph. D.</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Robin C. John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14, 2024</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By: /s/ Robin C. John</w:t>
      </w:r>
    </w:p>
    <w:p>
      <w:pPr>
        <w:ind w:left="3900"/>
        <w:spacing w:after="0"/>
        <w:rPr>
          <w:sz w:val="20"/>
          <w:szCs w:val="20"/>
          <w:color w:val="auto"/>
        </w:rPr>
      </w:pPr>
      <w:r>
        <w:rPr>
          <w:rFonts w:ascii="Times New Roman" w:cs="Times New Roman" w:eastAsia="Times New Roman" w:hAnsi="Times New Roman"/>
          <w:sz w:val="20"/>
          <w:szCs w:val="20"/>
          <w:color w:val="auto"/>
        </w:rPr>
        <w:t>Name: Robin C. John</w:t>
      </w:r>
    </w:p>
    <w:sectPr>
      <w:pgSz w:w="11900" w:h="16838" w:orient="portrait"/>
      <w:cols w:equalWidth="0" w:num="1">
        <w:col w:w="10139"/>
      </w:cols>
      <w:pgMar w:left="320" w:top="4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þ"/>
      <w:numFmt w:val="bullet"/>
      <w:start w:val="1"/>
    </w:lvl>
  </w:abstractNum>
  <w:abstractNum w:abstractNumId="1">
    <w:nsid w:val="41B71EFB"/>
    <w:multiLevelType w:val="hybridMultilevel"/>
    <w:lvl w:ilvl="0">
      <w:lvlJc w:val="left"/>
      <w:lvlText w:val="(%1)"/>
      <w:numFmt w:val="lowerRoman"/>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10"/>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Roman"/>
      <w:start w:val="2"/>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2024-02-14T11:38:34Z</dcterms:created>
  <dcterms:modified xsi:type="dcterms:W3CDTF">2024-02-14T11:38:34Z</dcterms:modified>
</cp:coreProperties>
</file>