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xmtr-20230630.htm"/>
      <w:bookmarkStart w:id="1" w:name="ksxmtr20230630"/>
      <w:bookmarkEnd w:id="0"/>
      <w:bookmarkEnd w:id="1"/>
      <w:r>
        <w:rPr/>
        <w:t> </w:t>
      </w:r>
    </w:p>
    <w:p>
      <w:pPr>
        <w:pStyle w:val="TextBody"/>
        <w:pBdr>
          <w:top w:val="double" w:sz="6" w:space="1" w:color="000000"/>
        </w:pBdr>
        <w:bidi w:val="0"/>
        <w:spacing w:before="0" w:after="0"/>
        <w:jc w:val="left"/>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60" w:after="120"/>
        <w:jc w:val="center"/>
        <w:rPr/>
      </w:pPr>
      <w:r>
        <w:rPr/>
        <w:t> </w:t>
      </w:r>
    </w:p>
    <w:p>
      <w:pPr>
        <w:pStyle w:val="TextBody"/>
        <w:bidi w:val="0"/>
        <w:spacing w:before="12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60" w:after="120"/>
        <w:jc w:val="center"/>
        <w:rPr/>
      </w:pPr>
      <w:r>
        <w:rPr/>
        <w:t> </w:t>
      </w:r>
    </w:p>
    <w:p>
      <w:pPr>
        <w:pStyle w:val="TextBody"/>
        <w:bidi w:val="0"/>
        <w:spacing w:before="90" w:after="0"/>
        <w:jc w:val="left"/>
        <w:rPr>
          <w:rFonts w:ascii="Times New Roman;serif" w:hAnsi="Times New Roman;serif"/>
          <w:b/>
          <w:sz w:val="16"/>
        </w:rPr>
      </w:pPr>
      <w:r>
        <w:rPr>
          <w:rFonts w:ascii="Times New Roman;serif" w:hAnsi="Times New Roman;serif"/>
          <w:b/>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bidi w:val="0"/>
        <w:spacing w:before="80" w:after="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80" w:after="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8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bidi w:val="0"/>
        <w:spacing w:before="80" w:after="0"/>
        <w:jc w:val="center"/>
        <w:rPr>
          <w:rFonts w:ascii="Times New Roman" w:hAnsi="Times New Roman"/>
          <w:sz w:val="20"/>
        </w:rPr>
      </w:pPr>
      <w:r>
        <w:rPr>
          <w:rFonts w:ascii="Times New Roman;serif" w:hAnsi="Times New Roman;serif"/>
          <w:b/>
          <w:sz w:val="20"/>
        </w:rPr>
        <w:t>For the transition period from __________ to __________</w:t>
      </w:r>
      <w:r>
        <w:rPr>
          <w:rFonts w:ascii="Times New Roman" w:hAnsi="Times New Roman"/>
          <w:sz w:val="20"/>
        </w:rPr>
        <w:t xml:space="preserve"> </w:t>
      </w:r>
    </w:p>
    <w:p>
      <w:pPr>
        <w:pStyle w:val="TextBody"/>
        <w:bidi w:val="0"/>
        <w:spacing w:before="80" w:after="0"/>
        <w:jc w:val="center"/>
        <w:rPr>
          <w:rFonts w:ascii="Times New Roman;serif" w:hAnsi="Times New Roman;serif"/>
          <w:b/>
          <w:sz w:val="20"/>
        </w:rPr>
      </w:pPr>
      <w:r>
        <w:rPr>
          <w:rFonts w:ascii="Times New Roman;serif" w:hAnsi="Times New Roman;serif"/>
          <w:b/>
          <w:sz w:val="20"/>
        </w:rPr>
        <w:t>Commission File Number: 001-40546</w:t>
      </w:r>
    </w:p>
    <w:p>
      <w:pPr>
        <w:pStyle w:val="TextBody"/>
        <w:pBdr>
          <w:bottom w:val="single" w:sz="4" w:space="1" w:color="000000"/>
        </w:pBdr>
        <w:bidi w:val="0"/>
        <w:spacing w:before="60" w:after="120"/>
        <w:jc w:val="center"/>
        <w:rPr/>
      </w:pPr>
      <w:r>
        <w:rPr/>
        <w:t> </w:t>
      </w:r>
    </w:p>
    <w:p>
      <w:pPr>
        <w:pStyle w:val="TextBody"/>
        <w:bidi w:val="0"/>
        <w:spacing w:before="0" w:after="0"/>
        <w:jc w:val="center"/>
        <w:rPr>
          <w:rFonts w:ascii="Times New Roman;serif" w:hAnsi="Times New Roman;serif"/>
          <w:b/>
          <w:sz w:val="48"/>
        </w:rPr>
      </w:pPr>
      <w:r>
        <w:rPr>
          <w:rFonts w:ascii="Times New Roman;serif" w:hAnsi="Times New Roman;serif"/>
          <w:b/>
          <w:sz w:val="48"/>
        </w:rPr>
        <w:t>XOMETRY, INC.</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60" w:after="0"/>
        <w:jc w:val="center"/>
        <w:rPr/>
      </w:pPr>
      <w:r>
        <w:rPr/>
        <w:t> </w:t>
      </w:r>
    </w:p>
    <w:p>
      <w:pPr>
        <w:pStyle w:val="TextBody"/>
        <w:bidi w:val="0"/>
        <w:spacing w:before="0" w:after="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Delaware</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32-0415449</w:t>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bidi w:val="0"/>
              <w:spacing w:before="0" w:after="15"/>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18"/>
              </w:rPr>
              <w:t>6116 Executive Blvd</w:t>
            </w:r>
            <w:r>
              <w:rPr>
                <w:rFonts w:ascii="Times New Roman" w:hAnsi="Times New Roman"/>
                <w:sz w:val="20"/>
              </w:rPr>
              <w:t xml:space="preserve"> </w:t>
            </w:r>
          </w:p>
          <w:p>
            <w:pPr>
              <w:pStyle w:val="TableContents"/>
              <w:bidi w:val="0"/>
              <w:spacing w:before="0" w:after="0"/>
              <w:ind w:left="0" w:right="0" w:hanging="0"/>
              <w:jc w:val="center"/>
              <w:rPr>
                <w:rFonts w:ascii="Times New Roman" w:hAnsi="Times New Roman"/>
                <w:sz w:val="20"/>
              </w:rPr>
            </w:pPr>
            <w:r>
              <w:rPr>
                <w:rFonts w:ascii="Times New Roman;serif" w:hAnsi="Times New Roman;serif"/>
                <w:b/>
                <w:sz w:val="18"/>
              </w:rPr>
              <w:t>Suite 800</w:t>
            </w:r>
            <w:r>
              <w:rPr>
                <w:rFonts w:ascii="Times New Roman" w:hAnsi="Times New Roman"/>
                <w:sz w:val="20"/>
              </w:rPr>
              <w:t xml:space="preserve"> </w:t>
            </w:r>
          </w:p>
          <w:p>
            <w:pPr>
              <w:pStyle w:val="TableContents"/>
              <w:bidi w:val="0"/>
              <w:spacing w:before="0" w:after="0"/>
              <w:ind w:left="0" w:right="0" w:hanging="0"/>
              <w:jc w:val="center"/>
              <w:rPr>
                <w:rFonts w:ascii="Times New Roman" w:hAnsi="Times New Roman"/>
                <w:sz w:val="20"/>
              </w:rPr>
            </w:pPr>
            <w:r>
              <w:rPr>
                <w:rFonts w:ascii="Times New Roman;serif" w:hAnsi="Times New Roman;serif"/>
                <w:b/>
                <w:sz w:val="18"/>
              </w:rPr>
              <w:t>North Bethesda, MD</w:t>
            </w:r>
            <w:r>
              <w:rPr>
                <w:rFonts w:ascii="Times New Roman" w:hAnsi="Times New Roman"/>
                <w:sz w:val="20"/>
              </w:rPr>
              <w:t xml:space="preserve"> </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20852</w:t>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bidi w:val="0"/>
        <w:spacing w:before="80" w:after="0"/>
        <w:jc w:val="center"/>
        <w:rPr>
          <w:rFonts w:ascii="Times New Roman;serif" w:hAnsi="Times New Roman;serif"/>
          <w:b/>
          <w:sz w:val="20"/>
        </w:rPr>
      </w:pPr>
      <w:r>
        <w:rPr>
          <w:rFonts w:ascii="Times New Roman;serif" w:hAnsi="Times New Roman;serif"/>
          <w:b/>
          <w:sz w:val="20"/>
        </w:rPr>
        <w:t>Registrant’s telephone number, including area code: (240) 335-7914</w:t>
      </w:r>
    </w:p>
    <w:p>
      <w:pPr>
        <w:pStyle w:val="TextBody"/>
        <w:pBdr>
          <w:bottom w:val="single" w:sz="4" w:space="1" w:color="000000"/>
        </w:pBdr>
        <w:bidi w:val="0"/>
        <w:spacing w:before="60" w:after="0"/>
        <w:jc w:val="center"/>
        <w:rPr/>
      </w:pPr>
      <w:r>
        <w:rPr/>
        <w:t> </w:t>
      </w:r>
    </w:p>
    <w:p>
      <w:pPr>
        <w:pStyle w:val="TextBody"/>
        <w:bidi w:val="0"/>
        <w:spacing w:before="8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8440" w:type="dxa"/>
        <w:jc w:val="left"/>
        <w:tblInd w:w="0" w:type="dxa"/>
        <w:tblLayout w:type="fixed"/>
        <w:tblCellMar>
          <w:top w:w="28" w:type="dxa"/>
          <w:left w:w="28" w:type="dxa"/>
          <w:bottom w:w="28" w:type="dxa"/>
          <w:right w:w="28" w:type="dxa"/>
        </w:tblCellMar>
      </w:tblPr>
      <w:tblGrid>
        <w:gridCol w:w="4006"/>
        <w:gridCol w:w="146"/>
        <w:gridCol w:w="826"/>
        <w:gridCol w:w="146"/>
        <w:gridCol w:w="3316"/>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400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Class A common stock, par value $0.000001 per share</w:t>
            </w:r>
          </w:p>
        </w:tc>
        <w:tc>
          <w:tcPr>
            <w:tcW w:w="14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XMTR</w:t>
            </w:r>
          </w:p>
        </w:tc>
        <w:tc>
          <w:tcPr>
            <w:tcW w:w="146" w:type="dxa"/>
            <w:tcBorders/>
            <w:vAlign w:val="center"/>
          </w:tcPr>
          <w:p>
            <w:pPr>
              <w:pStyle w:val="TableContents"/>
              <w:bidi w:val="0"/>
              <w:spacing w:before="0" w:after="0"/>
              <w:ind w:left="0" w:right="0" w:hanging="0"/>
              <w:jc w:val="center"/>
              <w:rPr/>
            </w:pPr>
            <w:r>
              <w:rPr/>
              <w:t> </w:t>
            </w:r>
          </w:p>
        </w:tc>
        <w:tc>
          <w:tcPr>
            <w:tcW w:w="331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Global Select Market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8"/>
        </w:rPr>
      </w:pPr>
      <w:r>
        <w:rPr>
          <w:rFonts w:ascii="Times New Roman;serif" w:hAnsi="Times New Roman;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 No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8"/>
        </w:rPr>
        <w:t>As of August 1, 2023, the registrant had 45,292,345</w:t>
      </w:r>
      <w:r>
        <w:rPr>
          <w:rFonts w:ascii="Times New Roman" w:hAnsi="Times New Roman"/>
          <w:sz w:val="20"/>
        </w:rPr>
        <w:t xml:space="preserve"> </w:t>
      </w:r>
      <w:r>
        <w:rPr>
          <w:rFonts w:ascii="Times New Roman;serif" w:hAnsi="Times New Roman;serif"/>
          <w:b w:val="false"/>
          <w:sz w:val="18"/>
        </w:rPr>
        <w:t>shares of Class A common stock, $0.000001 par value per share, outstanding.</w:t>
      </w:r>
    </w:p>
    <w:p>
      <w:pPr>
        <w:pStyle w:val="TextBody"/>
        <w:pBdr>
          <w:bottom w:val="double" w:sz="6" w:space="1" w:color="000000"/>
        </w:pBdr>
        <w:bidi w:val="0"/>
        <w:spacing w:before="0" w:after="0"/>
        <w:jc w:val="left"/>
        <w:rPr/>
      </w:pPr>
      <w:r>
        <w:rPr/>
        <w:t> </w:t>
      </w:r>
    </w:p>
    <w:p>
      <w:pPr>
        <w:pStyle w:val="TextBody"/>
        <w:bidi w:val="0"/>
        <w:spacing w:before="0" w:after="0"/>
        <w:jc w:val="center"/>
        <w:rPr/>
      </w:pPr>
      <w:r>
        <w:rPr/>
        <w:t> </w:t>
      </w:r>
    </w:p>
    <w:p>
      <w:pPr>
        <w:pStyle w:val="TextBody"/>
        <w:bidi w:val="0"/>
        <w:spacing w:before="8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
              <w:r>
                <w:rPr>
                  <w:rStyle w:val="InternetLink"/>
                  <w:rFonts w:ascii="Times New Roman;serif" w:hAnsi="Times New Roman;serif"/>
                  <w:b w:val="false"/>
                  <w:sz w:val="20"/>
                  <w:u w:val="single"/>
                </w:rPr>
                <w:t>FINANCIAL INFORMATION</w:t>
              </w:r>
            </w:hyperlink>
          </w:p>
        </w:tc>
        <w:tc>
          <w:tcPr>
            <w:tcW w:w="5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1">
              <w:r>
                <w:rPr>
                  <w:rStyle w:val="InternetLink"/>
                  <w:rFonts w:ascii="Times New Roman;serif" w:hAnsi="Times New Roman;serif"/>
                  <w:b w:val="false"/>
                  <w:sz w:val="20"/>
                  <w:u w:val="single"/>
                </w:rPr>
                <w:t>Financial Statements (Unaudited)</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balance_sheet">
              <w:r>
                <w:rPr>
                  <w:rStyle w:val="InternetLink"/>
                  <w:rFonts w:ascii="Times New Roman;serif" w:hAnsi="Times New Roman;serif"/>
                  <w:b w:val="false"/>
                  <w:sz w:val="20"/>
                  <w:u w:val="single"/>
                </w:rPr>
                <w:t>Condensed Consolidated Balance Sheets (Unaudited)</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tatement_of_operations">
              <w:r>
                <w:rPr>
                  <w:rStyle w:val="InternetLink"/>
                  <w:rFonts w:ascii="Times New Roman;serif" w:hAnsi="Times New Roman;serif"/>
                  <w:b w:val="false"/>
                  <w:sz w:val="20"/>
                  <w:u w:val="single"/>
                </w:rPr>
                <w:t>Condensed Consolidated Statements of Operations and Comprehensive Loss (Unaudited)</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886"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tatements_of_equity">
              <w:r>
                <w:rPr>
                  <w:rStyle w:val="InternetLink"/>
                  <w:rFonts w:ascii="Times New Roman;serif" w:hAnsi="Times New Roman;serif"/>
                  <w:b w:val="false"/>
                  <w:sz w:val="20"/>
                  <w:u w:val="single"/>
                </w:rPr>
                <w:t>Condensed Consolidated Statements of Changes in Stockholders' Equity (Unaudited)</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ash_flows">
              <w:r>
                <w:rPr>
                  <w:rStyle w:val="InternetLink"/>
                  <w:rFonts w:ascii="Times New Roman;serif" w:hAnsi="Times New Roman;serif"/>
                  <w:b w:val="false"/>
                  <w:sz w:val="20"/>
                  <w:u w:val="single"/>
                </w:rPr>
                <w:t>Condensed Consolidated Statements of Cash Flows</w:t>
              </w:r>
            </w:hyperlink>
            <w:r>
              <w:rPr>
                <w:rFonts w:ascii="Times New Roman" w:hAnsi="Times New Roman"/>
                <w:sz w:val="20"/>
              </w:rPr>
              <w:t xml:space="preserve"> </w:t>
            </w:r>
            <w:hyperlink w:anchor="balance_sheet">
              <w:r>
                <w:rPr>
                  <w:rStyle w:val="InternetLink"/>
                  <w:rFonts w:ascii="Times New Roman;serif" w:hAnsi="Times New Roman;serif"/>
                  <w:b w:val="false"/>
                  <w:sz w:val="20"/>
                  <w:u w:val="single"/>
                </w:rPr>
                <w:t>(Unaudited)</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s_to_financial_statements">
              <w:r>
                <w:rPr>
                  <w:rStyle w:val="InternetLink"/>
                  <w:rFonts w:ascii="Times New Roman;serif" w:hAnsi="Times New Roman;serif"/>
                  <w:b w:val="false"/>
                  <w:sz w:val="20"/>
                  <w:u w:val="single"/>
                </w:rPr>
                <w:t>Notes to Condensed Consolidated Financial Statements (Unaudited)</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2">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3">
              <w:r>
                <w:rPr>
                  <w:rStyle w:val="InternetLink"/>
                  <w:rFonts w:ascii="Times New Roman;serif" w:hAnsi="Times New Roman;serif"/>
                  <w:b w:val="false"/>
                  <w:sz w:val="20"/>
                  <w:u w:val="single"/>
                </w:rPr>
                <w:t>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4">
              <w:r>
                <w:rPr>
                  <w:rStyle w:val="InternetLink"/>
                  <w:rFonts w:ascii="Times New Roman;serif" w:hAnsi="Times New Roman;serif"/>
                  <w:b w:val="false"/>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i">
              <w:r>
                <w:rPr>
                  <w:rStyle w:val="InternetLink"/>
                  <w:rFonts w:ascii="Times New Roman;serif" w:hAnsi="Times New Roman;serif"/>
                  <w:b w:val="false"/>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1">
              <w:r>
                <w:rPr>
                  <w:rStyle w:val="InternetLink"/>
                  <w:rFonts w:ascii="Times New Roman;serif" w:hAnsi="Times New Roman;serif"/>
                  <w:b w:val="false"/>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1a">
              <w:r>
                <w:rPr>
                  <w:rStyle w:val="InternetLink"/>
                  <w:rFonts w:ascii="Times New Roman;serif" w:hAnsi="Times New Roman;serif"/>
                  <w:b w:val="false"/>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2">
              <w:r>
                <w:rPr>
                  <w:rStyle w:val="InternetLink"/>
                  <w:rFonts w:ascii="Times New Roman;serif" w:hAnsi="Times New Roman;serif"/>
                  <w:b w:val="false"/>
                  <w:sz w:val="20"/>
                  <w:u w:val="single"/>
                </w:rPr>
                <w:t>Unregistered Sales of Equity Securities and Use of Proceeds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3">
              <w:r>
                <w:rPr>
                  <w:rStyle w:val="InternetLink"/>
                  <w:rFonts w:ascii="Times New Roman;serif" w:hAnsi="Times New Roman;serif"/>
                  <w:b w:val="false"/>
                  <w:sz w:val="20"/>
                  <w:u w:val="single"/>
                </w:rPr>
                <w:t>Defaults Upon Senior Securities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4">
              <w:r>
                <w:rPr>
                  <w:rStyle w:val="InternetLink"/>
                  <w:rFonts w:ascii="Times New Roman;serif" w:hAnsi="Times New Roman;serif"/>
                  <w:b w:val="false"/>
                  <w:sz w:val="20"/>
                  <w:u w:val="single"/>
                </w:rPr>
                <w:t>Mine Safety Disclosures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5">
              <w:r>
                <w:rPr>
                  <w:rStyle w:val="InternetLink"/>
                  <w:rFonts w:ascii="Times New Roman;serif" w:hAnsi="Times New Roman;serif"/>
                  <w:b w:val="false"/>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6">
              <w:r>
                <w:rPr>
                  <w:rStyle w:val="InternetLink"/>
                  <w:rFonts w:ascii="Times New Roman;serif" w:hAnsi="Times New Roman;serif"/>
                  <w:b w:val="false"/>
                  <w:sz w:val="20"/>
                  <w:u w:val="single"/>
                </w:rPr>
                <w:t>Exhibits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r>
      <w:tr>
        <w:trPr/>
        <w:tc>
          <w:tcPr>
            <w:tcW w:w="825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SPECIAL NOTE REGARDING FORWARD-LOOKING STATEMENTS</w:t>
      </w:r>
    </w:p>
    <w:p>
      <w:pPr>
        <w:pStyle w:val="TextBody"/>
        <w:bidi w:val="0"/>
        <w:spacing w:before="0" w:after="0"/>
        <w:jc w:val="center"/>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before="0" w:after="0"/>
        <w:jc w:val="left"/>
        <w:rPr/>
      </w:pPr>
      <w:r>
        <w:rPr/>
        <w:t> </w:t>
      </w:r>
    </w:p>
    <w:tbl>
      <w:tblPr>
        <w:tblW w:w="6837" w:type="dxa"/>
        <w:jc w:val="left"/>
        <w:tblInd w:w="0" w:type="dxa"/>
        <w:tblLayout w:type="fixed"/>
        <w:tblCellMar>
          <w:top w:w="28" w:type="dxa"/>
          <w:left w:w="28" w:type="dxa"/>
          <w:bottom w:w="28" w:type="dxa"/>
          <w:right w:w="28" w:type="dxa"/>
        </w:tblCellMar>
      </w:tblPr>
      <w:tblGrid>
        <w:gridCol w:w="161"/>
        <w:gridCol w:w="109"/>
        <w:gridCol w:w="146"/>
        <w:gridCol w:w="642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4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our expectations regarding our revenue, expenses and other operating results;</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78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 anticipated growth of our business, including our ability to effectively manage or sustain our growth and to achieve or sustain profitability;</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78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the effects of public health crises or other macroeconomic factors and geopolitical tension, such as those associated with Russia's invasion of Ukraine, which may lead to periods of global economic uncertainty;</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78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future investments in our business, our anticipated capital expenditures and our estimates regarding our capital requirements;</w:t>
            </w:r>
          </w:p>
        </w:tc>
      </w:tr>
    </w:tbl>
    <w:p>
      <w:pPr>
        <w:pStyle w:val="TextBody"/>
        <w:bidi w:val="0"/>
        <w:spacing w:before="0" w:after="0"/>
        <w:jc w:val="left"/>
        <w:rPr/>
      </w:pPr>
      <w:r>
        <w:rPr/>
        <w:t> </w:t>
      </w:r>
    </w:p>
    <w:tbl>
      <w:tblPr>
        <w:tblW w:w="9477" w:type="dxa"/>
        <w:jc w:val="left"/>
        <w:tblInd w:w="0" w:type="dxa"/>
        <w:tblLayout w:type="fixed"/>
        <w:tblCellMar>
          <w:top w:w="28" w:type="dxa"/>
          <w:left w:w="28" w:type="dxa"/>
          <w:bottom w:w="28" w:type="dxa"/>
          <w:right w:w="28" w:type="dxa"/>
        </w:tblCellMar>
      </w:tblPr>
      <w:tblGrid>
        <w:gridCol w:w="161"/>
        <w:gridCol w:w="109"/>
        <w:gridCol w:w="146"/>
        <w:gridCol w:w="906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our ability to attract new buyers and suppliers and successfully engage new and existing buyers and suppliers;</w:t>
            </w:r>
          </w:p>
        </w:tc>
      </w:tr>
    </w:tbl>
    <w:p>
      <w:pPr>
        <w:pStyle w:val="TextBody"/>
        <w:bidi w:val="0"/>
        <w:spacing w:before="0" w:after="0"/>
        <w:jc w:val="left"/>
        <w:rPr/>
      </w:pPr>
      <w:r>
        <w:rPr/>
        <w:t> </w:t>
      </w:r>
    </w:p>
    <w:tbl>
      <w:tblPr>
        <w:tblW w:w="8097" w:type="dxa"/>
        <w:jc w:val="left"/>
        <w:tblInd w:w="0" w:type="dxa"/>
        <w:tblLayout w:type="fixed"/>
        <w:tblCellMar>
          <w:top w:w="28" w:type="dxa"/>
          <w:left w:w="28" w:type="dxa"/>
          <w:bottom w:w="28" w:type="dxa"/>
          <w:right w:w="28" w:type="dxa"/>
        </w:tblCellMar>
      </w:tblPr>
      <w:tblGrid>
        <w:gridCol w:w="161"/>
        <w:gridCol w:w="109"/>
        <w:gridCol w:w="146"/>
        <w:gridCol w:w="768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 costs and success of our sales and marketing efforts, and our ability to promote our brand;</w:t>
            </w:r>
          </w:p>
        </w:tc>
      </w:tr>
    </w:tbl>
    <w:p>
      <w:pPr>
        <w:pStyle w:val="TextBody"/>
        <w:bidi w:val="0"/>
        <w:spacing w:before="0" w:after="0"/>
        <w:jc w:val="left"/>
        <w:rPr/>
      </w:pPr>
      <w:r>
        <w:rPr/>
        <w:t> </w:t>
      </w:r>
    </w:p>
    <w:tbl>
      <w:tblPr>
        <w:tblW w:w="8082" w:type="dxa"/>
        <w:jc w:val="left"/>
        <w:tblInd w:w="0" w:type="dxa"/>
        <w:tblLayout w:type="fixed"/>
        <w:tblCellMar>
          <w:top w:w="28" w:type="dxa"/>
          <w:left w:w="28" w:type="dxa"/>
          <w:bottom w:w="28" w:type="dxa"/>
          <w:right w:w="28" w:type="dxa"/>
        </w:tblCellMar>
      </w:tblPr>
      <w:tblGrid>
        <w:gridCol w:w="161"/>
        <w:gridCol w:w="109"/>
        <w:gridCol w:w="146"/>
        <w:gridCol w:w="766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our reliance on key personnel and our ability to identify, recruit and retain skilled personnel;</w:t>
            </w:r>
          </w:p>
        </w:tc>
      </w:tr>
    </w:tbl>
    <w:p>
      <w:pPr>
        <w:pStyle w:val="TextBody"/>
        <w:bidi w:val="0"/>
        <w:spacing w:before="0" w:after="0"/>
        <w:jc w:val="left"/>
        <w:rPr/>
      </w:pPr>
      <w:r>
        <w:rPr/>
        <w:t> </w:t>
      </w:r>
    </w:p>
    <w:tbl>
      <w:tblPr>
        <w:tblW w:w="7422" w:type="dxa"/>
        <w:jc w:val="left"/>
        <w:tblInd w:w="0" w:type="dxa"/>
        <w:tblLayout w:type="fixed"/>
        <w:tblCellMar>
          <w:top w:w="28" w:type="dxa"/>
          <w:left w:w="28" w:type="dxa"/>
          <w:bottom w:w="28" w:type="dxa"/>
          <w:right w:w="28" w:type="dxa"/>
        </w:tblCellMar>
      </w:tblPr>
      <w:tblGrid>
        <w:gridCol w:w="161"/>
        <w:gridCol w:w="109"/>
        <w:gridCol w:w="146"/>
        <w:gridCol w:w="700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0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our ability to effectively manage our growth, including any international expansion;</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78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our ability to obtain, maintain, protect and enforce our intellectual property or other proprietary rights and any costs associated therewith;</w:t>
            </w:r>
          </w:p>
        </w:tc>
      </w:tr>
    </w:tbl>
    <w:p>
      <w:pPr>
        <w:pStyle w:val="TextBody"/>
        <w:bidi w:val="0"/>
        <w:spacing w:before="0" w:after="0"/>
        <w:jc w:val="left"/>
        <w:rPr/>
      </w:pPr>
      <w:r>
        <w:rPr/>
        <w:t> </w:t>
      </w:r>
    </w:p>
    <w:tbl>
      <w:tblPr>
        <w:tblW w:w="9267" w:type="dxa"/>
        <w:jc w:val="left"/>
        <w:tblInd w:w="0" w:type="dxa"/>
        <w:tblLayout w:type="fixed"/>
        <w:tblCellMar>
          <w:top w:w="28" w:type="dxa"/>
          <w:left w:w="28" w:type="dxa"/>
          <w:bottom w:w="28" w:type="dxa"/>
          <w:right w:w="28" w:type="dxa"/>
        </w:tblCellMar>
      </w:tblPr>
      <w:tblGrid>
        <w:gridCol w:w="161"/>
        <w:gridCol w:w="109"/>
        <w:gridCol w:w="146"/>
        <w:gridCol w:w="885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8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our ability to effectively manage our costs and expenses, which may be impacted by inflationary pressures;</w:t>
            </w:r>
            <w:r>
              <w:rPr>
                <w:rFonts w:ascii="Times New Roman" w:hAnsi="Times New Roman"/>
                <w:sz w:val="20"/>
              </w:rPr>
              <w:t xml:space="preserve"> </w:t>
            </w:r>
          </w:p>
        </w:tc>
      </w:tr>
    </w:tbl>
    <w:p>
      <w:pPr>
        <w:pStyle w:val="TextBody"/>
        <w:bidi w:val="0"/>
        <w:spacing w:before="0" w:after="0"/>
        <w:jc w:val="left"/>
        <w:rPr/>
      </w:pPr>
      <w:r>
        <w:rPr/>
        <w:t> </w:t>
      </w:r>
    </w:p>
    <w:tbl>
      <w:tblPr>
        <w:tblW w:w="7812" w:type="dxa"/>
        <w:jc w:val="left"/>
        <w:tblInd w:w="0" w:type="dxa"/>
        <w:tblLayout w:type="fixed"/>
        <w:tblCellMar>
          <w:top w:w="28" w:type="dxa"/>
          <w:left w:w="28" w:type="dxa"/>
          <w:bottom w:w="28" w:type="dxa"/>
          <w:right w:w="28" w:type="dxa"/>
        </w:tblCellMar>
      </w:tblPr>
      <w:tblGrid>
        <w:gridCol w:w="161"/>
        <w:gridCol w:w="109"/>
        <w:gridCol w:w="146"/>
        <w:gridCol w:w="739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our ability to compete effectively with existing competitors and new market entrants; and</w:t>
            </w:r>
          </w:p>
        </w:tc>
      </w:tr>
    </w:tbl>
    <w:p>
      <w:pPr>
        <w:pStyle w:val="TextBody"/>
        <w:bidi w:val="0"/>
        <w:spacing w:before="0" w:after="0"/>
        <w:jc w:val="left"/>
        <w:rPr/>
      </w:pPr>
      <w:r>
        <w:rPr/>
        <w:t> </w:t>
      </w:r>
    </w:p>
    <w:tbl>
      <w:tblPr>
        <w:tblW w:w="4842" w:type="dxa"/>
        <w:jc w:val="left"/>
        <w:tblInd w:w="0" w:type="dxa"/>
        <w:tblLayout w:type="fixed"/>
        <w:tblCellMar>
          <w:top w:w="28" w:type="dxa"/>
          <w:left w:w="28" w:type="dxa"/>
          <w:bottom w:w="28" w:type="dxa"/>
          <w:right w:w="28" w:type="dxa"/>
        </w:tblCellMar>
      </w:tblPr>
      <w:tblGrid>
        <w:gridCol w:w="161"/>
        <w:gridCol w:w="109"/>
        <w:gridCol w:w="146"/>
        <w:gridCol w:w="442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4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 growth rates of the markets in which we compete.</w:t>
            </w:r>
          </w:p>
        </w:tc>
      </w:tr>
    </w:tbl>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You should not rely on forward-looking statements as predictions of future events. We have based the forward-looking statements contained in this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Part II, Item 1A, and elsewhere in this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statements that “we believe” and similar statements reflect our beliefs and opinions on the relevant subject. These statements are based on information available to us as of the date of this Form 10-Q.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forward-looking statements made in this Form 10-Q relate only to events as of the date on which the statements are made. We undertake no obligation to update any forward-looking statements made in this Form 10-Q to reflect events or circumstances after the date of this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ii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 w:name="part_i"/>
      <w:bookmarkEnd w:id="2"/>
      <w:r>
        <w:rPr>
          <w:rFonts w:ascii="Times New Roman;serif" w:hAnsi="Times New Roman;serif"/>
          <w:b/>
          <w:sz w:val="20"/>
        </w:rPr>
        <w:t>PART I—FINANCIAL INFORMATION</w:t>
      </w:r>
    </w:p>
    <w:p>
      <w:pPr>
        <w:pStyle w:val="TextBody"/>
        <w:bidi w:val="0"/>
        <w:spacing w:before="120" w:after="0"/>
        <w:jc w:val="left"/>
        <w:rPr>
          <w:rFonts w:ascii="Times New Roman;serif" w:hAnsi="Times New Roman;serif"/>
          <w:b/>
          <w:sz w:val="20"/>
        </w:rPr>
      </w:pPr>
      <w:bookmarkStart w:id="3" w:name="i_item1"/>
      <w:bookmarkEnd w:id="3"/>
      <w:r>
        <w:rPr>
          <w:rFonts w:ascii="Times New Roman;serif" w:hAnsi="Times New Roman;serif"/>
          <w:b/>
          <w:sz w:val="20"/>
        </w:rPr>
        <w:t>Item 1. Financial Statements.</w:t>
      </w:r>
    </w:p>
    <w:p>
      <w:pPr>
        <w:pStyle w:val="TextBody"/>
        <w:bidi w:val="0"/>
        <w:spacing w:before="120" w:after="0"/>
        <w:jc w:val="center"/>
        <w:rPr>
          <w:rFonts w:ascii="Times New Roman" w:hAnsi="Times New Roman"/>
          <w:sz w:val="20"/>
        </w:rPr>
      </w:pPr>
      <w:r>
        <w:rPr>
          <w:rFonts w:ascii="Times New Roman;serif" w:hAnsi="Times New Roman;serif"/>
          <w:b/>
          <w:sz w:val="20"/>
        </w:rPr>
        <w:t>XOMETRY, INC.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4" w:name="fin120843_2"/>
      <w:bookmarkEnd w:id="4"/>
      <w:r>
        <w:rPr>
          <w:rFonts w:ascii="Times New Roman;serif" w:hAnsi="Times New Roman;serif"/>
          <w:b w:val="false"/>
          <w:sz w:val="20"/>
        </w:rPr>
        <w:t xml:space="preserve">Condensed Consolidated </w:t>
      </w:r>
      <w:bookmarkStart w:id="5" w:name="balance_sheet"/>
      <w:bookmarkEnd w:id="5"/>
      <w:r>
        <w:rPr>
          <w:rFonts w:ascii="Times New Roman;serif" w:hAnsi="Times New Roman;serif"/>
          <w:b w:val="false"/>
          <w:sz w:val="20"/>
        </w:rPr>
        <w:t>Balance Sheets (Unaudited)</w:t>
      </w:r>
    </w:p>
    <w:p>
      <w:pPr>
        <w:pStyle w:val="TextBody"/>
        <w:bidi w:val="0"/>
        <w:spacing w:before="0" w:after="0"/>
        <w:jc w:val="center"/>
        <w:rPr>
          <w:rFonts w:ascii="Times New Roman" w:hAnsi="Times New Roman"/>
          <w:sz w:val="20"/>
        </w:rPr>
      </w:pPr>
      <w:r>
        <w:rPr>
          <w:rFonts w:ascii="Times New Roman;serif" w:hAnsi="Times New Roman;serif"/>
          <w:b w:val="false"/>
          <w:sz w:val="20"/>
        </w:rPr>
        <w:t>(In thousands, except share and per share data)</w:t>
      </w:r>
      <w:r>
        <w:rPr>
          <w:rFonts w:ascii="Times New Roman" w:hAnsi="Times New Roman"/>
          <w:sz w:val="20"/>
        </w:rPr>
        <w:t xml:space="preserve"> </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7196"/>
        <w:gridCol w:w="146"/>
        <w:gridCol w:w="196"/>
        <w:gridCol w:w="751"/>
        <w:gridCol w:w="166"/>
        <w:gridCol w:w="146"/>
        <w:gridCol w:w="209"/>
        <w:gridCol w:w="803"/>
        <w:gridCol w:w="592"/>
      </w:tblGrid>
      <w:tr>
        <w:trPr/>
        <w:tc>
          <w:tcPr>
            <w:tcW w:w="7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7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71" w:type="dxa"/>
            <w:gridSpan w:val="6"/>
            <w:tcBorders/>
            <w:vAlign w:val="center"/>
          </w:tcPr>
          <w:p>
            <w:pPr>
              <w:pStyle w:val="TableContents"/>
              <w:bidi w:val="0"/>
              <w:spacing w:before="0" w:after="0"/>
              <w:ind w:left="0" w:right="0" w:hanging="0"/>
              <w:jc w:val="center"/>
              <w:rPr/>
            </w:pPr>
            <w:r>
              <w:rPr/>
              <w:t> </w:t>
            </w:r>
          </w:p>
        </w:tc>
        <w:tc>
          <w:tcPr>
            <w:tcW w:w="592" w:type="dxa"/>
            <w:tcBorders/>
            <w:vAlign w:val="center"/>
          </w:tcPr>
          <w:p>
            <w:pPr>
              <w:pStyle w:val="TableContents"/>
              <w:bidi w:val="0"/>
              <w:spacing w:before="0" w:after="0"/>
              <w:ind w:left="0" w:right="0" w:hanging="0"/>
              <w:jc w:val="center"/>
              <w:rPr/>
            </w:pPr>
            <w:r>
              <w:rPr/>
              <w:t> </w:t>
            </w:r>
          </w:p>
        </w:tc>
      </w:tr>
      <w:tr>
        <w:trPr/>
        <w:tc>
          <w:tcPr>
            <w:tcW w:w="719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Assets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2" w:type="dxa"/>
            <w:gridSpan w:val="2"/>
            <w:tcBorders/>
            <w:vAlign w:val="center"/>
          </w:tcPr>
          <w:p>
            <w:pPr>
              <w:pStyle w:val="TableContents"/>
              <w:bidi w:val="0"/>
              <w:spacing w:before="0" w:after="0"/>
              <w:ind w:left="0" w:right="0" w:hanging="0"/>
              <w:jc w:val="right"/>
              <w:rPr/>
            </w:pPr>
            <w:r>
              <w:rPr/>
              <w:t> </w:t>
            </w:r>
          </w:p>
        </w:tc>
        <w:tc>
          <w:tcPr>
            <w:tcW w:w="592" w:type="dxa"/>
            <w:tcBorders/>
            <w:vAlign w:val="center"/>
          </w:tcPr>
          <w:p>
            <w:pPr>
              <w:pStyle w:val="TableContents"/>
              <w:bidi w:val="0"/>
              <w:spacing w:before="0" w:after="0"/>
              <w:ind w:left="0" w:right="0" w:hanging="0"/>
              <w:jc w:val="right"/>
              <w:rPr/>
            </w:pPr>
            <w:r>
              <w:rPr/>
              <w:t> </w:t>
            </w:r>
          </w:p>
        </w:tc>
      </w:tr>
      <w:tr>
        <w:trPr/>
        <w:tc>
          <w:tcPr>
            <w:tcW w:w="719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Current assets: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2" w:type="dxa"/>
            <w:gridSpan w:val="2"/>
            <w:tcBorders/>
            <w:vAlign w:val="center"/>
          </w:tcPr>
          <w:p>
            <w:pPr>
              <w:pStyle w:val="TableContents"/>
              <w:bidi w:val="0"/>
              <w:spacing w:before="0" w:after="0"/>
              <w:ind w:left="0" w:right="0" w:hanging="0"/>
              <w:jc w:val="right"/>
              <w:rPr/>
            </w:pPr>
            <w:r>
              <w:rPr/>
              <w:t> </w:t>
            </w:r>
          </w:p>
        </w:tc>
        <w:tc>
          <w:tcPr>
            <w:tcW w:w="592" w:type="dxa"/>
            <w:tcBorders/>
            <w:vAlign w:val="center"/>
          </w:tcPr>
          <w:p>
            <w:pPr>
              <w:pStyle w:val="TableContents"/>
              <w:bidi w:val="0"/>
              <w:spacing w:before="0" w:after="0"/>
              <w:ind w:left="0" w:right="0" w:firstLine="200"/>
              <w:jc w:val="right"/>
              <w:rPr/>
            </w:pPr>
            <w:r>
              <w:rPr/>
              <w:t> </w:t>
            </w:r>
          </w:p>
        </w:tc>
      </w:tr>
      <w:tr>
        <w:trPr/>
        <w:tc>
          <w:tcPr>
            <w:tcW w:w="71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Cash and cash equivalents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56,738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65,662</w:t>
            </w:r>
          </w:p>
        </w:tc>
        <w:tc>
          <w:tcPr>
            <w:tcW w:w="592" w:type="dxa"/>
            <w:tcBorders/>
            <w:vAlign w:val="center"/>
          </w:tcPr>
          <w:p>
            <w:pPr>
              <w:pStyle w:val="TableContents"/>
              <w:bidi w:val="0"/>
              <w:spacing w:before="0" w:after="0"/>
              <w:ind w:left="0" w:right="0" w:firstLine="200"/>
              <w:jc w:val="left"/>
              <w:rPr/>
            </w:pPr>
            <w:r>
              <w:rPr/>
              <w:t> </w:t>
            </w:r>
          </w:p>
        </w:tc>
      </w:tr>
      <w:tr>
        <w:trPr/>
        <w:tc>
          <w:tcPr>
            <w:tcW w:w="71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Marketable securities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229,411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253,770</w:t>
            </w:r>
          </w:p>
        </w:tc>
        <w:tc>
          <w:tcPr>
            <w:tcW w:w="592" w:type="dxa"/>
            <w:tcBorders/>
            <w:vAlign w:val="center"/>
          </w:tcPr>
          <w:p>
            <w:pPr>
              <w:pStyle w:val="TableContents"/>
              <w:bidi w:val="0"/>
              <w:spacing w:before="0" w:after="0"/>
              <w:ind w:left="0" w:right="0" w:firstLine="200"/>
              <w:jc w:val="left"/>
              <w:rPr/>
            </w:pPr>
            <w:r>
              <w:rPr/>
              <w:t> </w:t>
            </w:r>
          </w:p>
        </w:tc>
      </w:tr>
      <w:tr>
        <w:trPr/>
        <w:tc>
          <w:tcPr>
            <w:tcW w:w="719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6"/>
              </w:rPr>
              <w:t>Accounts receivable, less allowance for credit losses of $2.0</w:t>
            </w:r>
            <w:r>
              <w:rPr>
                <w:rFonts w:ascii="Times New Roman" w:hAnsi="Times New Roman"/>
                <w:sz w:val="20"/>
              </w:rPr>
              <w:t> </w:t>
            </w:r>
            <w:r>
              <w:rPr>
                <w:rFonts w:ascii="Times New Roman;serif" w:hAnsi="Times New Roman;serif"/>
                <w:b w:val="false"/>
                <w:sz w:val="16"/>
              </w:rPr>
              <w:t>million and $2.0</w:t>
            </w:r>
            <w:r>
              <w:rPr>
                <w:rFonts w:ascii="Times New Roman" w:hAnsi="Times New Roman"/>
                <w:sz w:val="20"/>
              </w:rPr>
              <w:t> </w:t>
            </w:r>
            <w:r>
              <w:rPr>
                <w:rFonts w:ascii="Times New Roman;serif" w:hAnsi="Times New Roman;serif"/>
                <w:b w:val="false"/>
                <w:sz w:val="16"/>
              </w:rPr>
              <w:t>million as of June 30, 2023 and December 31, 2022</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57,658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49,188</w:t>
            </w:r>
          </w:p>
        </w:tc>
        <w:tc>
          <w:tcPr>
            <w:tcW w:w="592" w:type="dxa"/>
            <w:tcBorders/>
            <w:vAlign w:val="center"/>
          </w:tcPr>
          <w:p>
            <w:pPr>
              <w:pStyle w:val="TableContents"/>
              <w:bidi w:val="0"/>
              <w:spacing w:before="0" w:after="0"/>
              <w:ind w:left="0" w:right="0" w:firstLine="200"/>
              <w:jc w:val="left"/>
              <w:rPr/>
            </w:pPr>
            <w:r>
              <w:rPr/>
              <w:t> </w:t>
            </w:r>
          </w:p>
        </w:tc>
      </w:tr>
      <w:tr>
        <w:trPr/>
        <w:tc>
          <w:tcPr>
            <w:tcW w:w="71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Inventory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1,571</w:t>
            </w:r>
          </w:p>
        </w:tc>
        <w:tc>
          <w:tcPr>
            <w:tcW w:w="592" w:type="dxa"/>
            <w:tcBorders/>
            <w:vAlign w:val="center"/>
          </w:tcPr>
          <w:p>
            <w:pPr>
              <w:pStyle w:val="TableContents"/>
              <w:bidi w:val="0"/>
              <w:spacing w:before="0" w:after="0"/>
              <w:ind w:left="0" w:right="0" w:firstLine="200"/>
              <w:jc w:val="left"/>
              <w:rPr/>
            </w:pPr>
            <w:r>
              <w:rPr/>
              <w:t> </w:t>
            </w:r>
          </w:p>
        </w:tc>
      </w:tr>
      <w:tr>
        <w:trPr/>
        <w:tc>
          <w:tcPr>
            <w:tcW w:w="71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Prepaid expenses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7,591</w:t>
            </w:r>
          </w:p>
        </w:tc>
        <w:tc>
          <w:tcPr>
            <w:tcW w:w="592" w:type="dxa"/>
            <w:tcBorders/>
            <w:vAlign w:val="center"/>
          </w:tcPr>
          <w:p>
            <w:pPr>
              <w:pStyle w:val="TableContents"/>
              <w:bidi w:val="0"/>
              <w:spacing w:before="0" w:after="0"/>
              <w:ind w:left="0" w:right="0" w:firstLine="200"/>
              <w:jc w:val="left"/>
              <w:rPr/>
            </w:pPr>
            <w:r>
              <w:rPr/>
              <w:t> </w:t>
            </w:r>
          </w:p>
        </w:tc>
      </w:tr>
      <w:tr>
        <w:trPr/>
        <w:tc>
          <w:tcPr>
            <w:tcW w:w="71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current assets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12,273</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196" w:type="dxa"/>
            <w:tcBorders/>
            <w:vAlign w:val="center"/>
          </w:tcPr>
          <w:p>
            <w:pPr>
              <w:pStyle w:val="TableContents"/>
              <w:bidi w:val="0"/>
              <w:spacing w:before="0" w:after="0"/>
              <w:ind w:left="400" w:right="0" w:hanging="0"/>
              <w:jc w:val="left"/>
              <w:rPr>
                <w:rFonts w:ascii="Times New Roman;serif" w:hAnsi="Times New Roman;serif"/>
                <w:b/>
                <w:sz w:val="16"/>
              </w:rPr>
            </w:pPr>
            <w:r>
              <w:rPr>
                <w:rFonts w:ascii="Times New Roman;serif" w:hAnsi="Times New Roman;serif"/>
                <w:b/>
                <w:sz w:val="16"/>
              </w:rPr>
              <w:t>Total current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364,802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390,055</w:t>
            </w:r>
          </w:p>
        </w:tc>
        <w:tc>
          <w:tcPr>
            <w:tcW w:w="592" w:type="dxa"/>
            <w:tcBorders/>
            <w:vAlign w:val="center"/>
          </w:tcPr>
          <w:p>
            <w:pPr>
              <w:pStyle w:val="TableContents"/>
              <w:bidi w:val="0"/>
              <w:spacing w:before="0" w:after="0"/>
              <w:ind w:left="0" w:right="0" w:firstLine="200"/>
              <w:jc w:val="left"/>
              <w:rPr/>
            </w:pPr>
            <w:r>
              <w:rPr/>
              <w:t> </w:t>
            </w:r>
          </w:p>
        </w:tc>
      </w:tr>
      <w:tr>
        <w:trPr/>
        <w:tc>
          <w:tcPr>
            <w:tcW w:w="71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Property and equipment, net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23,990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19,079</w:t>
            </w:r>
          </w:p>
        </w:tc>
        <w:tc>
          <w:tcPr>
            <w:tcW w:w="592" w:type="dxa"/>
            <w:tcBorders/>
            <w:vAlign w:val="center"/>
          </w:tcPr>
          <w:p>
            <w:pPr>
              <w:pStyle w:val="TableContents"/>
              <w:bidi w:val="0"/>
              <w:spacing w:before="0" w:after="0"/>
              <w:ind w:left="0" w:right="0" w:firstLine="200"/>
              <w:jc w:val="left"/>
              <w:rPr/>
            </w:pPr>
            <w:r>
              <w:rPr/>
              <w:t> </w:t>
            </w:r>
          </w:p>
        </w:tc>
      </w:tr>
      <w:tr>
        <w:trPr/>
        <w:tc>
          <w:tcPr>
            <w:tcW w:w="71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14,401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25,923</w:t>
            </w:r>
          </w:p>
        </w:tc>
        <w:tc>
          <w:tcPr>
            <w:tcW w:w="592" w:type="dxa"/>
            <w:tcBorders/>
            <w:vAlign w:val="center"/>
          </w:tcPr>
          <w:p>
            <w:pPr>
              <w:pStyle w:val="TableContents"/>
              <w:bidi w:val="0"/>
              <w:spacing w:before="0" w:after="0"/>
              <w:ind w:left="0" w:right="0" w:firstLine="200"/>
              <w:jc w:val="left"/>
              <w:rPr/>
            </w:pPr>
            <w:r>
              <w:rPr/>
              <w:t> </w:t>
            </w:r>
          </w:p>
        </w:tc>
      </w:tr>
      <w:tr>
        <w:trPr/>
        <w:tc>
          <w:tcPr>
            <w:tcW w:w="71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Investment in unconsolidated joint venture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4,068</w:t>
            </w:r>
          </w:p>
        </w:tc>
        <w:tc>
          <w:tcPr>
            <w:tcW w:w="592" w:type="dxa"/>
            <w:tcBorders/>
            <w:vAlign w:val="center"/>
          </w:tcPr>
          <w:p>
            <w:pPr>
              <w:pStyle w:val="TableContents"/>
              <w:bidi w:val="0"/>
              <w:spacing w:before="0" w:after="0"/>
              <w:ind w:left="0" w:right="0" w:firstLine="200"/>
              <w:jc w:val="left"/>
              <w:rPr/>
            </w:pPr>
            <w:r>
              <w:rPr/>
              <w:t> </w:t>
            </w:r>
          </w:p>
        </w:tc>
      </w:tr>
      <w:tr>
        <w:trPr/>
        <w:tc>
          <w:tcPr>
            <w:tcW w:w="71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Intangible assets, net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37,589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39,351</w:t>
            </w:r>
          </w:p>
        </w:tc>
        <w:tc>
          <w:tcPr>
            <w:tcW w:w="592" w:type="dxa"/>
            <w:tcBorders/>
            <w:vAlign w:val="center"/>
          </w:tcPr>
          <w:p>
            <w:pPr>
              <w:pStyle w:val="TableContents"/>
              <w:bidi w:val="0"/>
              <w:spacing w:before="0" w:after="0"/>
              <w:ind w:left="0" w:right="0" w:firstLine="200"/>
              <w:jc w:val="left"/>
              <w:rPr/>
            </w:pPr>
            <w:r>
              <w:rPr/>
              <w:t> </w:t>
            </w:r>
          </w:p>
        </w:tc>
      </w:tr>
      <w:tr>
        <w:trPr/>
        <w:tc>
          <w:tcPr>
            <w:tcW w:w="71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Goodwill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263,002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258,036</w:t>
            </w:r>
          </w:p>
        </w:tc>
        <w:tc>
          <w:tcPr>
            <w:tcW w:w="592" w:type="dxa"/>
            <w:tcBorders/>
            <w:vAlign w:val="center"/>
          </w:tcPr>
          <w:p>
            <w:pPr>
              <w:pStyle w:val="TableContents"/>
              <w:bidi w:val="0"/>
              <w:spacing w:before="0" w:after="0"/>
              <w:ind w:left="0" w:right="0" w:firstLine="200"/>
              <w:jc w:val="left"/>
              <w:rPr/>
            </w:pPr>
            <w:r>
              <w:rPr/>
              <w:t> </w:t>
            </w:r>
          </w:p>
        </w:tc>
      </w:tr>
      <w:tr>
        <w:trPr/>
        <w:tc>
          <w:tcPr>
            <w:tcW w:w="71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assets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413</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196" w:type="dxa"/>
            <w:tcBorders/>
            <w:vAlign w:val="center"/>
          </w:tcPr>
          <w:p>
            <w:pPr>
              <w:pStyle w:val="TableContents"/>
              <w:bidi w:val="0"/>
              <w:spacing w:before="0" w:after="0"/>
              <w:ind w:left="400" w:right="0" w:hanging="0"/>
              <w:jc w:val="left"/>
              <w:rPr>
                <w:rFonts w:ascii="Times New Roman;serif" w:hAnsi="Times New Roman;serif"/>
                <w:b/>
                <w:sz w:val="16"/>
              </w:rPr>
            </w:pPr>
            <w:r>
              <w:rPr>
                <w:rFonts w:ascii="Times New Roman;serif" w:hAnsi="Times New Roman;serif"/>
                <w:b/>
                <w:sz w:val="16"/>
              </w:rPr>
              <w:t>Total assets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708,482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736,925</w:t>
            </w:r>
          </w:p>
        </w:tc>
        <w:tc>
          <w:tcPr>
            <w:tcW w:w="5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19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2" w:type="dxa"/>
            <w:gridSpan w:val="2"/>
            <w:tcBorders/>
            <w:vAlign w:val="center"/>
          </w:tcPr>
          <w:p>
            <w:pPr>
              <w:pStyle w:val="TableContents"/>
              <w:bidi w:val="0"/>
              <w:spacing w:before="0" w:after="0"/>
              <w:ind w:left="0" w:right="0" w:hanging="0"/>
              <w:jc w:val="right"/>
              <w:rPr/>
            </w:pPr>
            <w:r>
              <w:rPr/>
              <w:t> </w:t>
            </w:r>
          </w:p>
        </w:tc>
        <w:tc>
          <w:tcPr>
            <w:tcW w:w="592" w:type="dxa"/>
            <w:tcBorders/>
            <w:vAlign w:val="center"/>
          </w:tcPr>
          <w:p>
            <w:pPr>
              <w:pStyle w:val="TableContents"/>
              <w:bidi w:val="0"/>
              <w:spacing w:before="0" w:after="0"/>
              <w:ind w:left="0" w:right="0" w:hanging="0"/>
              <w:jc w:val="right"/>
              <w:rPr/>
            </w:pPr>
            <w:r>
              <w:rPr/>
              <w:t> </w:t>
            </w:r>
          </w:p>
        </w:tc>
      </w:tr>
      <w:tr>
        <w:trPr/>
        <w:tc>
          <w:tcPr>
            <w:tcW w:w="719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Current liabilities: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2" w:type="dxa"/>
            <w:gridSpan w:val="2"/>
            <w:tcBorders/>
            <w:vAlign w:val="center"/>
          </w:tcPr>
          <w:p>
            <w:pPr>
              <w:pStyle w:val="TableContents"/>
              <w:bidi w:val="0"/>
              <w:spacing w:before="0" w:after="0"/>
              <w:ind w:left="0" w:right="0" w:hanging="0"/>
              <w:jc w:val="right"/>
              <w:rPr/>
            </w:pPr>
            <w:r>
              <w:rPr/>
              <w:t> </w:t>
            </w:r>
          </w:p>
        </w:tc>
        <w:tc>
          <w:tcPr>
            <w:tcW w:w="592" w:type="dxa"/>
            <w:tcBorders/>
            <w:vAlign w:val="center"/>
          </w:tcPr>
          <w:p>
            <w:pPr>
              <w:pStyle w:val="TableContents"/>
              <w:bidi w:val="0"/>
              <w:spacing w:before="0" w:after="0"/>
              <w:ind w:left="0" w:right="0" w:firstLine="200"/>
              <w:jc w:val="right"/>
              <w:rPr/>
            </w:pPr>
            <w:r>
              <w:rPr/>
              <w:t> </w:t>
            </w:r>
          </w:p>
        </w:tc>
      </w:tr>
      <w:tr>
        <w:trPr/>
        <w:tc>
          <w:tcPr>
            <w:tcW w:w="71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Accounts payable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12,592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12,437</w:t>
            </w:r>
          </w:p>
        </w:tc>
        <w:tc>
          <w:tcPr>
            <w:tcW w:w="592" w:type="dxa"/>
            <w:tcBorders/>
            <w:vAlign w:val="center"/>
          </w:tcPr>
          <w:p>
            <w:pPr>
              <w:pStyle w:val="TableContents"/>
              <w:bidi w:val="0"/>
              <w:spacing w:before="0" w:after="0"/>
              <w:ind w:left="0" w:right="0" w:firstLine="200"/>
              <w:jc w:val="left"/>
              <w:rPr/>
            </w:pPr>
            <w:r>
              <w:rPr/>
              <w:t> </w:t>
            </w:r>
          </w:p>
        </w:tc>
      </w:tr>
      <w:tr>
        <w:trPr/>
        <w:tc>
          <w:tcPr>
            <w:tcW w:w="71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Accrued expenses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37,136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33,430</w:t>
            </w:r>
          </w:p>
        </w:tc>
        <w:tc>
          <w:tcPr>
            <w:tcW w:w="592" w:type="dxa"/>
            <w:tcBorders/>
            <w:vAlign w:val="center"/>
          </w:tcPr>
          <w:p>
            <w:pPr>
              <w:pStyle w:val="TableContents"/>
              <w:bidi w:val="0"/>
              <w:spacing w:before="0" w:after="0"/>
              <w:ind w:left="0" w:right="0" w:firstLine="200"/>
              <w:jc w:val="left"/>
              <w:rPr/>
            </w:pPr>
            <w:r>
              <w:rPr/>
              <w:t> </w:t>
            </w:r>
          </w:p>
        </w:tc>
      </w:tr>
      <w:tr>
        <w:trPr/>
        <w:tc>
          <w:tcPr>
            <w:tcW w:w="71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Contract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9,999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8,509</w:t>
            </w:r>
          </w:p>
        </w:tc>
        <w:tc>
          <w:tcPr>
            <w:tcW w:w="592" w:type="dxa"/>
            <w:tcBorders/>
            <w:vAlign w:val="center"/>
          </w:tcPr>
          <w:p>
            <w:pPr>
              <w:pStyle w:val="TableContents"/>
              <w:bidi w:val="0"/>
              <w:spacing w:before="0" w:after="0"/>
              <w:ind w:left="0" w:right="0" w:firstLine="200"/>
              <w:jc w:val="left"/>
              <w:rPr/>
            </w:pPr>
            <w:r>
              <w:rPr/>
              <w:t> </w:t>
            </w:r>
          </w:p>
        </w:tc>
      </w:tr>
      <w:tr>
        <w:trPr/>
        <w:tc>
          <w:tcPr>
            <w:tcW w:w="71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Income taxes payable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3,956</w:t>
            </w:r>
          </w:p>
        </w:tc>
        <w:tc>
          <w:tcPr>
            <w:tcW w:w="592" w:type="dxa"/>
            <w:tcBorders/>
            <w:vAlign w:val="center"/>
          </w:tcPr>
          <w:p>
            <w:pPr>
              <w:pStyle w:val="TableContents"/>
              <w:bidi w:val="0"/>
              <w:spacing w:before="0" w:after="0"/>
              <w:ind w:left="0" w:right="0" w:firstLine="200"/>
              <w:jc w:val="left"/>
              <w:rPr/>
            </w:pPr>
            <w:r>
              <w:rPr/>
              <w:t> </w:t>
            </w:r>
          </w:p>
        </w:tc>
      </w:tr>
      <w:tr>
        <w:trPr/>
        <w:tc>
          <w:tcPr>
            <w:tcW w:w="71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Operating lease liabilities, current portion</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5,471</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196" w:type="dxa"/>
            <w:tcBorders/>
            <w:vAlign w:val="center"/>
          </w:tcPr>
          <w:p>
            <w:pPr>
              <w:pStyle w:val="TableContents"/>
              <w:bidi w:val="0"/>
              <w:spacing w:before="0" w:after="0"/>
              <w:ind w:left="400" w:right="0" w:hanging="0"/>
              <w:jc w:val="left"/>
              <w:rPr>
                <w:rFonts w:ascii="Times New Roman;serif" w:hAnsi="Times New Roman;serif"/>
                <w:b/>
                <w:sz w:val="16"/>
              </w:rPr>
            </w:pPr>
            <w:r>
              <w:rPr>
                <w:rFonts w:ascii="Times New Roman;serif" w:hAnsi="Times New Roman;serif"/>
                <w:b/>
                <w:sz w:val="16"/>
              </w:rPr>
              <w:t>Total current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69,027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63,803</w:t>
            </w:r>
          </w:p>
        </w:tc>
        <w:tc>
          <w:tcPr>
            <w:tcW w:w="592" w:type="dxa"/>
            <w:tcBorders/>
            <w:vAlign w:val="center"/>
          </w:tcPr>
          <w:p>
            <w:pPr>
              <w:pStyle w:val="TableContents"/>
              <w:bidi w:val="0"/>
              <w:spacing w:before="0" w:after="0"/>
              <w:ind w:left="0" w:right="0" w:firstLine="200"/>
              <w:jc w:val="left"/>
              <w:rPr/>
            </w:pPr>
            <w:r>
              <w:rPr/>
              <w:t> </w:t>
            </w:r>
          </w:p>
        </w:tc>
      </w:tr>
      <w:tr>
        <w:trPr/>
        <w:tc>
          <w:tcPr>
            <w:tcW w:w="71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Convertible notes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280,840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279,909</w:t>
            </w:r>
          </w:p>
        </w:tc>
        <w:tc>
          <w:tcPr>
            <w:tcW w:w="592" w:type="dxa"/>
            <w:tcBorders/>
            <w:vAlign w:val="center"/>
          </w:tcPr>
          <w:p>
            <w:pPr>
              <w:pStyle w:val="TableContents"/>
              <w:bidi w:val="0"/>
              <w:spacing w:before="0" w:after="0"/>
              <w:ind w:left="0" w:right="0" w:firstLine="200"/>
              <w:jc w:val="left"/>
              <w:rPr/>
            </w:pPr>
            <w:r>
              <w:rPr/>
              <w:t> </w:t>
            </w:r>
          </w:p>
        </w:tc>
      </w:tr>
      <w:tr>
        <w:trPr/>
        <w:tc>
          <w:tcPr>
            <w:tcW w:w="71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Operating lease liabilities, net of current portion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14,372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16,940</w:t>
            </w:r>
          </w:p>
        </w:tc>
        <w:tc>
          <w:tcPr>
            <w:tcW w:w="592" w:type="dxa"/>
            <w:tcBorders/>
            <w:vAlign w:val="center"/>
          </w:tcPr>
          <w:p>
            <w:pPr>
              <w:pStyle w:val="TableContents"/>
              <w:bidi w:val="0"/>
              <w:spacing w:before="0" w:after="0"/>
              <w:ind w:left="0" w:right="0" w:firstLine="200"/>
              <w:jc w:val="left"/>
              <w:rPr/>
            </w:pPr>
            <w:r>
              <w:rPr/>
              <w:t> </w:t>
            </w:r>
          </w:p>
        </w:tc>
      </w:tr>
      <w:tr>
        <w:trPr/>
        <w:tc>
          <w:tcPr>
            <w:tcW w:w="71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Deferred income taxes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429</w:t>
            </w:r>
          </w:p>
        </w:tc>
        <w:tc>
          <w:tcPr>
            <w:tcW w:w="592" w:type="dxa"/>
            <w:tcBorders/>
            <w:vAlign w:val="center"/>
          </w:tcPr>
          <w:p>
            <w:pPr>
              <w:pStyle w:val="TableContents"/>
              <w:bidi w:val="0"/>
              <w:spacing w:before="0" w:after="0"/>
              <w:ind w:left="0" w:right="0" w:firstLine="200"/>
              <w:jc w:val="left"/>
              <w:rPr/>
            </w:pPr>
            <w:r>
              <w:rPr/>
              <w:t> </w:t>
            </w:r>
          </w:p>
        </w:tc>
      </w:tr>
      <w:tr>
        <w:trPr/>
        <w:tc>
          <w:tcPr>
            <w:tcW w:w="71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1,011</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196" w:type="dxa"/>
            <w:tcBorders/>
            <w:vAlign w:val="center"/>
          </w:tcPr>
          <w:p>
            <w:pPr>
              <w:pStyle w:val="TableContents"/>
              <w:bidi w:val="0"/>
              <w:spacing w:before="0" w:after="0"/>
              <w:ind w:left="400" w:right="0" w:hanging="0"/>
              <w:jc w:val="left"/>
              <w:rPr>
                <w:rFonts w:ascii="Times New Roman;serif" w:hAnsi="Times New Roman;serif"/>
                <w:b/>
                <w:sz w:val="16"/>
              </w:rPr>
            </w:pPr>
            <w:r>
              <w:rPr>
                <w:rFonts w:ascii="Times New Roman;serif" w:hAnsi="Times New Roman;serif"/>
                <w:b/>
                <w:sz w:val="16"/>
              </w:rPr>
              <w:t>Total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366,006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362,092</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19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sz w:val="16"/>
              </w:rPr>
              <w:t>Commitments and contingencies</w:t>
            </w:r>
            <w:r>
              <w:rPr>
                <w:rFonts w:ascii="Times New Roman" w:hAnsi="Times New Roman"/>
                <w:sz w:val="20"/>
              </w:rPr>
              <w:t> </w:t>
            </w:r>
            <w:r>
              <w:rPr>
                <w:rFonts w:ascii="Times New Roman;serif" w:hAnsi="Times New Roman;serif"/>
                <w:b/>
                <w:sz w:val="16"/>
              </w:rPr>
              <w:t>(Note 13)</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2" w:type="dxa"/>
            <w:gridSpan w:val="2"/>
            <w:tcBorders/>
            <w:vAlign w:val="center"/>
          </w:tcPr>
          <w:p>
            <w:pPr>
              <w:pStyle w:val="TableContents"/>
              <w:bidi w:val="0"/>
              <w:spacing w:before="0" w:after="0"/>
              <w:ind w:left="0" w:right="0" w:hanging="0"/>
              <w:jc w:val="right"/>
              <w:rPr/>
            </w:pPr>
            <w:r>
              <w:rPr/>
              <w:t> </w:t>
            </w:r>
          </w:p>
        </w:tc>
        <w:tc>
          <w:tcPr>
            <w:tcW w:w="592" w:type="dxa"/>
            <w:tcBorders/>
            <w:vAlign w:val="center"/>
          </w:tcPr>
          <w:p>
            <w:pPr>
              <w:pStyle w:val="TableContents"/>
              <w:bidi w:val="0"/>
              <w:spacing w:before="0" w:after="0"/>
              <w:ind w:left="0" w:right="0" w:hanging="0"/>
              <w:jc w:val="right"/>
              <w:rPr/>
            </w:pPr>
            <w:r>
              <w:rPr/>
              <w:t> </w:t>
            </w:r>
          </w:p>
        </w:tc>
      </w:tr>
      <w:tr>
        <w:trPr/>
        <w:tc>
          <w:tcPr>
            <w:tcW w:w="719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Stockholders’ equity</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2" w:type="dxa"/>
            <w:gridSpan w:val="2"/>
            <w:tcBorders/>
            <w:vAlign w:val="center"/>
          </w:tcPr>
          <w:p>
            <w:pPr>
              <w:pStyle w:val="TableContents"/>
              <w:bidi w:val="0"/>
              <w:spacing w:before="0" w:after="0"/>
              <w:ind w:left="0" w:right="0" w:hanging="0"/>
              <w:jc w:val="right"/>
              <w:rPr/>
            </w:pPr>
            <w:r>
              <w:rPr/>
              <w:t> </w:t>
            </w:r>
          </w:p>
        </w:tc>
        <w:tc>
          <w:tcPr>
            <w:tcW w:w="592" w:type="dxa"/>
            <w:tcBorders/>
            <w:vAlign w:val="center"/>
          </w:tcPr>
          <w:p>
            <w:pPr>
              <w:pStyle w:val="TableContents"/>
              <w:bidi w:val="0"/>
              <w:spacing w:before="0" w:after="0"/>
              <w:ind w:left="0" w:right="0" w:firstLine="200"/>
              <w:jc w:val="right"/>
              <w:rPr/>
            </w:pPr>
            <w:r>
              <w:rPr/>
              <w:t> </w:t>
            </w:r>
          </w:p>
        </w:tc>
      </w:tr>
      <w:tr>
        <w:trPr/>
        <w:tc>
          <w:tcPr>
            <w:tcW w:w="719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6"/>
              </w:rPr>
              <w:t>Preferred stock, $0.000001</w:t>
            </w:r>
            <w:r>
              <w:rPr>
                <w:rFonts w:ascii="Times New Roman" w:hAnsi="Times New Roman"/>
                <w:sz w:val="20"/>
              </w:rPr>
              <w:t> </w:t>
            </w:r>
            <w:r>
              <w:rPr>
                <w:rFonts w:ascii="Times New Roman;serif" w:hAnsi="Times New Roman;serif"/>
                <w:b w:val="false"/>
                <w:sz w:val="16"/>
              </w:rPr>
              <w:t>par value. Authorized; 50,000,000</w:t>
            </w:r>
            <w:r>
              <w:rPr>
                <w:rFonts w:ascii="Times New Roman" w:hAnsi="Times New Roman"/>
                <w:sz w:val="20"/>
              </w:rPr>
              <w:t> </w:t>
            </w:r>
            <w:r>
              <w:rPr>
                <w:rFonts w:ascii="Times New Roman;serif" w:hAnsi="Times New Roman;serif"/>
                <w:b w:val="false"/>
                <w:sz w:val="16"/>
              </w:rPr>
              <w:t>shares; zero</w:t>
            </w:r>
            <w:r>
              <w:rPr>
                <w:rFonts w:ascii="Times New Roman" w:hAnsi="Times New Roman"/>
                <w:sz w:val="20"/>
              </w:rPr>
              <w:t> </w:t>
            </w:r>
            <w:r>
              <w:rPr>
                <w:rFonts w:ascii="Times New Roman;serif" w:hAnsi="Times New Roman;serif"/>
                <w:b w:val="false"/>
                <w:sz w:val="16"/>
              </w:rPr>
              <w:t>shares issued and outstanding as of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pPr>
            <w:r>
              <w:rPr/>
              <w:t>—</w:t>
            </w:r>
          </w:p>
        </w:tc>
        <w:tc>
          <w:tcPr>
            <w:tcW w:w="592" w:type="dxa"/>
            <w:tcBorders/>
            <w:vAlign w:val="center"/>
          </w:tcPr>
          <w:p>
            <w:pPr>
              <w:pStyle w:val="TableContents"/>
              <w:bidi w:val="0"/>
              <w:spacing w:before="0" w:after="0"/>
              <w:ind w:left="0" w:right="0" w:firstLine="200"/>
              <w:jc w:val="left"/>
              <w:rPr/>
            </w:pPr>
            <w:r>
              <w:rPr/>
              <w:t> </w:t>
            </w:r>
          </w:p>
        </w:tc>
      </w:tr>
      <w:tr>
        <w:trPr/>
        <w:tc>
          <w:tcPr>
            <w:tcW w:w="719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6"/>
              </w:rPr>
              <w:t>Class A Common stock, $0.000001</w:t>
            </w:r>
            <w:r>
              <w:rPr>
                <w:rFonts w:ascii="Times New Roman" w:hAnsi="Times New Roman"/>
                <w:sz w:val="20"/>
              </w:rPr>
              <w:t> </w:t>
            </w:r>
            <w:r>
              <w:rPr>
                <w:rFonts w:ascii="Times New Roman;serif" w:hAnsi="Times New Roman;serif"/>
                <w:b w:val="false"/>
                <w:sz w:val="16"/>
              </w:rPr>
              <w:t>par value. Authorized; 750,000,000</w:t>
            </w:r>
            <w:r>
              <w:rPr>
                <w:rFonts w:ascii="Times New Roman" w:hAnsi="Times New Roman"/>
                <w:sz w:val="20"/>
              </w:rPr>
              <w:t> </w:t>
            </w:r>
            <w:r>
              <w:rPr>
                <w:rFonts w:ascii="Times New Roman;serif" w:hAnsi="Times New Roman;serif"/>
                <w:b w:val="false"/>
                <w:sz w:val="16"/>
              </w:rPr>
              <w:t>shares; 45,243,447</w:t>
            </w:r>
            <w:r>
              <w:rPr>
                <w:rFonts w:ascii="Times New Roman" w:hAnsi="Times New Roman"/>
                <w:sz w:val="20"/>
              </w:rPr>
              <w:t> </w:t>
            </w:r>
            <w:r>
              <w:rPr>
                <w:rFonts w:ascii="Times New Roman;serif" w:hAnsi="Times New Roman;serif"/>
                <w:b w:val="false"/>
                <w:sz w:val="16"/>
              </w:rPr>
              <w:t>shares and 44,822,264</w:t>
            </w:r>
            <w:r>
              <w:rPr>
                <w:rFonts w:ascii="Times New Roman" w:hAnsi="Times New Roman"/>
                <w:sz w:val="20"/>
              </w:rPr>
              <w:t> </w:t>
            </w:r>
            <w:r>
              <w:rPr>
                <w:rFonts w:ascii="Times New Roman;serif" w:hAnsi="Times New Roman;serif"/>
                <w:b w:val="false"/>
                <w:sz w:val="16"/>
              </w:rPr>
              <w:t>shares issued and outstanding as of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pPr>
            <w:r>
              <w:rPr/>
              <w:t>—</w:t>
            </w:r>
          </w:p>
        </w:tc>
        <w:tc>
          <w:tcPr>
            <w:tcW w:w="592" w:type="dxa"/>
            <w:tcBorders/>
            <w:vAlign w:val="center"/>
          </w:tcPr>
          <w:p>
            <w:pPr>
              <w:pStyle w:val="TableContents"/>
              <w:bidi w:val="0"/>
              <w:spacing w:before="0" w:after="0"/>
              <w:ind w:left="0" w:right="0" w:firstLine="200"/>
              <w:jc w:val="left"/>
              <w:rPr/>
            </w:pPr>
            <w:r>
              <w:rPr/>
              <w:t> </w:t>
            </w:r>
          </w:p>
        </w:tc>
      </w:tr>
      <w:tr>
        <w:trPr/>
        <w:tc>
          <w:tcPr>
            <w:tcW w:w="719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6"/>
              </w:rPr>
              <w:t>Class B Common stock, $0.000001</w:t>
            </w:r>
            <w:r>
              <w:rPr>
                <w:rFonts w:ascii="Times New Roman" w:hAnsi="Times New Roman"/>
                <w:sz w:val="20"/>
              </w:rPr>
              <w:t> </w:t>
            </w:r>
            <w:r>
              <w:rPr>
                <w:rFonts w:ascii="Times New Roman;serif" w:hAnsi="Times New Roman;serif"/>
                <w:b w:val="false"/>
                <w:sz w:val="16"/>
              </w:rPr>
              <w:t>par value. Authorized; 5,000,000</w:t>
            </w:r>
            <w:r>
              <w:rPr>
                <w:rFonts w:ascii="Times New Roman" w:hAnsi="Times New Roman"/>
                <w:sz w:val="20"/>
              </w:rPr>
              <w:t> </w:t>
            </w:r>
            <w:r>
              <w:rPr>
                <w:rFonts w:ascii="Times New Roman;serif" w:hAnsi="Times New Roman;serif"/>
                <w:b w:val="false"/>
                <w:sz w:val="16"/>
              </w:rPr>
              <w:t>shares; 2,676,154</w:t>
            </w:r>
            <w:r>
              <w:rPr>
                <w:rFonts w:ascii="Times New Roman" w:hAnsi="Times New Roman"/>
                <w:sz w:val="20"/>
              </w:rPr>
              <w:t> </w:t>
            </w:r>
            <w:r>
              <w:rPr>
                <w:rFonts w:ascii="Times New Roman;serif" w:hAnsi="Times New Roman;serif"/>
                <w:b w:val="false"/>
                <w:sz w:val="16"/>
              </w:rPr>
              <w:t>shares issued and outstanding as of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pPr>
            <w:r>
              <w:rPr/>
              <w:t>—</w:t>
            </w:r>
          </w:p>
        </w:tc>
        <w:tc>
          <w:tcPr>
            <w:tcW w:w="592" w:type="dxa"/>
            <w:tcBorders/>
            <w:vAlign w:val="center"/>
          </w:tcPr>
          <w:p>
            <w:pPr>
              <w:pStyle w:val="TableContents"/>
              <w:bidi w:val="0"/>
              <w:spacing w:before="0" w:after="0"/>
              <w:ind w:left="0" w:right="0" w:firstLine="200"/>
              <w:jc w:val="left"/>
              <w:rPr/>
            </w:pPr>
            <w:r>
              <w:rPr/>
              <w:t> </w:t>
            </w:r>
          </w:p>
        </w:tc>
      </w:tr>
      <w:tr>
        <w:trPr/>
        <w:tc>
          <w:tcPr>
            <w:tcW w:w="71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Additional paid-in capital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635,267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623,081</w:t>
            </w:r>
          </w:p>
        </w:tc>
        <w:tc>
          <w:tcPr>
            <w:tcW w:w="592" w:type="dxa"/>
            <w:tcBorders/>
            <w:vAlign w:val="center"/>
          </w:tcPr>
          <w:p>
            <w:pPr>
              <w:pStyle w:val="TableContents"/>
              <w:bidi w:val="0"/>
              <w:spacing w:before="0" w:after="0"/>
              <w:ind w:left="0" w:right="0" w:firstLine="200"/>
              <w:jc w:val="left"/>
              <w:rPr/>
            </w:pPr>
            <w:r>
              <w:rPr/>
              <w:t> </w:t>
            </w:r>
          </w:p>
        </w:tc>
      </w:tr>
      <w:tr>
        <w:trPr/>
        <w:tc>
          <w:tcPr>
            <w:tcW w:w="71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Accumulated other comprehensive income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592" w:type="dxa"/>
            <w:tcBorders/>
            <w:vAlign w:val="center"/>
          </w:tcPr>
          <w:p>
            <w:pPr>
              <w:pStyle w:val="TableContents"/>
              <w:bidi w:val="0"/>
              <w:spacing w:before="0" w:after="0"/>
              <w:ind w:left="0" w:right="0" w:firstLine="200"/>
              <w:jc w:val="left"/>
              <w:rPr/>
            </w:pPr>
            <w:r>
              <w:rPr/>
              <w:t> </w:t>
            </w:r>
          </w:p>
        </w:tc>
      </w:tr>
      <w:tr>
        <w:trPr/>
        <w:tc>
          <w:tcPr>
            <w:tcW w:w="71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Accumulated deficit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(294,264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(249,366</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719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Total stockholders’ equity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341,362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373,743</w:t>
            </w:r>
          </w:p>
        </w:tc>
        <w:tc>
          <w:tcPr>
            <w:tcW w:w="592" w:type="dxa"/>
            <w:tcBorders/>
            <w:vAlign w:val="center"/>
          </w:tcPr>
          <w:p>
            <w:pPr>
              <w:pStyle w:val="TableContents"/>
              <w:bidi w:val="0"/>
              <w:spacing w:before="0" w:after="0"/>
              <w:ind w:left="0" w:right="0" w:firstLine="400"/>
              <w:jc w:val="left"/>
              <w:rPr/>
            </w:pPr>
            <w:r>
              <w:rPr/>
              <w:t> </w:t>
            </w:r>
          </w:p>
        </w:tc>
      </w:tr>
      <w:tr>
        <w:trPr/>
        <w:tc>
          <w:tcPr>
            <w:tcW w:w="7196" w:type="dxa"/>
            <w:tcBorders/>
            <w:vAlign w:val="center"/>
          </w:tcPr>
          <w:p>
            <w:pPr>
              <w:pStyle w:val="TableContents"/>
              <w:bidi w:val="0"/>
              <w:spacing w:before="0" w:after="0"/>
              <w:ind w:left="400" w:right="0" w:hanging="0"/>
              <w:jc w:val="left"/>
              <w:rPr>
                <w:rFonts w:ascii="Times New Roman;serif" w:hAnsi="Times New Roman;serif"/>
                <w:b/>
                <w:sz w:val="16"/>
              </w:rPr>
            </w:pPr>
            <w:r>
              <w:rPr>
                <w:rFonts w:ascii="Times New Roman;serif" w:hAnsi="Times New Roman;serif"/>
                <w:b/>
                <w:sz w:val="16"/>
              </w:rPr>
              <w:t>Noncontrolling interest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1,090</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196" w:type="dxa"/>
            <w:tcBorders/>
            <w:vAlign w:val="center"/>
          </w:tcPr>
          <w:p>
            <w:pPr>
              <w:pStyle w:val="TableContents"/>
              <w:bidi w:val="0"/>
              <w:spacing w:before="0" w:after="0"/>
              <w:ind w:left="400" w:right="0" w:hanging="0"/>
              <w:jc w:val="left"/>
              <w:rPr>
                <w:rFonts w:ascii="Times New Roman;serif" w:hAnsi="Times New Roman;serif"/>
                <w:b/>
                <w:sz w:val="16"/>
              </w:rPr>
            </w:pPr>
            <w:r>
              <w:rPr>
                <w:rFonts w:ascii="Times New Roman;serif" w:hAnsi="Times New Roman;serif"/>
                <w:b/>
                <w:sz w:val="16"/>
              </w:rPr>
              <w:t>Total equity</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342,476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374,833</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19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708,482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736,925</w:t>
            </w:r>
          </w:p>
        </w:tc>
        <w:tc>
          <w:tcPr>
            <w:tcW w:w="5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See accompanying notes to the unaudited condensed consolidated financial statements.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XOMETRY, INC.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6" w:name="fin120843_3"/>
      <w:bookmarkEnd w:id="6"/>
      <w:r>
        <w:rPr>
          <w:rFonts w:ascii="Times New Roman;serif" w:hAnsi="Times New Roman;serif"/>
          <w:b w:val="false"/>
          <w:sz w:val="20"/>
        </w:rPr>
        <w:t>Condensed Consolidated St</w:t>
      </w:r>
      <w:bookmarkStart w:id="7" w:name="statement_of_operations"/>
      <w:bookmarkEnd w:id="7"/>
      <w:r>
        <w:rPr>
          <w:rFonts w:ascii="Times New Roman;serif" w:hAnsi="Times New Roman;serif"/>
          <w:b w:val="false"/>
          <w:sz w:val="20"/>
        </w:rPr>
        <w:t>atements of Operations and Comprehensive Loss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bidi w:val="0"/>
        <w:spacing w:before="0" w:after="0"/>
        <w:jc w:val="center"/>
        <w:rPr>
          <w:rFonts w:ascii="Times New Roman" w:hAnsi="Times New Roman"/>
          <w:sz w:val="20"/>
        </w:rPr>
      </w:pPr>
      <w:r>
        <w:rPr>
          <w:rFonts w:ascii="Times New Roman;serif" w:hAnsi="Times New Roman;serif"/>
          <w:b w:val="false"/>
          <w:sz w:val="20"/>
        </w:rPr>
        <w:t>(In thousands, except share and per share data)</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3918"/>
        <w:gridCol w:w="146"/>
        <w:gridCol w:w="196"/>
        <w:gridCol w:w="916"/>
        <w:gridCol w:w="166"/>
        <w:gridCol w:w="146"/>
        <w:gridCol w:w="196"/>
        <w:gridCol w:w="916"/>
        <w:gridCol w:w="166"/>
        <w:gridCol w:w="146"/>
        <w:gridCol w:w="196"/>
        <w:gridCol w:w="916"/>
        <w:gridCol w:w="166"/>
        <w:gridCol w:w="146"/>
        <w:gridCol w:w="196"/>
        <w:gridCol w:w="916"/>
        <w:gridCol w:w="166"/>
        <w:gridCol w:w="591"/>
      </w:tblGrid>
      <w:tr>
        <w:trPr/>
        <w:tc>
          <w:tcPr>
            <w:tcW w:w="3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1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293"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r>
      <w:tr>
        <w:trPr/>
        <w:tc>
          <w:tcPr>
            <w:tcW w:w="391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391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36" w:type="dxa"/>
            <w:gridSpan w:val="6"/>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391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Revenue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111,008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95,615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216,334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179,286</w:t>
            </w:r>
          </w:p>
        </w:tc>
        <w:tc>
          <w:tcPr>
            <w:tcW w:w="16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391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Cost of revenue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67,452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57,919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133,409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108,651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3918"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Gross profit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43,556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37,696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82,925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70,635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391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Sales and marketing</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22,666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18,145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45,105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37,430</w:t>
            </w:r>
          </w:p>
        </w:tc>
        <w:tc>
          <w:tcPr>
            <w:tcW w:w="16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391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Operations and support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14,220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26,828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24,538</w:t>
            </w:r>
          </w:p>
        </w:tc>
        <w:tc>
          <w:tcPr>
            <w:tcW w:w="16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391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Product development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17,047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15,085</w:t>
            </w:r>
          </w:p>
        </w:tc>
        <w:tc>
          <w:tcPr>
            <w:tcW w:w="16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391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General and administrative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25,582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41,539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28,017</w:t>
            </w:r>
          </w:p>
        </w:tc>
        <w:tc>
          <w:tcPr>
            <w:tcW w:w="16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391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Impairment of assets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391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operating expenses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71,609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53,297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130,765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105,189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3918"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Loss from operations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(28,053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(15,601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(47,840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(34,554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91" w:type="dxa"/>
            <w:tcBorders/>
            <w:vAlign w:val="center"/>
          </w:tcPr>
          <w:p>
            <w:pPr>
              <w:pStyle w:val="TableContents"/>
              <w:bidi w:val="0"/>
              <w:spacing w:before="0" w:after="0"/>
              <w:ind w:left="0" w:right="0" w:hanging="0"/>
              <w:jc w:val="left"/>
              <w:rPr/>
            </w:pPr>
            <w:r>
              <w:rPr/>
              <w:t> </w:t>
            </w:r>
          </w:p>
        </w:tc>
      </w:tr>
      <w:tr>
        <w:trPr/>
        <w:tc>
          <w:tcPr>
            <w:tcW w:w="3918"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Other income (expenses)</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391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expense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(1,193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(2,391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(1,978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91" w:type="dxa"/>
            <w:tcBorders/>
            <w:vAlign w:val="center"/>
          </w:tcPr>
          <w:p>
            <w:pPr>
              <w:pStyle w:val="TableContents"/>
              <w:bidi w:val="0"/>
              <w:spacing w:before="0" w:after="0"/>
              <w:ind w:left="0" w:right="0" w:hanging="0"/>
              <w:jc w:val="left"/>
              <w:rPr/>
            </w:pPr>
            <w:r>
              <w:rPr/>
              <w:t> </w:t>
            </w:r>
          </w:p>
        </w:tc>
      </w:tr>
      <w:tr>
        <w:trPr/>
        <w:tc>
          <w:tcPr>
            <w:tcW w:w="391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and dividend income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570</w:t>
            </w:r>
          </w:p>
        </w:tc>
        <w:tc>
          <w:tcPr>
            <w:tcW w:w="16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391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Other expenses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(1,444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91" w:type="dxa"/>
            <w:tcBorders/>
            <w:vAlign w:val="center"/>
          </w:tcPr>
          <w:p>
            <w:pPr>
              <w:pStyle w:val="TableContents"/>
              <w:bidi w:val="0"/>
              <w:spacing w:before="0" w:after="0"/>
              <w:ind w:left="0" w:right="0" w:hanging="0"/>
              <w:jc w:val="left"/>
              <w:rPr/>
            </w:pPr>
            <w:r>
              <w:rPr/>
              <w:t> </w:t>
            </w:r>
          </w:p>
        </w:tc>
      </w:tr>
      <w:tr>
        <w:trPr/>
        <w:tc>
          <w:tcPr>
            <w:tcW w:w="391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Income from unconsolidated joint venture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391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other income (expenses)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91" w:type="dxa"/>
            <w:tcBorders/>
            <w:vAlign w:val="center"/>
          </w:tcPr>
          <w:p>
            <w:pPr>
              <w:pStyle w:val="TableContents"/>
              <w:bidi w:val="0"/>
              <w:spacing w:before="0" w:after="0"/>
              <w:ind w:left="0" w:right="0" w:firstLine="200"/>
              <w:jc w:val="left"/>
              <w:rPr/>
            </w:pPr>
            <w:r>
              <w:rPr/>
              <w:t> </w:t>
            </w:r>
          </w:p>
        </w:tc>
      </w:tr>
      <w:tr>
        <w:trPr/>
        <w:tc>
          <w:tcPr>
            <w:tcW w:w="3918"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Loss before income taxes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(26,626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(16,549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(44,833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(37,103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91" w:type="dxa"/>
            <w:tcBorders/>
            <w:vAlign w:val="center"/>
          </w:tcPr>
          <w:p>
            <w:pPr>
              <w:pStyle w:val="TableContents"/>
              <w:bidi w:val="0"/>
              <w:spacing w:before="0" w:after="0"/>
              <w:ind w:left="0" w:right="0" w:hanging="0"/>
              <w:jc w:val="left"/>
              <w:rPr/>
            </w:pPr>
            <w:r>
              <w:rPr/>
              <w:t> </w:t>
            </w:r>
          </w:p>
        </w:tc>
      </w:tr>
      <w:tr>
        <w:trPr/>
        <w:tc>
          <w:tcPr>
            <w:tcW w:w="391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Benefit (provision) for income taxes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3918"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Net loss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(26,559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(16,549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(44,902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(36,544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91" w:type="dxa"/>
            <w:tcBorders/>
            <w:vAlign w:val="center"/>
          </w:tcPr>
          <w:p>
            <w:pPr>
              <w:pStyle w:val="TableContents"/>
              <w:bidi w:val="0"/>
              <w:spacing w:before="0" w:after="0"/>
              <w:ind w:left="0" w:right="0" w:hanging="0"/>
              <w:jc w:val="left"/>
              <w:rPr/>
            </w:pPr>
            <w:r>
              <w:rPr/>
              <w:t> </w:t>
            </w:r>
          </w:p>
        </w:tc>
      </w:tr>
      <w:tr>
        <w:trPr/>
        <w:tc>
          <w:tcPr>
            <w:tcW w:w="391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 income attributable to noncontrolling interest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3918"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Net loss attributable to common stockholders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(26,554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(16,553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(44,898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(36,565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91" w:type="dxa"/>
            <w:tcBorders/>
            <w:vAlign w:val="center"/>
          </w:tcPr>
          <w:p>
            <w:pPr>
              <w:pStyle w:val="TableContents"/>
              <w:bidi w:val="0"/>
              <w:spacing w:before="0" w:after="0"/>
              <w:ind w:left="0" w:right="0" w:hanging="0"/>
              <w:jc w:val="left"/>
              <w:rPr/>
            </w:pPr>
            <w:r>
              <w:rPr/>
              <w:t> </w:t>
            </w:r>
          </w:p>
        </w:tc>
      </w:tr>
      <w:tr>
        <w:trPr/>
        <w:tc>
          <w:tcPr>
            <w:tcW w:w="391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 per share, basic and diluted, of Class A and Class B common stock</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(0.55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(0.94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(0.78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91" w:type="dxa"/>
            <w:tcBorders/>
            <w:vAlign w:val="center"/>
          </w:tcPr>
          <w:p>
            <w:pPr>
              <w:pStyle w:val="TableContents"/>
              <w:bidi w:val="0"/>
              <w:spacing w:before="0" w:after="0"/>
              <w:ind w:left="0" w:right="0" w:hanging="0"/>
              <w:jc w:val="left"/>
              <w:rPr/>
            </w:pPr>
            <w:r>
              <w:rPr/>
              <w:t> </w:t>
            </w:r>
          </w:p>
        </w:tc>
      </w:tr>
      <w:tr>
        <w:trPr/>
        <w:tc>
          <w:tcPr>
            <w:tcW w:w="391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Weighted-average number of shares outstanding used to compute </w:t>
              <w:br/>
              <w:t>   net loss per share, basic and diluted, of Class A and Class B common stock</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47,865,990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47,074,246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47,783,235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46,932,702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39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39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391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Comprehensive loss:</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3918"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Foreign currency translation</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91" w:type="dxa"/>
            <w:tcBorders/>
            <w:vAlign w:val="center"/>
          </w:tcPr>
          <w:p>
            <w:pPr>
              <w:pStyle w:val="TableContents"/>
              <w:bidi w:val="0"/>
              <w:spacing w:before="0" w:after="0"/>
              <w:ind w:left="0" w:right="0" w:firstLine="400"/>
              <w:jc w:val="left"/>
              <w:rPr/>
            </w:pPr>
            <w:r>
              <w:rPr/>
              <w:t> </w:t>
            </w:r>
          </w:p>
        </w:tc>
      </w:tr>
      <w:tr>
        <w:trPr/>
        <w:tc>
          <w:tcPr>
            <w:tcW w:w="3918"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other comprehensive income (loss)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91" w:type="dxa"/>
            <w:tcBorders/>
            <w:vAlign w:val="center"/>
          </w:tcPr>
          <w:p>
            <w:pPr>
              <w:pStyle w:val="TableContents"/>
              <w:bidi w:val="0"/>
              <w:spacing w:before="0" w:after="0"/>
              <w:ind w:left="0" w:right="0" w:hanging="0"/>
              <w:jc w:val="left"/>
              <w:rPr/>
            </w:pPr>
            <w:r>
              <w:rPr/>
              <w:t> </w:t>
            </w:r>
          </w:p>
        </w:tc>
      </w:tr>
      <w:tr>
        <w:trPr/>
        <w:tc>
          <w:tcPr>
            <w:tcW w:w="3918"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loss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(26,559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(16,549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(44,902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(36,544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91" w:type="dxa"/>
            <w:tcBorders/>
            <w:vAlign w:val="center"/>
          </w:tcPr>
          <w:p>
            <w:pPr>
              <w:pStyle w:val="TableContents"/>
              <w:bidi w:val="0"/>
              <w:spacing w:before="0" w:after="0"/>
              <w:ind w:left="0" w:right="0" w:hanging="0"/>
              <w:jc w:val="left"/>
              <w:rPr/>
            </w:pPr>
            <w:r>
              <w:rPr/>
              <w:t> </w:t>
            </w:r>
          </w:p>
        </w:tc>
      </w:tr>
      <w:tr>
        <w:trPr/>
        <w:tc>
          <w:tcPr>
            <w:tcW w:w="3918"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Comprehensive loss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(26,335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(16,535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(44,543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(36,558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91" w:type="dxa"/>
            <w:tcBorders/>
            <w:vAlign w:val="center"/>
          </w:tcPr>
          <w:p>
            <w:pPr>
              <w:pStyle w:val="TableContents"/>
              <w:bidi w:val="0"/>
              <w:spacing w:before="0" w:after="0"/>
              <w:ind w:left="0" w:right="0" w:hanging="0"/>
              <w:jc w:val="left"/>
              <w:rPr/>
            </w:pPr>
            <w:r>
              <w:rPr/>
              <w:t> </w:t>
            </w:r>
          </w:p>
        </w:tc>
      </w:tr>
      <w:tr>
        <w:trPr/>
        <w:tc>
          <w:tcPr>
            <w:tcW w:w="391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Comprehensive income attributable to noncontrolling interest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3918"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Total comprehensive loss attributable to common stockholders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(26,354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(16,572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(44,567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(36,629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See accompanying notes to the unaudited condensed consolidated financial statements.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8" w:name="statements_of_equity"/>
      <w:bookmarkEnd w:id="8"/>
      <w:r>
        <w:rPr>
          <w:rFonts w:ascii="Times New Roman;serif" w:hAnsi="Times New Roman;serif"/>
          <w:b/>
          <w:sz w:val="20"/>
        </w:rPr>
        <w:t>XOMETRY, INC. AND SUBSIDIARIES</w:t>
      </w:r>
    </w:p>
    <w:p>
      <w:pPr>
        <w:pStyle w:val="TextBody"/>
        <w:bidi w:val="0"/>
        <w:spacing w:before="0" w:after="0"/>
        <w:jc w:val="center"/>
        <w:rPr>
          <w:rFonts w:ascii="Times New Roman" w:hAnsi="Times New Roman"/>
          <w:sz w:val="20"/>
        </w:rPr>
      </w:pPr>
      <w:r>
        <w:rPr>
          <w:rFonts w:ascii="Times New Roman;serif" w:hAnsi="Times New Roman;serif"/>
          <w:b w:val="false"/>
          <w:sz w:val="20"/>
        </w:rPr>
        <w:t>Condensed Consolidated Statements of Changes in Stockholders’ Equity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Three months ended June 30, 2023 and 2022</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(In thousands, except share and per share data)</w:t>
      </w:r>
    </w:p>
    <w:tbl>
      <w:tblPr>
        <w:tblW w:w="12834" w:type="dxa"/>
        <w:jc w:val="left"/>
        <w:tblInd w:w="0" w:type="dxa"/>
        <w:tblLayout w:type="fixed"/>
        <w:tblCellMar>
          <w:top w:w="28" w:type="dxa"/>
          <w:left w:w="28" w:type="dxa"/>
          <w:bottom w:w="28" w:type="dxa"/>
          <w:right w:w="28" w:type="dxa"/>
        </w:tblCellMar>
      </w:tblPr>
      <w:tblGrid>
        <w:gridCol w:w="1201"/>
        <w:gridCol w:w="146"/>
        <w:gridCol w:w="916"/>
        <w:gridCol w:w="146"/>
        <w:gridCol w:w="146"/>
        <w:gridCol w:w="206"/>
        <w:gridCol w:w="365"/>
        <w:gridCol w:w="146"/>
        <w:gridCol w:w="146"/>
        <w:gridCol w:w="146"/>
        <w:gridCol w:w="826"/>
        <w:gridCol w:w="146"/>
        <w:gridCol w:w="146"/>
        <w:gridCol w:w="206"/>
        <w:gridCol w:w="365"/>
        <w:gridCol w:w="146"/>
        <w:gridCol w:w="146"/>
        <w:gridCol w:w="196"/>
        <w:gridCol w:w="691"/>
        <w:gridCol w:w="146"/>
        <w:gridCol w:w="146"/>
        <w:gridCol w:w="349"/>
        <w:gridCol w:w="672"/>
        <w:gridCol w:w="166"/>
        <w:gridCol w:w="146"/>
        <w:gridCol w:w="196"/>
        <w:gridCol w:w="751"/>
        <w:gridCol w:w="166"/>
        <w:gridCol w:w="146"/>
        <w:gridCol w:w="196"/>
        <w:gridCol w:w="691"/>
        <w:gridCol w:w="166"/>
        <w:gridCol w:w="283"/>
        <w:gridCol w:w="738"/>
        <w:gridCol w:w="166"/>
        <w:gridCol w:w="196"/>
        <w:gridCol w:w="691"/>
        <w:gridCol w:w="39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01" w:type="dxa"/>
            <w:tcBorders/>
            <w:vAlign w:val="center"/>
          </w:tcPr>
          <w:p>
            <w:pPr>
              <w:pStyle w:val="TableContents"/>
              <w:bidi w:val="0"/>
              <w:spacing w:before="0" w:after="0"/>
              <w:ind w:left="0" w:right="0" w:hanging="0"/>
              <w:jc w:val="center"/>
              <w:rPr/>
            </w:pPr>
            <w:r>
              <w:rPr/>
              <w:t> </w:t>
            </w:r>
          </w:p>
        </w:tc>
        <w:tc>
          <w:tcPr>
            <w:tcW w:w="192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Class A - 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3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Class B - 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Additional 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 Other 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 Stockholders'</w:t>
            </w:r>
          </w:p>
        </w:tc>
        <w:tc>
          <w:tcPr>
            <w:tcW w:w="16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Noncontrolling</w:t>
            </w:r>
          </w:p>
        </w:tc>
        <w:tc>
          <w:tcPr>
            <w:tcW w:w="16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391" w:type="dxa"/>
            <w:tcBorders/>
            <w:vAlign w:val="center"/>
          </w:tcPr>
          <w:p>
            <w:pPr>
              <w:pStyle w:val="TableContents"/>
              <w:bidi w:val="0"/>
              <w:spacing w:before="0" w:after="0"/>
              <w:ind w:left="0" w:right="0" w:hanging="0"/>
              <w:jc w:val="center"/>
              <w:rPr/>
            </w:pPr>
            <w:r>
              <w:rPr/>
              <w:t> </w:t>
            </w:r>
          </w:p>
        </w:tc>
      </w:tr>
      <w:tr>
        <w:trPr/>
        <w:tc>
          <w:tcPr>
            <w:tcW w:w="1201" w:type="dxa"/>
            <w:tcBorders/>
            <w:vAlign w:val="center"/>
          </w:tcPr>
          <w:p>
            <w:pPr>
              <w:pStyle w:val="TableContents"/>
              <w:bidi w:val="0"/>
              <w:spacing w:before="0" w:after="0"/>
              <w:ind w:left="0" w:right="0" w:hanging="0"/>
              <w:jc w:val="center"/>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5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5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Income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Interest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March 31, 2023</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45,098,314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2,676,154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628,808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4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(267,710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361,257</w:t>
            </w:r>
          </w:p>
        </w:tc>
        <w:tc>
          <w:tcPr>
            <w:tcW w:w="16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1,095</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362,352</w:t>
            </w:r>
          </w:p>
        </w:tc>
        <w:tc>
          <w:tcPr>
            <w:tcW w:w="391"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Exercise of common stock options</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85,998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4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661</w:t>
            </w:r>
          </w:p>
        </w:tc>
        <w:tc>
          <w:tcPr>
            <w:tcW w:w="16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661</w:t>
            </w:r>
          </w:p>
        </w:tc>
        <w:tc>
          <w:tcPr>
            <w:tcW w:w="391"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Vesting of restricted stock units</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59,135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4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 based compensation</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4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5,798</w:t>
            </w:r>
          </w:p>
        </w:tc>
        <w:tc>
          <w:tcPr>
            <w:tcW w:w="16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5,798</w:t>
            </w:r>
          </w:p>
        </w:tc>
        <w:tc>
          <w:tcPr>
            <w:tcW w:w="391"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Comprehensive income</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120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Foreign currency translation</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4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200</w:t>
            </w:r>
          </w:p>
        </w:tc>
        <w:tc>
          <w:tcPr>
            <w:tcW w:w="16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224</w:t>
            </w:r>
          </w:p>
        </w:tc>
        <w:tc>
          <w:tcPr>
            <w:tcW w:w="391" w:type="dxa"/>
            <w:tcBorders/>
            <w:vAlign w:val="center"/>
          </w:tcPr>
          <w:p>
            <w:pPr>
              <w:pStyle w:val="TableContents"/>
              <w:bidi w:val="0"/>
              <w:spacing w:before="0" w:after="0"/>
              <w:ind w:left="0" w:right="0" w:firstLine="200"/>
              <w:jc w:val="left"/>
              <w:rPr/>
            </w:pPr>
            <w:r>
              <w:rPr/>
              <w:t> </w:t>
            </w:r>
          </w:p>
        </w:tc>
      </w:tr>
      <w:tr>
        <w:trPr/>
        <w:tc>
          <w:tcPr>
            <w:tcW w:w="120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4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(26,554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(26,554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(26,559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comprehensive (loss) income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(26,354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(26,335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June 30, 2023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45,243,447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2,676,154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635,267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(294,264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341,362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342,476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02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March 31, 2022</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44,244,667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2,676,154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602,360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4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(193,353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409,111</w:t>
            </w:r>
          </w:p>
        </w:tc>
        <w:tc>
          <w:tcPr>
            <w:tcW w:w="16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1,068</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410,179</w:t>
            </w:r>
          </w:p>
        </w:tc>
        <w:tc>
          <w:tcPr>
            <w:tcW w:w="391"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Exercise of common stock options</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260,147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4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1,207</w:t>
            </w:r>
          </w:p>
        </w:tc>
        <w:tc>
          <w:tcPr>
            <w:tcW w:w="16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1,207</w:t>
            </w:r>
          </w:p>
        </w:tc>
        <w:tc>
          <w:tcPr>
            <w:tcW w:w="391"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Donated common stock</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40,266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4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1,285</w:t>
            </w:r>
          </w:p>
        </w:tc>
        <w:tc>
          <w:tcPr>
            <w:tcW w:w="16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1,285</w:t>
            </w:r>
          </w:p>
        </w:tc>
        <w:tc>
          <w:tcPr>
            <w:tcW w:w="391"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 based compensation</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4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5,479</w:t>
            </w:r>
          </w:p>
        </w:tc>
        <w:tc>
          <w:tcPr>
            <w:tcW w:w="16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5,479</w:t>
            </w:r>
          </w:p>
        </w:tc>
        <w:tc>
          <w:tcPr>
            <w:tcW w:w="391"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Comprehensive income</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120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Foreign currency translation</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4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83"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391" w:type="dxa"/>
            <w:tcBorders/>
            <w:vAlign w:val="center"/>
          </w:tcPr>
          <w:p>
            <w:pPr>
              <w:pStyle w:val="TableContents"/>
              <w:bidi w:val="0"/>
              <w:spacing w:before="0" w:after="0"/>
              <w:ind w:left="0" w:right="0" w:firstLine="200"/>
              <w:jc w:val="left"/>
              <w:rPr/>
            </w:pPr>
            <w:r>
              <w:rPr/>
              <w:t> </w:t>
            </w:r>
          </w:p>
        </w:tc>
      </w:tr>
      <w:tr>
        <w:trPr/>
        <w:tc>
          <w:tcPr>
            <w:tcW w:w="120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(loss) income</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4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(16,553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(16,553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(16,549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comprehensive (loss) income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(16,572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(16,535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June 30, 2022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44,545,080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2,676,154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610,331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(209,906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400,510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401,615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See accompanying notes to the unaudited condensed consolidated financial statements.</w:t>
      </w:r>
    </w:p>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XOMETRY, INC. AND SUBSIDIARIES</w:t>
      </w:r>
    </w:p>
    <w:p>
      <w:pPr>
        <w:pStyle w:val="TextBody"/>
        <w:bidi w:val="0"/>
        <w:spacing w:before="0" w:after="0"/>
        <w:jc w:val="center"/>
        <w:rPr>
          <w:rFonts w:ascii="Times New Roman" w:hAnsi="Times New Roman"/>
          <w:sz w:val="20"/>
        </w:rPr>
      </w:pPr>
      <w:r>
        <w:rPr>
          <w:rFonts w:ascii="Times New Roman;serif" w:hAnsi="Times New Roman;serif"/>
          <w:b w:val="false"/>
          <w:sz w:val="20"/>
        </w:rPr>
        <w:t>Condensed Consolidated Statements of Changes in Stockholders’ Equity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Six months ended June 30, 2023 and 2022</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(In thousands, except share and per share data)</w:t>
      </w:r>
    </w:p>
    <w:tbl>
      <w:tblPr>
        <w:tblW w:w="11832" w:type="dxa"/>
        <w:jc w:val="left"/>
        <w:tblInd w:w="0" w:type="dxa"/>
        <w:tblLayout w:type="fixed"/>
        <w:tblCellMar>
          <w:top w:w="28" w:type="dxa"/>
          <w:left w:w="28" w:type="dxa"/>
          <w:bottom w:w="28" w:type="dxa"/>
          <w:right w:w="28" w:type="dxa"/>
        </w:tblCellMar>
      </w:tblPr>
      <w:tblGrid>
        <w:gridCol w:w="1201"/>
        <w:gridCol w:w="146"/>
        <w:gridCol w:w="916"/>
        <w:gridCol w:w="146"/>
        <w:gridCol w:w="206"/>
        <w:gridCol w:w="365"/>
        <w:gridCol w:w="146"/>
        <w:gridCol w:w="146"/>
        <w:gridCol w:w="826"/>
        <w:gridCol w:w="146"/>
        <w:gridCol w:w="206"/>
        <w:gridCol w:w="365"/>
        <w:gridCol w:w="146"/>
        <w:gridCol w:w="196"/>
        <w:gridCol w:w="691"/>
        <w:gridCol w:w="146"/>
        <w:gridCol w:w="349"/>
        <w:gridCol w:w="672"/>
        <w:gridCol w:w="166"/>
        <w:gridCol w:w="196"/>
        <w:gridCol w:w="751"/>
        <w:gridCol w:w="166"/>
        <w:gridCol w:w="196"/>
        <w:gridCol w:w="691"/>
        <w:gridCol w:w="166"/>
        <w:gridCol w:w="283"/>
        <w:gridCol w:w="738"/>
        <w:gridCol w:w="166"/>
        <w:gridCol w:w="196"/>
        <w:gridCol w:w="691"/>
        <w:gridCol w:w="41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01" w:type="dxa"/>
            <w:tcBorders/>
            <w:vAlign w:val="center"/>
          </w:tcPr>
          <w:p>
            <w:pPr>
              <w:pStyle w:val="TableContents"/>
              <w:bidi w:val="0"/>
              <w:spacing w:before="0" w:after="0"/>
              <w:ind w:left="0" w:right="0" w:hanging="0"/>
              <w:jc w:val="center"/>
              <w:rPr/>
            </w:pPr>
            <w:r>
              <w:rPr/>
              <w:t> </w:t>
            </w:r>
          </w:p>
        </w:tc>
        <w:tc>
          <w:tcPr>
            <w:tcW w:w="1779" w:type="dxa"/>
            <w:gridSpan w:val="5"/>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89" w:type="dxa"/>
            <w:gridSpan w:val="5"/>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center"/>
              <w:rPr/>
            </w:pPr>
            <w:r>
              <w:rPr/>
              <w:t> </w:t>
            </w:r>
          </w:p>
        </w:tc>
      </w:tr>
      <w:tr>
        <w:trPr/>
        <w:tc>
          <w:tcPr>
            <w:tcW w:w="1201" w:type="dxa"/>
            <w:tcBorders/>
            <w:vAlign w:val="center"/>
          </w:tcPr>
          <w:p>
            <w:pPr>
              <w:pStyle w:val="TableContents"/>
              <w:bidi w:val="0"/>
              <w:spacing w:before="0" w:after="0"/>
              <w:ind w:left="0" w:right="0" w:hanging="0"/>
              <w:jc w:val="center"/>
              <w:rPr/>
            </w:pPr>
            <w:r>
              <w:rPr/>
              <w:t> </w:t>
            </w:r>
          </w:p>
        </w:tc>
        <w:tc>
          <w:tcPr>
            <w:tcW w:w="1779" w:type="dxa"/>
            <w:gridSpan w:val="5"/>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Class A - Common Stock</w:t>
            </w:r>
          </w:p>
        </w:tc>
        <w:tc>
          <w:tcPr>
            <w:tcW w:w="146" w:type="dxa"/>
            <w:tcBorders/>
            <w:vAlign w:val="center"/>
          </w:tcPr>
          <w:p>
            <w:pPr>
              <w:pStyle w:val="TableContents"/>
              <w:bidi w:val="0"/>
              <w:spacing w:before="0" w:after="0"/>
              <w:ind w:left="0" w:right="0" w:hanging="0"/>
              <w:jc w:val="center"/>
              <w:rPr/>
            </w:pPr>
            <w:r>
              <w:rPr/>
              <w:t> </w:t>
            </w:r>
          </w:p>
        </w:tc>
        <w:tc>
          <w:tcPr>
            <w:tcW w:w="1689" w:type="dxa"/>
            <w:gridSpan w:val="5"/>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Class B - Common Stock</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Additional Paid-In</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 Other Comprehensive</w:t>
            </w:r>
          </w:p>
        </w:tc>
        <w:tc>
          <w:tcPr>
            <w:tcW w:w="16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6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 Stockholders'</w:t>
            </w:r>
          </w:p>
        </w:tc>
        <w:tc>
          <w:tcPr>
            <w:tcW w:w="16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Noncontrolling</w:t>
            </w:r>
          </w:p>
        </w:tc>
        <w:tc>
          <w:tcPr>
            <w:tcW w:w="16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411" w:type="dxa"/>
            <w:tcBorders/>
            <w:vAlign w:val="center"/>
          </w:tcPr>
          <w:p>
            <w:pPr>
              <w:pStyle w:val="TableContents"/>
              <w:bidi w:val="0"/>
              <w:spacing w:before="0" w:after="0"/>
              <w:ind w:left="0" w:right="0" w:hanging="0"/>
              <w:jc w:val="center"/>
              <w:rPr/>
            </w:pPr>
            <w:r>
              <w:rPr/>
              <w:t> </w:t>
            </w:r>
          </w:p>
        </w:tc>
      </w:tr>
      <w:tr>
        <w:trPr/>
        <w:tc>
          <w:tcPr>
            <w:tcW w:w="1201" w:type="dxa"/>
            <w:tcBorders/>
            <w:vAlign w:val="center"/>
          </w:tcPr>
          <w:p>
            <w:pPr>
              <w:pStyle w:val="TableContents"/>
              <w:bidi w:val="0"/>
              <w:spacing w:before="0" w:after="0"/>
              <w:ind w:left="0" w:right="0" w:hanging="0"/>
              <w:jc w:val="center"/>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Income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Interest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(Deficit) Equity</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December 31, 2022</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44,822,264</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2,676,154</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623,081</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(249,366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373,743</w:t>
            </w:r>
          </w:p>
        </w:tc>
        <w:tc>
          <w:tcPr>
            <w:tcW w:w="16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1,090</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374,833</w:t>
            </w:r>
          </w:p>
        </w:tc>
        <w:tc>
          <w:tcPr>
            <w:tcW w:w="411"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Exercise of common stock options</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168,907</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1,144</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1,144</w:t>
            </w:r>
          </w:p>
        </w:tc>
        <w:tc>
          <w:tcPr>
            <w:tcW w:w="16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1,144</w:t>
            </w:r>
          </w:p>
        </w:tc>
        <w:tc>
          <w:tcPr>
            <w:tcW w:w="411"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Vesting of restricted stock units</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228,581</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Shared issued in business combination</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3,562</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180</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180</w:t>
            </w:r>
          </w:p>
        </w:tc>
        <w:tc>
          <w:tcPr>
            <w:tcW w:w="16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180</w:t>
            </w:r>
          </w:p>
        </w:tc>
        <w:tc>
          <w:tcPr>
            <w:tcW w:w="411"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Donated common stock</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20,133</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370</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370</w:t>
            </w:r>
          </w:p>
        </w:tc>
        <w:tc>
          <w:tcPr>
            <w:tcW w:w="16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370</w:t>
            </w:r>
          </w:p>
        </w:tc>
        <w:tc>
          <w:tcPr>
            <w:tcW w:w="411"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 based compensation</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10,492</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10,492</w:t>
            </w:r>
          </w:p>
        </w:tc>
        <w:tc>
          <w:tcPr>
            <w:tcW w:w="16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10,492</w:t>
            </w:r>
          </w:p>
        </w:tc>
        <w:tc>
          <w:tcPr>
            <w:tcW w:w="411"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Comprehensive loss</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120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Foreign currency translation</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331</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331</w:t>
            </w:r>
          </w:p>
        </w:tc>
        <w:tc>
          <w:tcPr>
            <w:tcW w:w="16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359</w:t>
            </w:r>
          </w:p>
        </w:tc>
        <w:tc>
          <w:tcPr>
            <w:tcW w:w="411" w:type="dxa"/>
            <w:tcBorders/>
            <w:vAlign w:val="center"/>
          </w:tcPr>
          <w:p>
            <w:pPr>
              <w:pStyle w:val="TableContents"/>
              <w:bidi w:val="0"/>
              <w:spacing w:before="0" w:after="0"/>
              <w:ind w:left="0" w:right="0" w:firstLine="200"/>
              <w:jc w:val="left"/>
              <w:rPr/>
            </w:pPr>
            <w:r>
              <w:rPr/>
              <w:t> </w:t>
            </w:r>
          </w:p>
        </w:tc>
      </w:tr>
      <w:tr>
        <w:trPr/>
        <w:tc>
          <w:tcPr>
            <w:tcW w:w="120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(44,898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(44,898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(44,902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comprehensive loss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(44,567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(44,543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June 30, 2023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45,243,447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2,676,154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635,267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(294,264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341,362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342,476</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December 31, 2021</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43,998,404</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2,676,154</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597,641</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149</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(173,341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424,449</w:t>
            </w:r>
          </w:p>
        </w:tc>
        <w:tc>
          <w:tcPr>
            <w:tcW w:w="16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1,034</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425,483</w:t>
            </w:r>
          </w:p>
        </w:tc>
        <w:tc>
          <w:tcPr>
            <w:tcW w:w="411"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Exercise of common stock options</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506,410</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2,470</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2,470</w:t>
            </w:r>
          </w:p>
        </w:tc>
        <w:tc>
          <w:tcPr>
            <w:tcW w:w="16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2,470</w:t>
            </w:r>
          </w:p>
        </w:tc>
        <w:tc>
          <w:tcPr>
            <w:tcW w:w="411"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Donated common stock</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40,266</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1,285</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1,285</w:t>
            </w:r>
          </w:p>
        </w:tc>
        <w:tc>
          <w:tcPr>
            <w:tcW w:w="16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1,285</w:t>
            </w:r>
          </w:p>
        </w:tc>
        <w:tc>
          <w:tcPr>
            <w:tcW w:w="411"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 based compensation</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8,935</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8,935</w:t>
            </w:r>
          </w:p>
        </w:tc>
        <w:tc>
          <w:tcPr>
            <w:tcW w:w="16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8,935</w:t>
            </w:r>
          </w:p>
        </w:tc>
        <w:tc>
          <w:tcPr>
            <w:tcW w:w="411"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Comprehensive loss</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120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Foreign currency translation</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83"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120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loss (income)</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(36,565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(36,565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(36,544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comprehensive loss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(36,629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(36,558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June 30, 2022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44,545,080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2,676,154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610,331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(209,906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400,510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401,615</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See accompanying notes to the unaudited condensed consolidated financial statements.</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9" w:name="fin120843_4"/>
      <w:bookmarkEnd w:id="9"/>
      <w:r>
        <w:rPr>
          <w:rFonts w:ascii="Times New Roman;serif" w:hAnsi="Times New Roman;serif"/>
          <w:b/>
          <w:sz w:val="20"/>
        </w:rPr>
        <w:t>XOMETRY, INC.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10" w:name="fin120843_5"/>
      <w:bookmarkEnd w:id="10"/>
      <w:r>
        <w:rPr>
          <w:rFonts w:ascii="Times New Roman;serif" w:hAnsi="Times New Roman;serif"/>
          <w:b w:val="false"/>
          <w:sz w:val="20"/>
        </w:rPr>
        <w:t xml:space="preserve">Condensed Consolidated Statements of </w:t>
      </w:r>
      <w:bookmarkStart w:id="11" w:name="cash_flows"/>
      <w:bookmarkEnd w:id="11"/>
      <w:r>
        <w:rPr>
          <w:rFonts w:ascii="Times New Roman;serif" w:hAnsi="Times New Roman;serif"/>
          <w:b w:val="false"/>
          <w:sz w:val="20"/>
        </w:rPr>
        <w:t>Cash Flows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bidi w:val="0"/>
        <w:spacing w:before="0" w:after="0"/>
        <w:jc w:val="center"/>
        <w:rPr>
          <w:rFonts w:ascii="Times New Roman" w:hAnsi="Times New Roman"/>
          <w:sz w:val="20"/>
        </w:rPr>
      </w:pPr>
      <w:r>
        <w:rPr>
          <w:rFonts w:ascii="Times New Roman;serif" w:hAnsi="Times New Roman;serif"/>
          <w:b w:val="false"/>
          <w:sz w:val="20"/>
        </w:rPr>
        <w:t>(In thousands)</w:t>
      </w:r>
      <w:r>
        <w:rPr>
          <w:rFonts w:ascii="Times New Roman" w:hAnsi="Times New Roman"/>
          <w:sz w:val="20"/>
        </w:rPr>
        <w:t xml:space="preserve"> </w:t>
      </w:r>
    </w:p>
    <w:p>
      <w:pPr>
        <w:pStyle w:val="TextBody"/>
        <w:bidi w:val="0"/>
        <w:spacing w:before="0" w:after="0"/>
        <w:jc w:val="left"/>
        <w:rPr/>
      </w:pPr>
      <w:r>
        <w:rPr/>
        <w:t> </w:t>
      </w:r>
    </w:p>
    <w:tbl>
      <w:tblPr>
        <w:tblW w:w="7495" w:type="dxa"/>
        <w:jc w:val="left"/>
        <w:tblInd w:w="0" w:type="dxa"/>
        <w:tblLayout w:type="fixed"/>
        <w:tblCellMar>
          <w:top w:w="28" w:type="dxa"/>
          <w:left w:w="28" w:type="dxa"/>
          <w:bottom w:w="28" w:type="dxa"/>
          <w:right w:w="28" w:type="dxa"/>
        </w:tblCellMar>
      </w:tblPr>
      <w:tblGrid>
        <w:gridCol w:w="4531"/>
        <w:gridCol w:w="146"/>
        <w:gridCol w:w="181"/>
        <w:gridCol w:w="571"/>
        <w:gridCol w:w="151"/>
        <w:gridCol w:w="146"/>
        <w:gridCol w:w="181"/>
        <w:gridCol w:w="646"/>
        <w:gridCol w:w="151"/>
        <w:gridCol w:w="79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5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18"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Six Months Ended June 30,</w:t>
            </w:r>
          </w:p>
        </w:tc>
      </w:tr>
      <w:tr>
        <w:trPr/>
        <w:tc>
          <w:tcPr>
            <w:tcW w:w="45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91" w:type="dxa"/>
            <w:tcBorders/>
            <w:vAlign w:val="center"/>
          </w:tcPr>
          <w:p>
            <w:pPr>
              <w:pStyle w:val="TableContents"/>
              <w:bidi w:val="0"/>
              <w:spacing w:before="0" w:after="0"/>
              <w:ind w:left="0" w:right="0" w:hanging="0"/>
              <w:jc w:val="left"/>
              <w:rPr/>
            </w:pPr>
            <w:r>
              <w:rPr/>
              <w:t> </w:t>
            </w:r>
          </w:p>
        </w:tc>
      </w:tr>
      <w:tr>
        <w:trPr/>
        <w:tc>
          <w:tcPr>
            <w:tcW w:w="453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1876" w:type="dxa"/>
            <w:gridSpan w:val="6"/>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791" w:type="dxa"/>
            <w:tcBorders/>
            <w:vAlign w:val="center"/>
          </w:tcPr>
          <w:p>
            <w:pPr>
              <w:pStyle w:val="TableContents"/>
              <w:bidi w:val="0"/>
              <w:spacing w:before="0" w:after="0"/>
              <w:ind w:left="0" w:right="0" w:firstLine="200"/>
              <w:jc w:val="left"/>
              <w:rPr/>
            </w:pPr>
            <w:r>
              <w:rPr/>
              <w:t> </w:t>
            </w:r>
          </w:p>
        </w:tc>
      </w:tr>
      <w:tr>
        <w:trPr/>
        <w:tc>
          <w:tcPr>
            <w:tcW w:w="453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Net loss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(44,902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(36,544</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91" w:type="dxa"/>
            <w:tcBorders/>
            <w:vAlign w:val="center"/>
          </w:tcPr>
          <w:p>
            <w:pPr>
              <w:pStyle w:val="TableContents"/>
              <w:bidi w:val="0"/>
              <w:spacing w:before="0" w:after="0"/>
              <w:ind w:left="0" w:right="0" w:firstLine="200"/>
              <w:jc w:val="left"/>
              <w:rPr/>
            </w:pPr>
            <w:r>
              <w:rPr/>
              <w:t> </w:t>
            </w:r>
          </w:p>
        </w:tc>
      </w:tr>
      <w:tr>
        <w:trPr/>
        <w:tc>
          <w:tcPr>
            <w:tcW w:w="453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400"/>
              <w:jc w:val="left"/>
              <w:rPr/>
            </w:pPr>
            <w:r>
              <w:rPr/>
              <w:t> </w:t>
            </w:r>
          </w:p>
        </w:tc>
      </w:tr>
      <w:tr>
        <w:trPr/>
        <w:tc>
          <w:tcPr>
            <w:tcW w:w="4531" w:type="dxa"/>
            <w:tcBorders/>
            <w:vAlign w:val="center"/>
          </w:tcPr>
          <w:p>
            <w:pPr>
              <w:pStyle w:val="TableContents"/>
              <w:bidi w:val="0"/>
              <w:spacing w:before="0" w:after="0"/>
              <w:ind w:left="400" w:right="0" w:hanging="0"/>
              <w:jc w:val="left"/>
              <w:rPr>
                <w:rFonts w:ascii="Times New Roman;serif" w:hAnsi="Times New Roman;serif"/>
                <w:b w:val="false"/>
                <w:sz w:val="15"/>
              </w:rPr>
            </w:pPr>
            <w:r>
              <w:rPr>
                <w:rFonts w:ascii="Times New Roman;serif" w:hAnsi="Times New Roman;serif"/>
                <w:b w:val="false"/>
                <w:sz w:val="15"/>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5,461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3,807</w:t>
            </w:r>
          </w:p>
        </w:tc>
        <w:tc>
          <w:tcPr>
            <w:tcW w:w="15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400"/>
              <w:jc w:val="left"/>
              <w:rPr/>
            </w:pPr>
            <w:r>
              <w:rPr/>
              <w:t> </w:t>
            </w:r>
          </w:p>
        </w:tc>
      </w:tr>
      <w:tr>
        <w:trPr/>
        <w:tc>
          <w:tcPr>
            <w:tcW w:w="4531" w:type="dxa"/>
            <w:tcBorders/>
            <w:vAlign w:val="center"/>
          </w:tcPr>
          <w:p>
            <w:pPr>
              <w:pStyle w:val="TableContents"/>
              <w:bidi w:val="0"/>
              <w:spacing w:before="0" w:after="0"/>
              <w:ind w:left="400" w:right="0" w:hanging="0"/>
              <w:jc w:val="left"/>
              <w:rPr>
                <w:rFonts w:ascii="Times New Roman;serif" w:hAnsi="Times New Roman;serif"/>
                <w:b w:val="false"/>
                <w:sz w:val="15"/>
              </w:rPr>
            </w:pPr>
            <w:r>
              <w:rPr>
                <w:rFonts w:ascii="Times New Roman;serif" w:hAnsi="Times New Roman;serif"/>
                <w:b w:val="false"/>
                <w:sz w:val="15"/>
              </w:rPr>
              <w:t>Impairment of assets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246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119</w:t>
            </w:r>
          </w:p>
        </w:tc>
        <w:tc>
          <w:tcPr>
            <w:tcW w:w="15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400"/>
              <w:jc w:val="left"/>
              <w:rPr/>
            </w:pPr>
            <w:r>
              <w:rPr/>
              <w:t> </w:t>
            </w:r>
          </w:p>
        </w:tc>
      </w:tr>
      <w:tr>
        <w:trPr/>
        <w:tc>
          <w:tcPr>
            <w:tcW w:w="4531" w:type="dxa"/>
            <w:tcBorders/>
            <w:vAlign w:val="center"/>
          </w:tcPr>
          <w:p>
            <w:pPr>
              <w:pStyle w:val="TableContents"/>
              <w:bidi w:val="0"/>
              <w:spacing w:before="0" w:after="0"/>
              <w:ind w:left="400" w:right="0" w:hanging="0"/>
              <w:jc w:val="left"/>
              <w:rPr>
                <w:rFonts w:ascii="Times New Roman;serif" w:hAnsi="Times New Roman;serif"/>
                <w:b w:val="false"/>
                <w:sz w:val="15"/>
              </w:rPr>
            </w:pPr>
            <w:r>
              <w:rPr>
                <w:rFonts w:ascii="Times New Roman;serif" w:hAnsi="Times New Roman;serif"/>
                <w:b w:val="false"/>
                <w:sz w:val="15"/>
              </w:rPr>
              <w:t>Reduction in carrying amount of right-of-use asset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12,179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3,540</w:t>
            </w:r>
          </w:p>
        </w:tc>
        <w:tc>
          <w:tcPr>
            <w:tcW w:w="15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400"/>
              <w:jc w:val="left"/>
              <w:rPr/>
            </w:pPr>
            <w:r>
              <w:rPr/>
              <w:t> </w:t>
            </w:r>
          </w:p>
        </w:tc>
      </w:tr>
      <w:tr>
        <w:trPr/>
        <w:tc>
          <w:tcPr>
            <w:tcW w:w="4531" w:type="dxa"/>
            <w:tcBorders/>
            <w:vAlign w:val="center"/>
          </w:tcPr>
          <w:p>
            <w:pPr>
              <w:pStyle w:val="TableContents"/>
              <w:bidi w:val="0"/>
              <w:spacing w:before="0" w:after="0"/>
              <w:ind w:left="400" w:right="0" w:hanging="0"/>
              <w:jc w:val="left"/>
              <w:rPr>
                <w:rFonts w:ascii="Times New Roman;serif" w:hAnsi="Times New Roman;serif"/>
                <w:b w:val="false"/>
                <w:sz w:val="15"/>
              </w:rPr>
            </w:pPr>
            <w:r>
              <w:rPr>
                <w:rFonts w:ascii="Times New Roman;serif" w:hAnsi="Times New Roman;serif"/>
                <w:b w:val="false"/>
                <w:sz w:val="15"/>
              </w:rPr>
              <w:t>Stock based compensation</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10,492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8,935</w:t>
            </w:r>
          </w:p>
        </w:tc>
        <w:tc>
          <w:tcPr>
            <w:tcW w:w="15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400"/>
              <w:jc w:val="left"/>
              <w:rPr/>
            </w:pPr>
            <w:r>
              <w:rPr/>
              <w:t> </w:t>
            </w:r>
          </w:p>
        </w:tc>
      </w:tr>
      <w:tr>
        <w:trPr/>
        <w:tc>
          <w:tcPr>
            <w:tcW w:w="4531" w:type="dxa"/>
            <w:tcBorders/>
            <w:vAlign w:val="center"/>
          </w:tcPr>
          <w:p>
            <w:pPr>
              <w:pStyle w:val="TableContents"/>
              <w:bidi w:val="0"/>
              <w:spacing w:before="0" w:after="0"/>
              <w:ind w:left="400" w:right="0" w:hanging="0"/>
              <w:jc w:val="left"/>
              <w:rPr>
                <w:rFonts w:ascii="Times New Roman;serif" w:hAnsi="Times New Roman;serif"/>
                <w:b w:val="false"/>
                <w:sz w:val="15"/>
              </w:rPr>
            </w:pPr>
            <w:r>
              <w:rPr>
                <w:rFonts w:ascii="Times New Roman;serif" w:hAnsi="Times New Roman;serif"/>
                <w:b w:val="false"/>
                <w:sz w:val="15"/>
              </w:rPr>
              <w:t>Revaluation of contingent consideration</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187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434</w:t>
            </w:r>
          </w:p>
        </w:tc>
        <w:tc>
          <w:tcPr>
            <w:tcW w:w="15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400"/>
              <w:jc w:val="right"/>
              <w:rPr/>
            </w:pPr>
            <w:r>
              <w:rPr/>
              <w:t> </w:t>
            </w:r>
          </w:p>
        </w:tc>
      </w:tr>
      <w:tr>
        <w:trPr/>
        <w:tc>
          <w:tcPr>
            <w:tcW w:w="4531" w:type="dxa"/>
            <w:tcBorders/>
            <w:vAlign w:val="center"/>
          </w:tcPr>
          <w:p>
            <w:pPr>
              <w:pStyle w:val="TableContents"/>
              <w:bidi w:val="0"/>
              <w:spacing w:before="0" w:after="0"/>
              <w:ind w:left="400" w:right="0" w:hanging="0"/>
              <w:jc w:val="left"/>
              <w:rPr>
                <w:rFonts w:ascii="Times New Roman;serif" w:hAnsi="Times New Roman;serif"/>
                <w:b w:val="false"/>
                <w:sz w:val="15"/>
              </w:rPr>
            </w:pPr>
            <w:r>
              <w:rPr>
                <w:rFonts w:ascii="Times New Roman;serif" w:hAnsi="Times New Roman;serif"/>
                <w:b w:val="false"/>
                <w:sz w:val="15"/>
              </w:rPr>
              <w:t>Income from unconsolidated joint venture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(203</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(103</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91" w:type="dxa"/>
            <w:tcBorders/>
            <w:vAlign w:val="center"/>
          </w:tcPr>
          <w:p>
            <w:pPr>
              <w:pStyle w:val="TableContents"/>
              <w:bidi w:val="0"/>
              <w:spacing w:before="0" w:after="0"/>
              <w:ind w:left="0" w:right="0" w:firstLine="400"/>
              <w:jc w:val="right"/>
              <w:rPr/>
            </w:pPr>
            <w:r>
              <w:rPr/>
              <w:t> </w:t>
            </w:r>
          </w:p>
        </w:tc>
      </w:tr>
      <w:tr>
        <w:trPr/>
        <w:tc>
          <w:tcPr>
            <w:tcW w:w="4531" w:type="dxa"/>
            <w:tcBorders/>
            <w:vAlign w:val="center"/>
          </w:tcPr>
          <w:p>
            <w:pPr>
              <w:pStyle w:val="TableContents"/>
              <w:bidi w:val="0"/>
              <w:spacing w:before="0" w:after="0"/>
              <w:ind w:left="400" w:right="0" w:hanging="0"/>
              <w:jc w:val="left"/>
              <w:rPr>
                <w:rFonts w:ascii="Times New Roman;serif" w:hAnsi="Times New Roman;serif"/>
                <w:b w:val="false"/>
                <w:sz w:val="15"/>
              </w:rPr>
            </w:pPr>
            <w:r>
              <w:rPr>
                <w:rFonts w:ascii="Times New Roman;serif" w:hAnsi="Times New Roman;serif"/>
                <w:b w:val="false"/>
                <w:sz w:val="15"/>
              </w:rPr>
              <w:t>Donation of common stock</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370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1,285</w:t>
            </w:r>
          </w:p>
        </w:tc>
        <w:tc>
          <w:tcPr>
            <w:tcW w:w="15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400"/>
              <w:jc w:val="right"/>
              <w:rPr/>
            </w:pPr>
            <w:r>
              <w:rPr/>
              <w:t> </w:t>
            </w:r>
          </w:p>
        </w:tc>
      </w:tr>
      <w:tr>
        <w:trPr/>
        <w:tc>
          <w:tcPr>
            <w:tcW w:w="4531" w:type="dxa"/>
            <w:tcBorders/>
            <w:vAlign w:val="center"/>
          </w:tcPr>
          <w:p>
            <w:pPr>
              <w:pStyle w:val="TableContents"/>
              <w:bidi w:val="0"/>
              <w:spacing w:before="0" w:after="0"/>
              <w:ind w:left="400" w:right="0" w:hanging="0"/>
              <w:jc w:val="left"/>
              <w:rPr>
                <w:rFonts w:ascii="Times New Roman;serif" w:hAnsi="Times New Roman;serif"/>
                <w:b w:val="false"/>
                <w:sz w:val="15"/>
              </w:rPr>
            </w:pPr>
            <w:r>
              <w:rPr>
                <w:rFonts w:ascii="Times New Roman;serif" w:hAnsi="Times New Roman;serif"/>
                <w:b w:val="false"/>
                <w:sz w:val="15"/>
              </w:rPr>
              <w:t>Losses on marketable securities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1,190</w:t>
            </w:r>
          </w:p>
        </w:tc>
        <w:tc>
          <w:tcPr>
            <w:tcW w:w="15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400"/>
              <w:jc w:val="right"/>
              <w:rPr/>
            </w:pPr>
            <w:r>
              <w:rPr/>
              <w:t> </w:t>
            </w:r>
          </w:p>
        </w:tc>
      </w:tr>
      <w:tr>
        <w:trPr/>
        <w:tc>
          <w:tcPr>
            <w:tcW w:w="4531" w:type="dxa"/>
            <w:tcBorders/>
            <w:vAlign w:val="center"/>
          </w:tcPr>
          <w:p>
            <w:pPr>
              <w:pStyle w:val="TableContents"/>
              <w:bidi w:val="0"/>
              <w:spacing w:before="0" w:after="0"/>
              <w:ind w:left="400" w:right="0" w:hanging="0"/>
              <w:jc w:val="left"/>
              <w:rPr>
                <w:rFonts w:ascii="Times New Roman;serif" w:hAnsi="Times New Roman;serif"/>
                <w:b w:val="false"/>
                <w:sz w:val="15"/>
              </w:rPr>
            </w:pPr>
            <w:r>
              <w:rPr>
                <w:rFonts w:ascii="Times New Roman;serif" w:hAnsi="Times New Roman;serif"/>
                <w:b w:val="false"/>
                <w:sz w:val="15"/>
              </w:rPr>
              <w:t>Non-cash income tax benefit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(559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91" w:type="dxa"/>
            <w:tcBorders/>
            <w:vAlign w:val="center"/>
          </w:tcPr>
          <w:p>
            <w:pPr>
              <w:pStyle w:val="TableContents"/>
              <w:bidi w:val="0"/>
              <w:spacing w:before="0" w:after="0"/>
              <w:ind w:left="0" w:right="0" w:firstLine="400"/>
              <w:jc w:val="right"/>
              <w:rPr/>
            </w:pPr>
            <w:r>
              <w:rPr/>
              <w:t> </w:t>
            </w:r>
          </w:p>
        </w:tc>
      </w:tr>
      <w:tr>
        <w:trPr/>
        <w:tc>
          <w:tcPr>
            <w:tcW w:w="4531" w:type="dxa"/>
            <w:tcBorders/>
            <w:vAlign w:val="center"/>
          </w:tcPr>
          <w:p>
            <w:pPr>
              <w:pStyle w:val="TableContents"/>
              <w:bidi w:val="0"/>
              <w:spacing w:before="0" w:after="0"/>
              <w:ind w:left="400" w:right="0" w:hanging="0"/>
              <w:jc w:val="left"/>
              <w:rPr>
                <w:rFonts w:ascii="Times New Roman;serif" w:hAnsi="Times New Roman;serif"/>
                <w:b w:val="false"/>
                <w:sz w:val="15"/>
              </w:rPr>
            </w:pPr>
            <w:r>
              <w:rPr>
                <w:rFonts w:ascii="Times New Roman;serif" w:hAnsi="Times New Roman;serif"/>
                <w:b w:val="false"/>
                <w:sz w:val="15"/>
              </w:rPr>
              <w:t>Loss on sale of property and equipment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92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71</w:t>
            </w:r>
          </w:p>
        </w:tc>
        <w:tc>
          <w:tcPr>
            <w:tcW w:w="15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400"/>
              <w:jc w:val="right"/>
              <w:rPr/>
            </w:pPr>
            <w:r>
              <w:rPr/>
              <w:t> </w:t>
            </w:r>
          </w:p>
        </w:tc>
      </w:tr>
      <w:tr>
        <w:trPr/>
        <w:tc>
          <w:tcPr>
            <w:tcW w:w="4531" w:type="dxa"/>
            <w:tcBorders/>
            <w:vAlign w:val="center"/>
          </w:tcPr>
          <w:p>
            <w:pPr>
              <w:pStyle w:val="TableContents"/>
              <w:bidi w:val="0"/>
              <w:spacing w:before="0" w:after="0"/>
              <w:ind w:left="400" w:right="0" w:hanging="0"/>
              <w:jc w:val="left"/>
              <w:rPr>
                <w:rFonts w:ascii="Times New Roman;serif" w:hAnsi="Times New Roman;serif"/>
                <w:b w:val="false"/>
                <w:sz w:val="15"/>
              </w:rPr>
            </w:pPr>
            <w:r>
              <w:rPr>
                <w:rFonts w:ascii="Times New Roman;serif" w:hAnsi="Times New Roman;serif"/>
                <w:b w:val="false"/>
                <w:sz w:val="15"/>
              </w:rPr>
              <w:t>Inventory write-off</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223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400"/>
              <w:jc w:val="right"/>
              <w:rPr/>
            </w:pPr>
            <w:r>
              <w:rPr/>
              <w:t> </w:t>
            </w:r>
          </w:p>
        </w:tc>
      </w:tr>
      <w:tr>
        <w:trPr/>
        <w:tc>
          <w:tcPr>
            <w:tcW w:w="4531" w:type="dxa"/>
            <w:tcBorders/>
            <w:vAlign w:val="center"/>
          </w:tcPr>
          <w:p>
            <w:pPr>
              <w:pStyle w:val="TableContents"/>
              <w:bidi w:val="0"/>
              <w:spacing w:before="0" w:after="0"/>
              <w:ind w:left="400" w:right="0" w:hanging="0"/>
              <w:jc w:val="left"/>
              <w:rPr>
                <w:rFonts w:ascii="Times New Roman;serif" w:hAnsi="Times New Roman;serif"/>
                <w:b w:val="false"/>
                <w:sz w:val="15"/>
              </w:rPr>
            </w:pPr>
            <w:r>
              <w:rPr>
                <w:rFonts w:ascii="Times New Roman;serif" w:hAnsi="Times New Roman;serif"/>
                <w:b w:val="false"/>
                <w:sz w:val="15"/>
              </w:rPr>
              <w:t>Amortization of deferred costs on convertible notes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930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781</w:t>
            </w:r>
          </w:p>
        </w:tc>
        <w:tc>
          <w:tcPr>
            <w:tcW w:w="15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400"/>
              <w:jc w:val="right"/>
              <w:rPr/>
            </w:pPr>
            <w:r>
              <w:rPr/>
              <w:t> </w:t>
            </w:r>
          </w:p>
        </w:tc>
      </w:tr>
      <w:tr>
        <w:trPr/>
        <w:tc>
          <w:tcPr>
            <w:tcW w:w="4531" w:type="dxa"/>
            <w:tcBorders/>
            <w:vAlign w:val="center"/>
          </w:tcPr>
          <w:p>
            <w:pPr>
              <w:pStyle w:val="TableContents"/>
              <w:bidi w:val="0"/>
              <w:spacing w:before="0" w:after="0"/>
              <w:ind w:left="400" w:right="0" w:hanging="0"/>
              <w:jc w:val="left"/>
              <w:rPr>
                <w:rFonts w:ascii="Times New Roman;serif" w:hAnsi="Times New Roman;serif"/>
                <w:b w:val="false"/>
                <w:sz w:val="15"/>
              </w:rPr>
            </w:pPr>
            <w:r>
              <w:rPr>
                <w:rFonts w:ascii="Times New Roman;serif" w:hAnsi="Times New Roman;serif"/>
                <w:b w:val="false"/>
                <w:sz w:val="15"/>
              </w:rPr>
              <w:t>Deferred taxes benefit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(44</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91" w:type="dxa"/>
            <w:tcBorders/>
            <w:vAlign w:val="center"/>
          </w:tcPr>
          <w:p>
            <w:pPr>
              <w:pStyle w:val="TableContents"/>
              <w:bidi w:val="0"/>
              <w:spacing w:before="0" w:after="0"/>
              <w:ind w:left="0" w:right="0" w:firstLine="400"/>
              <w:jc w:val="right"/>
              <w:rPr/>
            </w:pPr>
            <w:r>
              <w:rPr/>
              <w:t> </w:t>
            </w:r>
          </w:p>
        </w:tc>
      </w:tr>
      <w:tr>
        <w:trPr/>
        <w:tc>
          <w:tcPr>
            <w:tcW w:w="4531" w:type="dxa"/>
            <w:tcBorders/>
            <w:vAlign w:val="center"/>
          </w:tcPr>
          <w:p>
            <w:pPr>
              <w:pStyle w:val="TableContents"/>
              <w:bidi w:val="0"/>
              <w:spacing w:before="0" w:after="0"/>
              <w:ind w:left="400" w:right="0" w:hanging="0"/>
              <w:jc w:val="left"/>
              <w:rPr>
                <w:rFonts w:ascii="Times New Roman;serif" w:hAnsi="Times New Roman;serif"/>
                <w:b w:val="false"/>
                <w:sz w:val="15"/>
              </w:rPr>
            </w:pPr>
            <w:r>
              <w:rPr>
                <w:rFonts w:ascii="Times New Roman;serif" w:hAnsi="Times New Roman;serif"/>
                <w:b w:val="false"/>
                <w:sz w:val="15"/>
              </w:rPr>
              <w:t>Changes in other assets and liabilities:</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2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600"/>
              <w:jc w:val="right"/>
              <w:rPr/>
            </w:pPr>
            <w:r>
              <w:rPr/>
              <w:t> </w:t>
            </w:r>
          </w:p>
        </w:tc>
      </w:tr>
      <w:tr>
        <w:trPr/>
        <w:tc>
          <w:tcPr>
            <w:tcW w:w="4531" w:type="dxa"/>
            <w:tcBorders/>
            <w:vAlign w:val="center"/>
          </w:tcPr>
          <w:p>
            <w:pPr>
              <w:pStyle w:val="TableContents"/>
              <w:bidi w:val="0"/>
              <w:spacing w:before="0" w:after="0"/>
              <w:ind w:left="600" w:right="0" w:hanging="0"/>
              <w:jc w:val="left"/>
              <w:rPr>
                <w:rFonts w:ascii="Times New Roman;serif" w:hAnsi="Times New Roman;serif"/>
                <w:b w:val="false"/>
                <w:sz w:val="15"/>
              </w:rPr>
            </w:pPr>
            <w:r>
              <w:rPr>
                <w:rFonts w:ascii="Times New Roman;serif" w:hAnsi="Times New Roman;serif"/>
                <w:b w:val="false"/>
                <w:sz w:val="15"/>
              </w:rPr>
              <w:t>Accounts receivable, net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(8,308</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(11,833</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91" w:type="dxa"/>
            <w:tcBorders/>
            <w:vAlign w:val="center"/>
          </w:tcPr>
          <w:p>
            <w:pPr>
              <w:pStyle w:val="TableContents"/>
              <w:bidi w:val="0"/>
              <w:spacing w:before="0" w:after="0"/>
              <w:ind w:left="0" w:right="0" w:firstLine="600"/>
              <w:jc w:val="right"/>
              <w:rPr/>
            </w:pPr>
            <w:r>
              <w:rPr/>
              <w:t> </w:t>
            </w:r>
          </w:p>
        </w:tc>
      </w:tr>
      <w:tr>
        <w:trPr/>
        <w:tc>
          <w:tcPr>
            <w:tcW w:w="4531" w:type="dxa"/>
            <w:tcBorders/>
            <w:vAlign w:val="center"/>
          </w:tcPr>
          <w:p>
            <w:pPr>
              <w:pStyle w:val="TableContents"/>
              <w:bidi w:val="0"/>
              <w:spacing w:before="0" w:after="0"/>
              <w:ind w:left="600" w:right="0" w:hanging="0"/>
              <w:jc w:val="left"/>
              <w:rPr>
                <w:rFonts w:ascii="Times New Roman;serif" w:hAnsi="Times New Roman;serif"/>
                <w:b w:val="false"/>
                <w:sz w:val="15"/>
              </w:rPr>
            </w:pPr>
            <w:r>
              <w:rPr>
                <w:rFonts w:ascii="Times New Roman;serif" w:hAnsi="Times New Roman;serif"/>
                <w:b w:val="false"/>
                <w:sz w:val="15"/>
              </w:rPr>
              <w:t>Inventory</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272</w:t>
            </w:r>
          </w:p>
        </w:tc>
        <w:tc>
          <w:tcPr>
            <w:tcW w:w="15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600"/>
              <w:jc w:val="right"/>
              <w:rPr/>
            </w:pPr>
            <w:r>
              <w:rPr/>
              <w:t> </w:t>
            </w:r>
          </w:p>
        </w:tc>
      </w:tr>
      <w:tr>
        <w:trPr/>
        <w:tc>
          <w:tcPr>
            <w:tcW w:w="4531" w:type="dxa"/>
            <w:tcBorders/>
            <w:vAlign w:val="center"/>
          </w:tcPr>
          <w:p>
            <w:pPr>
              <w:pStyle w:val="TableContents"/>
              <w:bidi w:val="0"/>
              <w:spacing w:before="0" w:after="0"/>
              <w:ind w:left="600" w:right="0" w:hanging="0"/>
              <w:jc w:val="left"/>
              <w:rPr>
                <w:rFonts w:ascii="Times New Roman;serif" w:hAnsi="Times New Roman;serif"/>
                <w:b w:val="false"/>
                <w:sz w:val="15"/>
              </w:rPr>
            </w:pPr>
            <w:r>
              <w:rPr>
                <w:rFonts w:ascii="Times New Roman;serif" w:hAnsi="Times New Roman;serif"/>
                <w:b w:val="false"/>
                <w:sz w:val="15"/>
              </w:rPr>
              <w:t>Prepaid expenses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1,417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(1,649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91" w:type="dxa"/>
            <w:tcBorders/>
            <w:vAlign w:val="center"/>
          </w:tcPr>
          <w:p>
            <w:pPr>
              <w:pStyle w:val="TableContents"/>
              <w:bidi w:val="0"/>
              <w:spacing w:before="0" w:after="0"/>
              <w:ind w:left="0" w:right="0" w:firstLine="600"/>
              <w:jc w:val="right"/>
              <w:rPr/>
            </w:pPr>
            <w:r>
              <w:rPr/>
              <w:t> </w:t>
            </w:r>
          </w:p>
        </w:tc>
      </w:tr>
      <w:tr>
        <w:trPr/>
        <w:tc>
          <w:tcPr>
            <w:tcW w:w="4531" w:type="dxa"/>
            <w:tcBorders/>
            <w:vAlign w:val="center"/>
          </w:tcPr>
          <w:p>
            <w:pPr>
              <w:pStyle w:val="TableContents"/>
              <w:bidi w:val="0"/>
              <w:spacing w:before="0" w:after="0"/>
              <w:ind w:left="600" w:right="0" w:hanging="0"/>
              <w:jc w:val="left"/>
              <w:rPr>
                <w:rFonts w:ascii="Times New Roman;serif" w:hAnsi="Times New Roman;serif"/>
                <w:b w:val="false"/>
                <w:sz w:val="15"/>
              </w:rPr>
            </w:pPr>
            <w:r>
              <w:rPr>
                <w:rFonts w:ascii="Times New Roman;serif" w:hAnsi="Times New Roman;serif"/>
                <w:b w:val="false"/>
                <w:sz w:val="15"/>
              </w:rPr>
              <w:t>Other assets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(2,546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(3,861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91" w:type="dxa"/>
            <w:tcBorders/>
            <w:vAlign w:val="center"/>
          </w:tcPr>
          <w:p>
            <w:pPr>
              <w:pStyle w:val="TableContents"/>
              <w:bidi w:val="0"/>
              <w:spacing w:before="0" w:after="0"/>
              <w:ind w:left="0" w:right="0" w:firstLine="600"/>
              <w:jc w:val="right"/>
              <w:rPr/>
            </w:pPr>
            <w:r>
              <w:rPr/>
              <w:t> </w:t>
            </w:r>
          </w:p>
        </w:tc>
      </w:tr>
      <w:tr>
        <w:trPr/>
        <w:tc>
          <w:tcPr>
            <w:tcW w:w="4531" w:type="dxa"/>
            <w:tcBorders/>
            <w:vAlign w:val="center"/>
          </w:tcPr>
          <w:p>
            <w:pPr>
              <w:pStyle w:val="TableContents"/>
              <w:bidi w:val="0"/>
              <w:spacing w:before="0" w:after="0"/>
              <w:ind w:left="600" w:right="0" w:hanging="0"/>
              <w:jc w:val="left"/>
              <w:rPr>
                <w:rFonts w:ascii="Times New Roman;serif" w:hAnsi="Times New Roman;serif"/>
                <w:b w:val="false"/>
                <w:sz w:val="15"/>
              </w:rPr>
            </w:pPr>
            <w:r>
              <w:rPr>
                <w:rFonts w:ascii="Times New Roman;serif" w:hAnsi="Times New Roman;serif"/>
                <w:b w:val="false"/>
                <w:sz w:val="15"/>
              </w:rPr>
              <w:t>Accounts payable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1,873</w:t>
            </w:r>
          </w:p>
        </w:tc>
        <w:tc>
          <w:tcPr>
            <w:tcW w:w="15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600"/>
              <w:jc w:val="left"/>
              <w:rPr/>
            </w:pPr>
            <w:r>
              <w:rPr/>
              <w:t> </w:t>
            </w:r>
          </w:p>
        </w:tc>
      </w:tr>
      <w:tr>
        <w:trPr/>
        <w:tc>
          <w:tcPr>
            <w:tcW w:w="4531" w:type="dxa"/>
            <w:tcBorders/>
            <w:vAlign w:val="center"/>
          </w:tcPr>
          <w:p>
            <w:pPr>
              <w:pStyle w:val="TableContents"/>
              <w:bidi w:val="0"/>
              <w:spacing w:before="0" w:after="0"/>
              <w:ind w:left="600" w:right="0" w:hanging="0"/>
              <w:jc w:val="left"/>
              <w:rPr>
                <w:rFonts w:ascii="Times New Roman;serif" w:hAnsi="Times New Roman;serif"/>
                <w:b w:val="false"/>
                <w:sz w:val="15"/>
              </w:rPr>
            </w:pPr>
            <w:r>
              <w:rPr>
                <w:rFonts w:ascii="Times New Roman;serif" w:hAnsi="Times New Roman;serif"/>
                <w:b w:val="false"/>
                <w:sz w:val="15"/>
              </w:rPr>
              <w:t>Accrued expenses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2,743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(2,041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91" w:type="dxa"/>
            <w:tcBorders/>
            <w:vAlign w:val="center"/>
          </w:tcPr>
          <w:p>
            <w:pPr>
              <w:pStyle w:val="TableContents"/>
              <w:bidi w:val="0"/>
              <w:spacing w:before="0" w:after="0"/>
              <w:ind w:left="0" w:right="0" w:firstLine="600"/>
              <w:jc w:val="left"/>
              <w:rPr/>
            </w:pPr>
            <w:r>
              <w:rPr/>
              <w:t> </w:t>
            </w:r>
          </w:p>
        </w:tc>
      </w:tr>
      <w:tr>
        <w:trPr/>
        <w:tc>
          <w:tcPr>
            <w:tcW w:w="4531" w:type="dxa"/>
            <w:tcBorders/>
            <w:vAlign w:val="center"/>
          </w:tcPr>
          <w:p>
            <w:pPr>
              <w:pStyle w:val="TableContents"/>
              <w:bidi w:val="0"/>
              <w:spacing w:before="0" w:after="0"/>
              <w:ind w:left="600" w:right="0" w:hanging="0"/>
              <w:jc w:val="left"/>
              <w:rPr>
                <w:rFonts w:ascii="Times New Roman;serif" w:hAnsi="Times New Roman;serif"/>
                <w:b w:val="false"/>
                <w:sz w:val="15"/>
              </w:rPr>
            </w:pPr>
            <w:r>
              <w:rPr>
                <w:rFonts w:ascii="Times New Roman;serif" w:hAnsi="Times New Roman;serif"/>
                <w:b w:val="false"/>
                <w:sz w:val="15"/>
              </w:rPr>
              <w:t>Contract liabilities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1,470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2,862</w:t>
            </w:r>
          </w:p>
        </w:tc>
        <w:tc>
          <w:tcPr>
            <w:tcW w:w="15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600"/>
              <w:jc w:val="left"/>
              <w:rPr/>
            </w:pPr>
            <w:r>
              <w:rPr/>
              <w:t> </w:t>
            </w:r>
          </w:p>
        </w:tc>
      </w:tr>
      <w:tr>
        <w:trPr/>
        <w:tc>
          <w:tcPr>
            <w:tcW w:w="4531" w:type="dxa"/>
            <w:tcBorders/>
            <w:vAlign w:val="center"/>
          </w:tcPr>
          <w:p>
            <w:pPr>
              <w:pStyle w:val="TableContents"/>
              <w:bidi w:val="0"/>
              <w:spacing w:before="0" w:after="0"/>
              <w:ind w:left="600" w:right="0" w:hanging="0"/>
              <w:jc w:val="left"/>
              <w:rPr>
                <w:rFonts w:ascii="Times New Roman;serif" w:hAnsi="Times New Roman;serif"/>
                <w:b w:val="false"/>
                <w:sz w:val="15"/>
              </w:rPr>
            </w:pPr>
            <w:r>
              <w:rPr>
                <w:rFonts w:ascii="Times New Roman;serif" w:hAnsi="Times New Roman;serif"/>
                <w:b w:val="false"/>
                <w:sz w:val="15"/>
              </w:rPr>
              <w:t>Lease liabilities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(2,369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(2,773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91" w:type="dxa"/>
            <w:tcBorders/>
            <w:vAlign w:val="center"/>
          </w:tcPr>
          <w:p>
            <w:pPr>
              <w:pStyle w:val="TableContents"/>
              <w:bidi w:val="0"/>
              <w:spacing w:before="0" w:after="0"/>
              <w:ind w:left="0" w:right="0" w:firstLine="400"/>
              <w:jc w:val="left"/>
              <w:rPr/>
            </w:pPr>
            <w:r>
              <w:rPr/>
              <w:t> </w:t>
            </w:r>
          </w:p>
        </w:tc>
      </w:tr>
      <w:tr>
        <w:trPr/>
        <w:tc>
          <w:tcPr>
            <w:tcW w:w="4531" w:type="dxa"/>
            <w:tcBorders/>
            <w:vAlign w:val="center"/>
          </w:tcPr>
          <w:p>
            <w:pPr>
              <w:pStyle w:val="TableContents"/>
              <w:bidi w:val="0"/>
              <w:spacing w:before="0" w:after="0"/>
              <w:ind w:left="400" w:right="0" w:hanging="0"/>
              <w:jc w:val="left"/>
              <w:rPr>
                <w:rFonts w:ascii="Times New Roman;serif" w:hAnsi="Times New Roman;serif"/>
                <w:b/>
                <w:sz w:val="15"/>
              </w:rPr>
            </w:pPr>
            <w:r>
              <w:rPr>
                <w:rFonts w:ascii="Times New Roman;serif" w:hAnsi="Times New Roman;serif"/>
                <w:b/>
                <w:sz w:val="15"/>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(22,607</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(34,196</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91" w:type="dxa"/>
            <w:tcBorders/>
            <w:vAlign w:val="center"/>
          </w:tcPr>
          <w:p>
            <w:pPr>
              <w:pStyle w:val="TableContents"/>
              <w:bidi w:val="0"/>
              <w:spacing w:before="0" w:after="0"/>
              <w:ind w:left="0" w:right="0" w:hanging="0"/>
              <w:jc w:val="left"/>
              <w:rPr/>
            </w:pPr>
            <w:r>
              <w:rPr/>
              <w:t> </w:t>
            </w:r>
          </w:p>
        </w:tc>
      </w:tr>
      <w:tr>
        <w:trPr/>
        <w:tc>
          <w:tcPr>
            <w:tcW w:w="453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200"/>
              <w:jc w:val="left"/>
              <w:rPr/>
            </w:pPr>
            <w:r>
              <w:rPr/>
              <w:t> </w:t>
            </w:r>
          </w:p>
        </w:tc>
      </w:tr>
      <w:tr>
        <w:trPr/>
        <w:tc>
          <w:tcPr>
            <w:tcW w:w="453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Purchases of marketable securities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(5,641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(280,559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91" w:type="dxa"/>
            <w:tcBorders/>
            <w:vAlign w:val="center"/>
          </w:tcPr>
          <w:p>
            <w:pPr>
              <w:pStyle w:val="TableContents"/>
              <w:bidi w:val="0"/>
              <w:spacing w:before="0" w:after="0"/>
              <w:ind w:left="0" w:right="0" w:firstLine="200"/>
              <w:jc w:val="right"/>
              <w:rPr/>
            </w:pPr>
            <w:r>
              <w:rPr/>
              <w:t> </w:t>
            </w:r>
          </w:p>
        </w:tc>
      </w:tr>
      <w:tr>
        <w:trPr/>
        <w:tc>
          <w:tcPr>
            <w:tcW w:w="453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Proceeds from sale of marketable securities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30,000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w:t>
            </w:r>
          </w:p>
        </w:tc>
        <w:tc>
          <w:tcPr>
            <w:tcW w:w="15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200"/>
              <w:jc w:val="right"/>
              <w:rPr/>
            </w:pPr>
            <w:r>
              <w:rPr/>
              <w:t> </w:t>
            </w:r>
          </w:p>
        </w:tc>
      </w:tr>
      <w:tr>
        <w:trPr/>
        <w:tc>
          <w:tcPr>
            <w:tcW w:w="453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Purchases of property and equipment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(8,492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(5,436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91" w:type="dxa"/>
            <w:tcBorders/>
            <w:vAlign w:val="center"/>
          </w:tcPr>
          <w:p>
            <w:pPr>
              <w:pStyle w:val="TableContents"/>
              <w:bidi w:val="0"/>
              <w:spacing w:before="0" w:after="0"/>
              <w:ind w:left="0" w:right="0" w:firstLine="200"/>
              <w:jc w:val="right"/>
              <w:rPr/>
            </w:pPr>
            <w:r>
              <w:rPr/>
              <w:t> </w:t>
            </w:r>
          </w:p>
        </w:tc>
      </w:tr>
      <w:tr>
        <w:trPr/>
        <w:tc>
          <w:tcPr>
            <w:tcW w:w="453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Proceeds from sale of property and equipment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223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165</w:t>
            </w:r>
          </w:p>
        </w:tc>
        <w:tc>
          <w:tcPr>
            <w:tcW w:w="15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200"/>
              <w:jc w:val="right"/>
              <w:rPr/>
            </w:pPr>
            <w:r>
              <w:rPr/>
              <w:t> </w:t>
            </w:r>
          </w:p>
        </w:tc>
      </w:tr>
      <w:tr>
        <w:trPr/>
        <w:tc>
          <w:tcPr>
            <w:tcW w:w="453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Cash paid for business combination, net of cash acquired</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(3,349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400"/>
              <w:jc w:val="right"/>
              <w:rPr/>
            </w:pPr>
            <w:r>
              <w:rPr/>
              <w:t> </w:t>
            </w:r>
          </w:p>
        </w:tc>
      </w:tr>
      <w:tr>
        <w:trPr/>
        <w:tc>
          <w:tcPr>
            <w:tcW w:w="4531" w:type="dxa"/>
            <w:tcBorders/>
            <w:vAlign w:val="center"/>
          </w:tcPr>
          <w:p>
            <w:pPr>
              <w:pStyle w:val="TableContents"/>
              <w:bidi w:val="0"/>
              <w:spacing w:before="0" w:after="0"/>
              <w:ind w:left="400" w:right="0" w:hanging="0"/>
              <w:jc w:val="left"/>
              <w:rPr>
                <w:rFonts w:ascii="Times New Roman;serif" w:hAnsi="Times New Roman;serif"/>
                <w:b/>
                <w:sz w:val="15"/>
              </w:rPr>
            </w:pPr>
            <w:r>
              <w:rPr>
                <w:rFonts w:ascii="Times New Roman;serif" w:hAnsi="Times New Roman;serif"/>
                <w:b/>
                <w:sz w:val="15"/>
              </w:rPr>
              <w:t>Net cash provided by (used in) investing activities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12,741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(285,826</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91" w:type="dxa"/>
            <w:tcBorders/>
            <w:vAlign w:val="center"/>
          </w:tcPr>
          <w:p>
            <w:pPr>
              <w:pStyle w:val="TableContents"/>
              <w:bidi w:val="0"/>
              <w:spacing w:before="0" w:after="0"/>
              <w:ind w:left="0" w:right="0" w:hanging="0"/>
              <w:jc w:val="left"/>
              <w:rPr/>
            </w:pPr>
            <w:r>
              <w:rPr/>
              <w:t> </w:t>
            </w:r>
          </w:p>
        </w:tc>
      </w:tr>
      <w:tr>
        <w:trPr/>
        <w:tc>
          <w:tcPr>
            <w:tcW w:w="453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200"/>
              <w:jc w:val="left"/>
              <w:rPr/>
            </w:pPr>
            <w:r>
              <w:rPr/>
              <w:t> </w:t>
            </w:r>
          </w:p>
        </w:tc>
      </w:tr>
      <w:tr>
        <w:trPr/>
        <w:tc>
          <w:tcPr>
            <w:tcW w:w="453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Proceeds from stock options exercised</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1,144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2,470</w:t>
            </w:r>
          </w:p>
        </w:tc>
        <w:tc>
          <w:tcPr>
            <w:tcW w:w="15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200"/>
              <w:jc w:val="right"/>
              <w:rPr/>
            </w:pPr>
            <w:r>
              <w:rPr/>
              <w:t> </w:t>
            </w:r>
          </w:p>
        </w:tc>
      </w:tr>
      <w:tr>
        <w:trPr/>
        <w:tc>
          <w:tcPr>
            <w:tcW w:w="453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Proceeds from issuance of convertible notes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287,500</w:t>
            </w:r>
          </w:p>
        </w:tc>
        <w:tc>
          <w:tcPr>
            <w:tcW w:w="15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200"/>
              <w:jc w:val="right"/>
              <w:rPr/>
            </w:pPr>
            <w:r>
              <w:rPr/>
              <w:t> </w:t>
            </w:r>
          </w:p>
        </w:tc>
      </w:tr>
      <w:tr>
        <w:trPr/>
        <w:tc>
          <w:tcPr>
            <w:tcW w:w="453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Costs incurred in connection with issuance of convertible notes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(9,309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91" w:type="dxa"/>
            <w:tcBorders/>
            <w:vAlign w:val="center"/>
          </w:tcPr>
          <w:p>
            <w:pPr>
              <w:pStyle w:val="TableContents"/>
              <w:bidi w:val="0"/>
              <w:spacing w:before="0" w:after="0"/>
              <w:ind w:left="0" w:right="0" w:firstLine="200"/>
              <w:jc w:val="right"/>
              <w:rPr/>
            </w:pPr>
            <w:r>
              <w:rPr/>
              <w:t> </w:t>
            </w:r>
          </w:p>
        </w:tc>
      </w:tr>
      <w:tr>
        <w:trPr/>
        <w:tc>
          <w:tcPr>
            <w:tcW w:w="453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Payments on finance lease obligations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91" w:type="dxa"/>
            <w:tcBorders/>
            <w:vAlign w:val="center"/>
          </w:tcPr>
          <w:p>
            <w:pPr>
              <w:pStyle w:val="TableContents"/>
              <w:bidi w:val="0"/>
              <w:spacing w:before="0" w:after="0"/>
              <w:ind w:left="0" w:right="0" w:firstLine="400"/>
              <w:jc w:val="right"/>
              <w:rPr/>
            </w:pPr>
            <w:r>
              <w:rPr/>
              <w:t> </w:t>
            </w:r>
          </w:p>
        </w:tc>
      </w:tr>
      <w:tr>
        <w:trPr/>
        <w:tc>
          <w:tcPr>
            <w:tcW w:w="4531" w:type="dxa"/>
            <w:tcBorders/>
            <w:vAlign w:val="center"/>
          </w:tcPr>
          <w:p>
            <w:pPr>
              <w:pStyle w:val="TableContents"/>
              <w:bidi w:val="0"/>
              <w:spacing w:before="0" w:after="0"/>
              <w:ind w:left="400" w:right="0" w:hanging="0"/>
              <w:jc w:val="left"/>
              <w:rPr>
                <w:rFonts w:ascii="Times New Roman;serif" w:hAnsi="Times New Roman;serif"/>
                <w:b/>
                <w:sz w:val="15"/>
              </w:rPr>
            </w:pPr>
            <w:r>
              <w:rPr>
                <w:rFonts w:ascii="Times New Roman;serif" w:hAnsi="Times New Roman;serif"/>
                <w:b/>
                <w:sz w:val="15"/>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1,144</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280,659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200"/>
              <w:jc w:val="left"/>
              <w:rPr/>
            </w:pPr>
            <w:r>
              <w:rPr/>
              <w:t> </w:t>
            </w:r>
          </w:p>
        </w:tc>
      </w:tr>
      <w:tr>
        <w:trPr/>
        <w:tc>
          <w:tcPr>
            <w:tcW w:w="453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Effect of foreign currency translation on cash and cash equivalents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(202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(66</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91" w:type="dxa"/>
            <w:tcBorders/>
            <w:vAlign w:val="center"/>
          </w:tcPr>
          <w:p>
            <w:pPr>
              <w:pStyle w:val="TableContents"/>
              <w:bidi w:val="0"/>
              <w:spacing w:before="0" w:after="0"/>
              <w:ind w:left="0" w:right="0" w:firstLine="400"/>
              <w:jc w:val="right"/>
              <w:rPr/>
            </w:pPr>
            <w:r>
              <w:rPr/>
              <w:t> </w:t>
            </w:r>
          </w:p>
        </w:tc>
      </w:tr>
      <w:tr>
        <w:trPr/>
        <w:tc>
          <w:tcPr>
            <w:tcW w:w="4531" w:type="dxa"/>
            <w:tcBorders/>
            <w:vAlign w:val="center"/>
          </w:tcPr>
          <w:p>
            <w:pPr>
              <w:pStyle w:val="TableContents"/>
              <w:bidi w:val="0"/>
              <w:spacing w:before="0" w:after="0"/>
              <w:ind w:left="0" w:right="0" w:firstLine="400"/>
              <w:jc w:val="left"/>
              <w:rPr>
                <w:rFonts w:ascii="Times New Roman;serif" w:hAnsi="Times New Roman;serif"/>
                <w:b/>
                <w:sz w:val="15"/>
              </w:rPr>
            </w:pPr>
            <w:r>
              <w:rPr>
                <w:rFonts w:ascii="Times New Roman;serif" w:hAnsi="Times New Roman;serif"/>
                <w:b/>
                <w:sz w:val="15"/>
              </w:rPr>
              <w:t>Net decrease in cash and cash equivalents</w:t>
            </w:r>
          </w:p>
        </w:tc>
        <w:tc>
          <w:tcPr>
            <w:tcW w:w="146" w:type="dxa"/>
            <w:tcBorders/>
            <w:vAlign w:val="center"/>
          </w:tcPr>
          <w:p>
            <w:pPr>
              <w:pStyle w:val="TableContents"/>
              <w:bidi w:val="0"/>
              <w:spacing w:before="0" w:after="0"/>
              <w:ind w:left="40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(8,924</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(39,429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91" w:type="dxa"/>
            <w:tcBorders/>
            <w:vAlign w:val="center"/>
          </w:tcPr>
          <w:p>
            <w:pPr>
              <w:pStyle w:val="TableContents"/>
              <w:bidi w:val="0"/>
              <w:spacing w:before="0" w:after="0"/>
              <w:ind w:left="0" w:right="0" w:hanging="0"/>
              <w:jc w:val="right"/>
              <w:rPr/>
            </w:pPr>
            <w:r>
              <w:rPr/>
              <w:t> </w:t>
            </w:r>
          </w:p>
        </w:tc>
      </w:tr>
      <w:tr>
        <w:trPr/>
        <w:tc>
          <w:tcPr>
            <w:tcW w:w="453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Cash and cash equivalents at beginning of the year</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65,662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86,262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left"/>
              <w:rPr/>
            </w:pPr>
            <w:r>
              <w:rPr/>
              <w:t> </w:t>
            </w:r>
          </w:p>
        </w:tc>
      </w:tr>
      <w:tr>
        <w:trPr/>
        <w:tc>
          <w:tcPr>
            <w:tcW w:w="453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Cash and cash equivalents at end of the period</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56,738</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46,833</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left"/>
              <w:rPr/>
            </w:pPr>
            <w:r>
              <w:rPr/>
              <w:t> </w:t>
            </w:r>
          </w:p>
        </w:tc>
      </w:tr>
      <w:tr>
        <w:trPr/>
        <w:tc>
          <w:tcPr>
            <w:tcW w:w="453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Supplemental cash flow information:</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hanging="0"/>
              <w:jc w:val="left"/>
              <w:rPr/>
            </w:pPr>
            <w:r>
              <w:rPr/>
              <w:t> </w:t>
            </w:r>
          </w:p>
        </w:tc>
      </w:tr>
      <w:tr>
        <w:trPr/>
        <w:tc>
          <w:tcPr>
            <w:tcW w:w="453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Cash paid for interest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1,438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4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left"/>
              <w:rPr/>
            </w:pPr>
            <w:r>
              <w:rPr/>
              <w:t> </w:t>
            </w:r>
          </w:p>
        </w:tc>
      </w:tr>
      <w:tr>
        <w:trPr/>
        <w:tc>
          <w:tcPr>
            <w:tcW w:w="453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Non-cash investing and financing activities:</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hanging="0"/>
              <w:jc w:val="left"/>
              <w:rPr/>
            </w:pPr>
            <w:r>
              <w:rPr/>
              <w:t> </w:t>
            </w:r>
          </w:p>
        </w:tc>
      </w:tr>
      <w:tr>
        <w:trPr/>
        <w:tc>
          <w:tcPr>
            <w:tcW w:w="453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Non-cash consideration in connection with business combination</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1,593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See accompanying notes to the unaudited condensed consolidated financial statements.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12" w:name="notes_to_financial_statements"/>
      <w:bookmarkEnd w:id="12"/>
      <w:r>
        <w:rPr>
          <w:rFonts w:ascii="Times New Roman;serif" w:hAnsi="Times New Roman;serif"/>
          <w:b/>
          <w:sz w:val="20"/>
        </w:rPr>
        <w:t>XOMETRY, INC. AND SUBSIDIARIES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bookmarkStart w:id="13" w:name="fin120843_6"/>
      <w:bookmarkEnd w:id="13"/>
      <w:r>
        <w:rPr>
          <w:rFonts w:ascii="Times New Roman;serif" w:hAnsi="Times New Roman;serif"/>
          <w:b w:val="false"/>
          <w:sz w:val="20"/>
        </w:rPr>
        <w:t>Notes to Unaudited Condensed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bidi w:val="0"/>
        <w:spacing w:before="120" w:after="0"/>
        <w:jc w:val="left"/>
        <w:rPr>
          <w:rFonts w:ascii="Times New Roman" w:hAnsi="Times New Roman"/>
          <w:sz w:val="20"/>
        </w:rPr>
      </w:pPr>
      <w:r>
        <w:rPr>
          <w:rFonts w:ascii="Times New Roman;serif" w:hAnsi="Times New Roman;serif"/>
          <w:b/>
          <w:sz w:val="20"/>
        </w:rPr>
        <w:t>(1)</w:t>
      </w:r>
      <w:r>
        <w:rPr>
          <w:rFonts w:ascii="Times New Roman" w:hAnsi="Times New Roman"/>
          <w:sz w:val="20"/>
        </w:rPr>
        <w:t xml:space="preserve"> </w:t>
      </w:r>
      <w:r>
        <w:rPr>
          <w:rFonts w:ascii="Times New Roman;serif" w:hAnsi="Times New Roman;serif"/>
          <w:b/>
          <w:sz w:val="20"/>
        </w:rPr>
        <w:t>Organization and Description of Business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Xometry, Inc. (“Xometry”, the “Company”, “we”, or “our”) was incorporated in the State of Delaware in May 2013. Xometry is a global online marketplace connecting buyers with suppliers of manufacturing services, transforming one of the largest industries in the world. We use our proprietary technology to create a marketplace that enables buyers to efficiently source manufactured parts and assemblies, and empower suppliers of manufacturing services to grow their businesses. Xometry's corporate headquarters is located in North Bethesda, Maryland.</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Our AI-enabled technology platform is powered by proprietary machine learning algorithms and a dataset, resulting in a sophisticated two-sided marketplace that is rapidly digitizing the manufacturing industry. As a result, buyers can procure the products they want on demand, and suppliers can source new manufacturing opportunities that match their specific capabilities and capacity. Interactions on our marketplace provide rich data insights that allow us to continuously improve our AI models and create new products and services, fueling powerful network effects as we scale.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We use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aftermarket parts for its buyers.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Xometry’s suppliers’ capabilities include computer numerical control manufacturing, sheet metal forming, sheet cutting, 3D printing (including fused deposition modeling, direct metal laser sintering, PolyJet, stereolithography, selective laser sintering, binder jetting, carbon digital light synthesis, multi jet fusion and lubricant sublayer photo-curing), die casting, stamping, injection molding, urethane casting, tube cutting, tube bending, as well as finishing services, rapid prototyping and high-volume production.</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We empower suppliers to grow their manufacturing businesses and improve machine uptime by providing access to an extensive, diverse base of buyers. We also offer suppliers supporting products and services to meet their unique needs. Our suite of supplier services includes a cloud-based manufacturing execution system (“Workcenter”) and financial service products to stabilize and enhance cash flow. In addition, we offer suppliers digital marketing and data solutions and SaaS based solutions to help suppliers optimize their productivity. In 2021, we acquired Thomas Publishing Company (“Thomas”) and Fusiform, Inc. (d/b/a FactoryFour) (“FactoryFour”), expanding our basket of supplier services to include marketing and advertising services and Workcenter to help suppliers optimize their productivity.</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(2)</w:t>
      </w:r>
      <w:r>
        <w:rPr>
          <w:rFonts w:ascii="Times New Roman" w:hAnsi="Times New Roman"/>
          <w:sz w:val="20"/>
        </w:rPr>
        <w:t xml:space="preserve"> </w:t>
      </w:r>
      <w:r>
        <w:rPr>
          <w:rFonts w:ascii="Times New Roman;serif" w:hAnsi="Times New Roman;serif"/>
          <w:b/>
          <w:sz w:val="20"/>
        </w:rPr>
        <w:t>Basis of Presentation and Summary of Significant Accounting Policies</w:t>
      </w:r>
      <w:r>
        <w:rPr>
          <w:rFonts w:ascii="Times New Roman" w:hAnsi="Times New Roman"/>
          <w:sz w:val="20"/>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(a)</w:t>
      </w:r>
    </w:p>
    <w:p>
      <w:pPr>
        <w:pStyle w:val="TextBody"/>
        <w:bidi w:val="0"/>
        <w:spacing w:before="120" w:after="283"/>
        <w:jc w:val="left"/>
        <w:rPr>
          <w:rFonts w:ascii="Times New Roman;serif" w:hAnsi="Times New Roman;serif"/>
          <w:sz w:val="20"/>
        </w:rPr>
      </w:pPr>
      <w:r>
        <w:rPr>
          <w:rFonts w:ascii="Times New Roman;serif" w:hAnsi="Times New Roman;serif"/>
          <w:b/>
          <w:i/>
          <w:sz w:val="20"/>
        </w:rPr>
        <w:t>Basis of Presentation</w:t>
      </w:r>
      <w:r>
        <w:rPr>
          <w:rFonts w:ascii="Times New Roman;serif" w:hAnsi="Times New Roman;serif"/>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March 16, 2023.</w:t>
      </w:r>
    </w:p>
    <w:p>
      <w:pPr>
        <w:pStyle w:val="TextBody"/>
        <w:bidi w:val="0"/>
        <w:spacing w:before="120" w:after="0"/>
        <w:jc w:val="left"/>
        <w:rPr>
          <w:rFonts w:ascii="Times New Roman" w:hAnsi="Times New Roman"/>
          <w:sz w:val="20"/>
        </w:rPr>
      </w:pPr>
      <w:r>
        <w:rPr>
          <w:rFonts w:ascii="Times New Roman;serif" w:hAnsi="Times New Roman;serif"/>
          <w:b w:val="false"/>
          <w:sz w:val="20"/>
        </w:rPr>
        <w:t>The condensed consolidated balance sheet as of December 31, 2022, included herein, was derived from the audited financial statements as of that date, but may not include all disclosures including certain notes required by U.S. GAAP on an annual reporting basis. In the opinion of management, the accompanying condensed consolidated financial statements reflect all normal recurring adjustments necessary to present fairly the financial position, results of operations, comprehensive loss, stockholders' equity and cash flows for the interim periods, but are not necessarily indicative of the results of operations to be anticipated for the full year 2023 or any future period. The Company has two</w:t>
      </w:r>
      <w:r>
        <w:rPr>
          <w:rFonts w:ascii="Times New Roman" w:hAnsi="Times New Roman"/>
          <w:sz w:val="20"/>
        </w:rPr>
        <w:t xml:space="preserve"> </w:t>
      </w:r>
      <w:r>
        <w:rPr>
          <w:rFonts w:ascii="Times New Roman;serif" w:hAnsi="Times New Roman;serif"/>
          <w:b w:val="false"/>
          <w:sz w:val="20"/>
        </w:rPr>
        <w:t>reporting segments which are referred to as: (1) the United States (“U.S.”) and (2) International.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Foreign Operations and Comprehensive Loss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U.S. dollar (“USD”) is the functional currency for Xometry’s consolidated subsidiary operating in the U.S. The primary functional currency for the Company's consolidated subsidiaries operating in Germany and to a lesser extent, United Kingdom, Turkey, China and Japan, is the Euro, British Pound Sterling, Turkish Lira, Yuan and the Yen, respectively. For the Company’s consolidated subsidiaries whose functional currencies are not the USD, the Company translates their financial statements into USD.</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translates assets and liabilities at the exchange rate in effect as of the financial statement date. Revenue and expense accounts are translated using an average exchange rate for the period. Gains and losses resulting from translation are included in accumulated other comprehensive income (“AOCI”), as a separate component of equity.</w:t>
      </w:r>
      <w:r>
        <w:rPr>
          <w:rFonts w:ascii="Times New Roman" w:hAnsi="Times New Roman"/>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Noncontrolling Interest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a 66.67% ownership in Incom Co., LTD. As we have a controlling interest in Incom Co., LTD, we have consolidated Incom Co., LTD into our unaudited condensed consolidated financial statements. The portion of equity in Incom Co., LTD not owned by the Company is accounted for as a noncontrolling interest. We present the portion of any equity that we do not own in a consolidated entity as noncontrolling interest and classify their interest as a component of total equity, separate from total stockholders’ equity on our Condensed Consolidated Balance Sheets. We include net (loss) income attributable to the noncontrolling interests in net loss in our Condensed Consolidated Statements of Operations and Comprehensive Loss.</w:t>
      </w:r>
    </w:p>
    <w:p>
      <w:pPr>
        <w:pStyle w:val="TextBody"/>
        <w:bidi w:val="0"/>
        <w:spacing w:before="120" w:after="0"/>
        <w:jc w:val="left"/>
        <w:rPr>
          <w:rFonts w:ascii="Times New Roman" w:hAnsi="Times New Roman"/>
          <w:b/>
          <w:i/>
          <w:sz w:val="20"/>
        </w:rPr>
      </w:pPr>
      <w:r>
        <w:rPr>
          <w:rFonts w:ascii="Times New Roman" w:hAnsi="Times New Roman"/>
          <w:b/>
          <w:i/>
          <w:sz w:val="20"/>
        </w:rPr>
        <w:t>(b)</w:t>
      </w:r>
    </w:p>
    <w:p>
      <w:pPr>
        <w:pStyle w:val="TextBody"/>
        <w:bidi w:val="0"/>
        <w:spacing w:before="120" w:after="283"/>
        <w:jc w:val="left"/>
        <w:rPr>
          <w:rFonts w:ascii="Times New Roman;serif" w:hAnsi="Times New Roman;serif"/>
          <w:b/>
          <w:i/>
          <w:sz w:val="20"/>
        </w:rPr>
      </w:pPr>
      <w:r>
        <w:rPr>
          <w:rFonts w:ascii="Times New Roman;serif" w:hAnsi="Times New Roman;serif"/>
          <w:b/>
          <w:i/>
          <w:sz w:val="20"/>
        </w:rPr>
        <w:t xml:space="preserve">Use of Estimates </w:t>
      </w:r>
    </w:p>
    <w:p>
      <w:pPr>
        <w:pStyle w:val="TextBody"/>
        <w:bidi w:val="0"/>
        <w:spacing w:before="120" w:after="0"/>
        <w:jc w:val="left"/>
        <w:rPr>
          <w:rFonts w:ascii="Times New Roman" w:hAnsi="Times New Roman"/>
          <w:sz w:val="20"/>
        </w:rPr>
      </w:pPr>
      <w:r>
        <w:rPr>
          <w:rFonts w:ascii="Times New Roman;serif" w:hAnsi="Times New Roman;serif"/>
          <w:b w:val="false"/>
          <w:sz w:val="20"/>
        </w:rPr>
        <w:t>The preparation of the Company’s unaudited condensed consolidated financial statements in conformity with U.S. GAAP requires management to make estimates and assumptions, which affect the reported amounts in the financial statements and accompanying notes. Actual results could differ from those estimates.</w:t>
      </w:r>
      <w:r>
        <w:rPr>
          <w:rFonts w:ascii="Times New Roman" w:hAnsi="Times New Roman"/>
          <w:sz w:val="20"/>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(c)</w:t>
      </w:r>
    </w:p>
    <w:p>
      <w:pPr>
        <w:pStyle w:val="TextBody"/>
        <w:bidi w:val="0"/>
        <w:spacing w:before="120" w:after="283"/>
        <w:jc w:val="left"/>
        <w:rPr>
          <w:rFonts w:ascii="Times New Roman;serif" w:hAnsi="Times New Roman;serif"/>
          <w:sz w:val="20"/>
        </w:rPr>
      </w:pPr>
      <w:r>
        <w:rPr>
          <w:rFonts w:ascii="Times New Roman;serif" w:hAnsi="Times New Roman;serif"/>
          <w:b/>
          <w:i/>
          <w:sz w:val="20"/>
        </w:rPr>
        <w:t>Business Combinations</w:t>
      </w:r>
      <w:r>
        <w:rPr>
          <w:rFonts w:ascii="Times New Roman;serif" w:hAnsi="Times New Roman;serif"/>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Upon the conclusion of the measurement period or final determination of the fair value of assets acquired or liabilities assumed, whichever comes first, any subsequent adjustments are reflected in the consolidated statements of operations. Acquisition costs, such as legal and consulting fees, are expensed as incurred.</w:t>
      </w:r>
      <w:r>
        <w:rPr>
          <w:rFonts w:ascii="Times New Roman" w:hAnsi="Times New Roman"/>
          <w:sz w:val="20"/>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(d)</w:t>
      </w:r>
    </w:p>
    <w:p>
      <w:pPr>
        <w:pStyle w:val="TextBody"/>
        <w:bidi w:val="0"/>
        <w:spacing w:before="120" w:after="283"/>
        <w:jc w:val="left"/>
        <w:rPr>
          <w:rFonts w:ascii="Times New Roman;serif" w:hAnsi="Times New Roman;serif"/>
          <w:sz w:val="20"/>
        </w:rPr>
      </w:pPr>
      <w:r>
        <w:rPr>
          <w:rFonts w:ascii="Times New Roman;serif" w:hAnsi="Times New Roman;serif"/>
          <w:b/>
          <w:i/>
          <w:sz w:val="20"/>
        </w:rPr>
        <w:t>Fair Value Measurements and Financial Instruments</w:t>
      </w:r>
      <w:r>
        <w:rPr>
          <w:rFonts w:ascii="Times New Roman;serif" w:hAnsi="Times New Roman;serif"/>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measures certain assets and liabilities at fair value on a recurring basis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Level 1 - Observable inputs that reflect quoted prices (unadjusted) for identical assets or liabilities in active markets.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Level 2 -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Level 3 - Unobservable inputs reflecting the Company’s own assumptions incorporated in valuation techniques used to determine fair value. These assumptions are required to be consistent with market participant assumptions that are reasonably available.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carrying amounts of certain of the Company’s financial instruments, which include cash and cash equivalents, accounts receivable, prepaid expenses and other assets, accounts payable, accrued expenses and contract liabilities approximate their fair values due to their short maturities. The Company's marketable securities are recorded at fair value.</w:t>
      </w:r>
      <w:r>
        <w:rPr>
          <w:rFonts w:ascii="Times New Roman" w:hAnsi="Times New Roman"/>
          <w:sz w:val="20"/>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(e)</w:t>
      </w:r>
    </w:p>
    <w:p>
      <w:pPr>
        <w:pStyle w:val="TextBody"/>
        <w:bidi w:val="0"/>
        <w:spacing w:before="120" w:after="283"/>
        <w:jc w:val="left"/>
        <w:rPr>
          <w:rFonts w:ascii="Times New Roman;serif" w:hAnsi="Times New Roman;serif"/>
          <w:b/>
          <w:i/>
          <w:sz w:val="20"/>
        </w:rPr>
      </w:pPr>
      <w:r>
        <w:rPr>
          <w:rFonts w:ascii="Times New Roman;serif" w:hAnsi="Times New Roman;serif"/>
          <w:b/>
          <w:i/>
          <w:sz w:val="20"/>
        </w:rPr>
        <w:t xml:space="preserve">Marketable Securities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measures its marketable securities at fair value and recognizes any changes in fair value in other expenses on the Condensed Consolidated Statements of Operations and Comprehensive Loss. The Company's marketable securities represent our investments in a short term money market fund. These marketable securities have maturities of three months or less. As of June 30, 2023 and December 31, 2022, the Company's marketable securities of $229.4</w:t>
      </w:r>
      <w:r>
        <w:rPr>
          <w:rFonts w:ascii="Times New Roman" w:hAnsi="Times New Roman"/>
          <w:sz w:val="20"/>
        </w:rPr>
        <w:t xml:space="preserve"> </w:t>
      </w:r>
      <w:r>
        <w:rPr>
          <w:rFonts w:ascii="Times New Roman;serif" w:hAnsi="Times New Roman;serif"/>
          <w:b w:val="false"/>
          <w:sz w:val="20"/>
        </w:rPr>
        <w:t>million and $253.8</w:t>
      </w:r>
      <w:r>
        <w:rPr>
          <w:rFonts w:ascii="Times New Roman" w:hAnsi="Times New Roman"/>
          <w:sz w:val="20"/>
        </w:rPr>
        <w:t xml:space="preserve"> </w:t>
      </w:r>
      <w:r>
        <w:rPr>
          <w:rFonts w:ascii="Times New Roman;serif" w:hAnsi="Times New Roman;serif"/>
          <w:b w:val="false"/>
          <w:sz w:val="20"/>
        </w:rPr>
        <w:t>million respectively, were recorded at fair value, within Level 1 of the fair value hierarchy. The fair value of the Company’s Level 1 financial instruments is based on quoted prices in active markets, total fair value is the published market price per unit multiplied by the number of units held without</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consideration of transaction costs, discounts or blockage factors. No</w:t>
      </w:r>
      <w:r>
        <w:rPr>
          <w:rFonts w:ascii="Times New Roman" w:hAnsi="Times New Roman"/>
          <w:sz w:val="20"/>
        </w:rPr>
        <w:t xml:space="preserve"> </w:t>
      </w:r>
      <w:r>
        <w:rPr>
          <w:rFonts w:ascii="Times New Roman;serif" w:hAnsi="Times New Roman;serif"/>
          <w:b w:val="false"/>
          <w:sz w:val="20"/>
        </w:rPr>
        <w:t>losses were recorded during the three and six months ended June 30, 2023. During the three and six months ended June 30, 2022, the Company recorded losses of $0.3</w:t>
      </w:r>
      <w:r>
        <w:rPr>
          <w:rFonts w:ascii="Times New Roman" w:hAnsi="Times New Roman"/>
          <w:sz w:val="20"/>
        </w:rPr>
        <w:t xml:space="preserve"> </w:t>
      </w:r>
      <w:r>
        <w:rPr>
          <w:rFonts w:ascii="Times New Roman;serif" w:hAnsi="Times New Roman;serif"/>
          <w:b w:val="false"/>
          <w:sz w:val="20"/>
        </w:rPr>
        <w:t>million and $1.2</w:t>
      </w:r>
      <w:r>
        <w:rPr>
          <w:rFonts w:ascii="Times New Roman" w:hAnsi="Times New Roman"/>
          <w:sz w:val="20"/>
        </w:rPr>
        <w:t xml:space="preserve"> </w:t>
      </w:r>
      <w:r>
        <w:rPr>
          <w:rFonts w:ascii="Times New Roman;serif" w:hAnsi="Times New Roman;serif"/>
          <w:b w:val="false"/>
          <w:sz w:val="20"/>
        </w:rPr>
        <w:t>million, respectively, related to these securities, which is recorded in other expenses on the Condensed Consolidated Statements of Operations and Comprehensive Loss.</w:t>
      </w:r>
      <w:r>
        <w:rPr>
          <w:rFonts w:ascii="Times New Roman" w:hAnsi="Times New Roman"/>
          <w:sz w:val="20"/>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(f)</w:t>
      </w:r>
    </w:p>
    <w:p>
      <w:pPr>
        <w:pStyle w:val="TextBody"/>
        <w:bidi w:val="0"/>
        <w:spacing w:before="120" w:after="283"/>
        <w:jc w:val="left"/>
        <w:rPr>
          <w:rFonts w:ascii="Times New Roman;serif" w:hAnsi="Times New Roman;serif"/>
          <w:sz w:val="20"/>
        </w:rPr>
      </w:pPr>
      <w:r>
        <w:rPr>
          <w:rFonts w:ascii="Times New Roman;serif" w:hAnsi="Times New Roman;serif"/>
          <w:b/>
          <w:i/>
          <w:sz w:val="20"/>
        </w:rPr>
        <w:t>Accounts Receivable</w:t>
      </w:r>
      <w:r>
        <w:rPr>
          <w:rFonts w:ascii="Times New Roman;serif" w:hAnsi="Times New Roman;serif"/>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Accounts receivable are stated at the amount the Company expects to collect from outstanding balances. The Company's accounts receivable do not bear interest. Amounts collected on accounts receivable are included in net cash used in operating activities in the Condensed Consolidated Statements of Cash Flows. For buyers for which the Company provides credit, the Company performs credit inquiries, including reference checks, and queries credit ratings services and other publicly available information. Management provides for probable uncollectible amounts through a provision for bad debt expense and an adjustment to a valuation allowance based on the age of the outstanding amounts, each customer’s expected ability to pay and collection history, current market conditions, and reasonable and supportable forecasts of future economic conditions to determine whether the allowance is appropriate. The Company reviews its valuation allowance monthly. Past due balances over 90 days and over a specified amount are reviewed individually for collectability. Balances that are still outstanding after management has used reasonable collection efforts are written off through a charge to the valuation allowance and a credit to accounts receivable.</w:t>
      </w:r>
      <w:r>
        <w:rPr>
          <w:rFonts w:ascii="Times New Roman" w:hAnsi="Times New Roman"/>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Allowance For Credit Losses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allowance for credit losses related to accounts receivable and changes were as follows (in thousands):</w:t>
      </w:r>
    </w:p>
    <w:p>
      <w:pPr>
        <w:pStyle w:val="TextBody"/>
        <w:bidi w:val="0"/>
        <w:spacing w:before="120" w:after="0"/>
        <w:jc w:val="left"/>
        <w:rPr/>
      </w:pPr>
      <w:r>
        <w:rPr/>
        <w:t> </w:t>
      </w:r>
    </w:p>
    <w:tbl>
      <w:tblPr>
        <w:tblW w:w="7379" w:type="dxa"/>
        <w:jc w:val="left"/>
        <w:tblInd w:w="0" w:type="dxa"/>
        <w:tblLayout w:type="fixed"/>
        <w:tblCellMar>
          <w:top w:w="28" w:type="dxa"/>
          <w:left w:w="28" w:type="dxa"/>
          <w:bottom w:w="28" w:type="dxa"/>
          <w:right w:w="28" w:type="dxa"/>
        </w:tblCellMar>
      </w:tblPr>
      <w:tblGrid>
        <w:gridCol w:w="5146"/>
        <w:gridCol w:w="146"/>
        <w:gridCol w:w="211"/>
        <w:gridCol w:w="571"/>
        <w:gridCol w:w="166"/>
        <w:gridCol w:w="146"/>
        <w:gridCol w:w="211"/>
        <w:gridCol w:w="571"/>
        <w:gridCol w:w="211"/>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5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51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Allowance for credit losses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51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beginning of year, January 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809</w:t>
            </w:r>
          </w:p>
        </w:tc>
        <w:tc>
          <w:tcPr>
            <w:tcW w:w="211" w:type="dxa"/>
            <w:tcBorders/>
            <w:vAlign w:val="center"/>
          </w:tcPr>
          <w:p>
            <w:pPr>
              <w:pStyle w:val="TableContents"/>
              <w:bidi w:val="0"/>
              <w:spacing w:before="0" w:after="0"/>
              <w:ind w:left="0" w:right="0" w:hanging="0"/>
              <w:jc w:val="left"/>
              <w:rPr/>
            </w:pPr>
            <w:r>
              <w:rPr/>
              <w:t> </w:t>
            </w:r>
          </w:p>
        </w:tc>
      </w:tr>
      <w:tr>
        <w:trPr/>
        <w:tc>
          <w:tcPr>
            <w:tcW w:w="51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Charge to provision accounts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1,324</w:t>
            </w:r>
          </w:p>
        </w:tc>
        <w:tc>
          <w:tcPr>
            <w:tcW w:w="211" w:type="dxa"/>
            <w:tcBorders/>
            <w:vAlign w:val="center"/>
          </w:tcPr>
          <w:p>
            <w:pPr>
              <w:pStyle w:val="TableContents"/>
              <w:bidi w:val="0"/>
              <w:spacing w:before="0" w:after="0"/>
              <w:ind w:left="0" w:right="0" w:hanging="0"/>
              <w:jc w:val="left"/>
              <w:rPr/>
            </w:pPr>
            <w:r>
              <w:rPr/>
              <w:t> </w:t>
            </w:r>
          </w:p>
        </w:tc>
      </w:tr>
      <w:tr>
        <w:trPr/>
        <w:tc>
          <w:tcPr>
            <w:tcW w:w="51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Write-offs or 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period end, June 30 and December 31,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b/>
          <w:i/>
          <w:sz w:val="20"/>
        </w:rPr>
      </w:pPr>
      <w:r>
        <w:rPr>
          <w:rFonts w:ascii="Times New Roman" w:hAnsi="Times New Roman"/>
          <w:b/>
          <w:i/>
          <w:sz w:val="20"/>
        </w:rPr>
        <w:t>(g)</w:t>
      </w:r>
    </w:p>
    <w:p>
      <w:pPr>
        <w:pStyle w:val="TextBody"/>
        <w:bidi w:val="0"/>
        <w:spacing w:before="120" w:after="283"/>
        <w:jc w:val="left"/>
        <w:rPr>
          <w:rFonts w:ascii="Times New Roman;serif" w:hAnsi="Times New Roman;serif"/>
          <w:sz w:val="20"/>
        </w:rPr>
      </w:pPr>
      <w:r>
        <w:rPr>
          <w:rFonts w:ascii="Times New Roman;serif" w:hAnsi="Times New Roman;serif"/>
          <w:b/>
          <w:i/>
          <w:sz w:val="20"/>
        </w:rPr>
        <w:t>Property and Equipment and Long-Lived Assets</w:t>
      </w:r>
      <w:r>
        <w:rPr>
          <w:rFonts w:ascii="Times New Roman;serif" w:hAnsi="Times New Roman;serif"/>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Property and equipment are stated at cost. Depreciation is calculated on the straight-line method over the estimated useful life of the assets, which range from three to seven years, or in the case of leasehold improvements, over the shorter of the remaining lease term or the useful life of the asset.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Property and equipment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Property and equipment includes capitalized internal-use software development costs. Eligible internal-use software development costs are capitalized subsequent to the completion of the preliminary project stage. Such costs include internal and external direct development costs totaling $7.1</w:t>
      </w:r>
      <w:r>
        <w:rPr>
          <w:rFonts w:ascii="Times New Roman" w:hAnsi="Times New Roman"/>
          <w:sz w:val="20"/>
        </w:rPr>
        <w:t xml:space="preserve"> </w:t>
      </w:r>
      <w:r>
        <w:rPr>
          <w:rFonts w:ascii="Times New Roman;serif" w:hAnsi="Times New Roman;serif"/>
          <w:b w:val="false"/>
          <w:sz w:val="20"/>
        </w:rPr>
        <w:t>million for the six months ended June 30, 2023 and $11.5</w:t>
      </w:r>
      <w:r>
        <w:rPr>
          <w:rFonts w:ascii="Times New Roman" w:hAnsi="Times New Roman"/>
          <w:sz w:val="20"/>
        </w:rPr>
        <w:t xml:space="preserve"> </w:t>
      </w:r>
      <w:r>
        <w:rPr>
          <w:rFonts w:ascii="Times New Roman;serif" w:hAnsi="Times New Roman;serif"/>
          <w:b w:val="false"/>
          <w:sz w:val="20"/>
        </w:rPr>
        <w:t>million for the year ended December 31, 2022. After all substantial testing and deployment is completed and the software is ready for its intended use, capitalization is discontinued and the internal-use software costs are placed in service and amortized using the straight-line method over the estimated useful life of the software, generally three years.</w:t>
      </w:r>
      <w:r>
        <w:rPr>
          <w:rFonts w:ascii="Times New Roman" w:hAnsi="Times New Roman"/>
          <w:sz w:val="20"/>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(h)</w:t>
      </w:r>
    </w:p>
    <w:p>
      <w:pPr>
        <w:pStyle w:val="TextBody"/>
        <w:bidi w:val="0"/>
        <w:spacing w:before="120" w:after="283"/>
        <w:jc w:val="left"/>
        <w:rPr>
          <w:rFonts w:ascii="Times New Roman;serif" w:hAnsi="Times New Roman;serif"/>
          <w:sz w:val="20"/>
        </w:rPr>
      </w:pPr>
      <w:r>
        <w:rPr>
          <w:rFonts w:ascii="Times New Roman;serif" w:hAnsi="Times New Roman;serif"/>
          <w:b/>
          <w:i/>
          <w:sz w:val="20"/>
        </w:rPr>
        <w:t>Goodwill</w:t>
      </w:r>
      <w:r>
        <w:rPr>
          <w:rFonts w:ascii="Times New Roman;serif" w:hAnsi="Times New Roman;serif"/>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Goodwill represents the excess purchase price over the estimated fair value of net assets acquired in a business combination. As of June 30, 2023,</w:t>
      </w:r>
      <w:r>
        <w:rPr>
          <w:rFonts w:ascii="Times New Roman" w:hAnsi="Times New Roman"/>
          <w:sz w:val="20"/>
        </w:rPr>
        <w:t xml:space="preserve"> </w:t>
      </w:r>
      <w:r>
        <w:rPr>
          <w:rFonts w:ascii="Times New Roman;serif" w:hAnsi="Times New Roman;serif"/>
          <w:b w:val="false"/>
          <w:sz w:val="20"/>
        </w:rPr>
        <w:t>the Company's goodwill is attributable to both the U.S. and International reporting units. As of December 31, 2022, the Company's goodwill is attributable to the U.S. reporting unit. Goodwill is not amortized. The Company tests goodwill for impairment annually in the fourth quarter, or more frequently, if events or changes in circumstances indicate that the carrying value of a reporting unit, including goodwill, might be impaired.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testing for goodwill impairment, we first assess qualitative factors to determine whether the existence of events or circumstances leads to a determination that it is more likely than not that the fair value of a reporting unit is less than its carrying amount. These qualitative factors assessed may include the following: (i) significant changes in the manner of our use of the assets or the strategy of our overall business, (ii) certain restructuring initiatives, (iii) significant negative industry or economic trends and (iv)</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significant decline in our share price for a sustained period. If, after assessing the totality of events or circumstances, we determine it is not more likely than not that the fair value of a reporting unit is less than its carrying amount, then additional impairment testing is not required. However, if we conclude otherwise, we proceed to the quantitative assessment.</w:t>
      </w:r>
      <w:r>
        <w:rPr>
          <w:rFonts w:ascii="Times New Roman" w:hAnsi="Times New Roman"/>
          <w:sz w:val="20"/>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(i)</w:t>
      </w:r>
    </w:p>
    <w:p>
      <w:pPr>
        <w:pStyle w:val="TextBody"/>
        <w:bidi w:val="0"/>
        <w:spacing w:before="120" w:after="283"/>
        <w:jc w:val="left"/>
        <w:rPr>
          <w:rFonts w:ascii="Times New Roman;serif" w:hAnsi="Times New Roman;serif"/>
          <w:b/>
          <w:i/>
          <w:sz w:val="20"/>
        </w:rPr>
      </w:pPr>
      <w:r>
        <w:rPr>
          <w:rFonts w:ascii="Times New Roman;serif" w:hAnsi="Times New Roman;serif"/>
          <w:b/>
          <w:i/>
          <w:sz w:val="20"/>
        </w:rPr>
        <w:t xml:space="preserve">Revenue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Company derives the majority of its marketplace revenue in the U.S. and Europe from the sale of parts and assemblies fulfilled using a vast network of suppliers. The Company recognizes revenue from the sales to our customers pursuant to Financial Accounting Standard Board’s (“FASB”) Accounting Standards Codification (“ASC”) </w:t>
      </w:r>
      <w:r>
        <w:rPr>
          <w:rFonts w:ascii="Times New Roman;serif" w:hAnsi="Times New Roman;serif"/>
          <w:b w:val="false"/>
          <w:i/>
          <w:sz w:val="20"/>
        </w:rPr>
        <w:t>Topic 606, Revenue from Contracts with Customers</w:t>
      </w:r>
      <w:r>
        <w:rPr>
          <w:rFonts w:ascii="Times New Roman" w:hAnsi="Times New Roman"/>
          <w:sz w:val="20"/>
        </w:rPr>
        <w:t xml:space="preserve"> </w:t>
      </w:r>
      <w:r>
        <w:rPr>
          <w:rFonts w:ascii="Times New Roman;serif" w:hAnsi="Times New Roman;serif"/>
          <w:b w:val="false"/>
          <w:sz w:val="20"/>
        </w:rPr>
        <w:t>(“ASC 606”).</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 determines that a contract exists between the Company and the customer when the customer accepts the quote and places the order, all of which are governed by the Company’s standard terms and conditions or other agreed terms with Xometry’s buyers. Upon completion of an order through Xometry’s platform, the Company identifies the performance obligation(s) within that order to complete the sale of the manufactured part(s) or assembly. Using Xometry’s in-house technology, the Company determines the price for the manufactured part(s) or assembly on a stand-alone basis at order initiation. The Company recognizes revenue from sales to Xometry’s customers upon shipment, at which point control over the part(s) or assembly have transferred.</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 has concluded that the Company is principal in the sale of part(s) and assemblies that use the Company’s network of third-party manufacturers because the Company controls the manufacturing by obtaining a right to direct a third-party manufacturer to fulfill the performance obligation Xometry has with the Company’s customers on Xometry’s behalf. The Company has considered the following conditions of the sale: (i) the Company has the obligation of providing the specified product to the customer, (ii) the Company has discretion with respect to establishing the price of the product and the price the Company pays the suppliers and the Company has margin risk on all of Xometry’s sales, (iii) the Company has discretion in determining how to fulfill each order, including selecting the supplier and (iv) Xometry bears certain risk for product quality to the extent the customer is not satisfied with the final product.</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Xometry also derives revenue from its supplier services which is a suite of services offered to our suppliers. Revenue also includes the sale of marketing services which includes advertising. This revenue is generally recognized as control is transferred to the customer, in an amount reflecting the consideration we expect to be entitled to in exchange for such product or service. From time to time, a purchase order with a customer may involve multiple performance obligations, including a combination of some or all of our products. Judgment may be required in determining whether products are considered distinct performance obligations that should be accounted for separately or as one combined performance obligation. Revenue is recognized over the period or at the point in time in which the performance obligations are satisfied. Consideration is typically determined based on a fixed unit price for the quantity of product transferred. For purchase orders involving multiple performance obligations, the transaction price is allocated to each performance obligation based on relative standalone selling price, and recognized as revenue when each individual product or service is transferred to the customer.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Revenue is shown net of estimated returns, refunds, and allowances. At June 30, 2023 and December 31, 2022, the Company has a provision for estimated returns, refunds or allowances of $0.2</w:t>
      </w:r>
      <w:r>
        <w:rPr>
          <w:rFonts w:ascii="Times New Roman" w:hAnsi="Times New Roman"/>
          <w:sz w:val="20"/>
        </w:rPr>
        <w:t xml:space="preserve"> </w:t>
      </w:r>
      <w:r>
        <w:rPr>
          <w:rFonts w:ascii="Times New Roman;serif" w:hAnsi="Times New Roman;serif"/>
          <w:b w:val="false"/>
          <w:sz w:val="20"/>
        </w:rPr>
        <w:t>million and $0.3</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Sales tax, and if applicable duties and/or tariffs collected from customers and remitted to governmental authorities is excluded from 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Contract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Contract liabilities are primarily derived from payments received in advance or at the time an order is placed, for which the associated performance obligations have not been satisfied and revenue has not been recognized based on the Company’s revenue recognition criteria described above.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presents contract liabilities as of December 31, 2022 and June 30, 2023 (in thousands):</w:t>
      </w:r>
      <w:r>
        <w:rPr>
          <w:rFonts w:ascii="Times New Roman" w:hAnsi="Times New Roman"/>
          <w:sz w:val="20"/>
        </w:rPr>
        <w:t xml:space="preserve"> </w:t>
      </w:r>
    </w:p>
    <w:p>
      <w:pPr>
        <w:pStyle w:val="TextBody"/>
        <w:bidi w:val="0"/>
        <w:spacing w:before="120" w:after="0"/>
        <w:jc w:val="left"/>
        <w:rPr/>
      </w:pPr>
      <w:r>
        <w:rPr/>
        <w:t> </w:t>
      </w:r>
    </w:p>
    <w:tbl>
      <w:tblPr>
        <w:tblW w:w="4815" w:type="dxa"/>
        <w:jc w:val="left"/>
        <w:tblInd w:w="0" w:type="dxa"/>
        <w:tblLayout w:type="fixed"/>
        <w:tblCellMar>
          <w:top w:w="28" w:type="dxa"/>
          <w:left w:w="28" w:type="dxa"/>
          <w:bottom w:w="28" w:type="dxa"/>
          <w:right w:w="28" w:type="dxa"/>
        </w:tblCellMar>
      </w:tblPr>
      <w:tblGrid>
        <w:gridCol w:w="3466"/>
        <w:gridCol w:w="146"/>
        <w:gridCol w:w="211"/>
        <w:gridCol w:w="781"/>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Rollforward of contract liabilities: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liabilities at 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8,509</w:t>
            </w:r>
          </w:p>
        </w:tc>
        <w:tc>
          <w:tcPr>
            <w:tcW w:w="21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recognized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(99,848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Payments received in advance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101,317</w:t>
            </w:r>
          </w:p>
        </w:tc>
        <w:tc>
          <w:tcPr>
            <w:tcW w:w="21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Acquired contract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liabilities at June 30, 2023</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9,999</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six months ended June 30, 2023, the Company recognized approximately $8.0</w:t>
      </w:r>
      <w:r>
        <w:rPr>
          <w:rFonts w:ascii="Times New Roman" w:hAnsi="Times New Roman"/>
          <w:sz w:val="20"/>
        </w:rPr>
        <w:t xml:space="preserve"> </w:t>
      </w:r>
      <w:r>
        <w:rPr>
          <w:rFonts w:ascii="Times New Roman;serif" w:hAnsi="Times New Roman;serif"/>
          <w:b w:val="false"/>
          <w:sz w:val="20"/>
        </w:rPr>
        <w:t>million of revenue related to its contract liabilities at December 31, 2022.</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i/>
          <w:sz w:val="20"/>
        </w:rPr>
        <w:t>Sales Contract Acquisition Costs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Company’s incremental costs to obtain a contract may include a sales commission which is generally determined on a per order basis. For contracts in excess of one year, the Company amortizes such costs on a straight-line basis over the average customer life of two years</w:t>
      </w:r>
      <w:r>
        <w:rPr>
          <w:rFonts w:ascii="Times New Roman" w:hAnsi="Times New Roman"/>
          <w:sz w:val="20"/>
        </w:rPr>
        <w:t xml:space="preserve"> </w:t>
      </w:r>
      <w:r>
        <w:rPr>
          <w:rFonts w:ascii="Times New Roman;serif" w:hAnsi="Times New Roman;serif"/>
          <w:b w:val="false"/>
          <w:sz w:val="20"/>
        </w:rPr>
        <w:t>for new customers and over the renewal period for existing customers which is generally one year. Sales commissions are included in the Company's sales and marketing expenses in the Condensed Consolidated Statements of Operations and Comprehensive Loss. For the three and six months ended June 30, 2023 the Company recognized approximately $2.0</w:t>
      </w:r>
      <w:r>
        <w:rPr>
          <w:rFonts w:ascii="Times New Roman" w:hAnsi="Times New Roman"/>
          <w:sz w:val="20"/>
        </w:rPr>
        <w:t xml:space="preserve"> </w:t>
      </w:r>
      <w:r>
        <w:rPr>
          <w:rFonts w:ascii="Times New Roman;serif" w:hAnsi="Times New Roman;serif"/>
          <w:b w:val="false"/>
          <w:sz w:val="20"/>
        </w:rPr>
        <w:t>million and $4.0</w:t>
      </w:r>
      <w:r>
        <w:rPr>
          <w:rFonts w:ascii="Times New Roman" w:hAnsi="Times New Roman"/>
          <w:sz w:val="20"/>
        </w:rPr>
        <w:t xml:space="preserve"> </w:t>
      </w:r>
      <w:r>
        <w:rPr>
          <w:rFonts w:ascii="Times New Roman;serif" w:hAnsi="Times New Roman;serif"/>
          <w:b w:val="false"/>
          <w:sz w:val="20"/>
        </w:rPr>
        <w:t>million, respectively of amortization related to deferred sales commissions. For the three and six months ended June 30, 2022 the Company recognized approximately $(0.7) million and $1.4</w:t>
      </w:r>
      <w:r>
        <w:rPr>
          <w:rFonts w:ascii="Times New Roman" w:hAnsi="Times New Roman"/>
          <w:sz w:val="20"/>
        </w:rPr>
        <w:t xml:space="preserve"> </w:t>
      </w:r>
      <w:r>
        <w:rPr>
          <w:rFonts w:ascii="Times New Roman;serif" w:hAnsi="Times New Roman;serif"/>
          <w:b w:val="false"/>
          <w:sz w:val="20"/>
        </w:rPr>
        <w:t>million, respectively of amortization related to deferred sales commissions. During the three months ended June 30, 2022, the amount included a $1.9</w:t>
      </w:r>
      <w:r>
        <w:rPr>
          <w:rFonts w:ascii="Times New Roman" w:hAnsi="Times New Roman"/>
          <w:sz w:val="20"/>
        </w:rPr>
        <w:t xml:space="preserve"> </w:t>
      </w:r>
      <w:r>
        <w:rPr>
          <w:rFonts w:ascii="Times New Roman;serif" w:hAnsi="Times New Roman;serif"/>
          <w:b w:val="false"/>
          <w:sz w:val="20"/>
        </w:rPr>
        <w:t>million measurement period benefit related to the Company's acquisition of Thomas. As of June 30, 2023 and December 31, 2022, the Company had deferred sales contract acquisition costs of $4.0</w:t>
      </w:r>
      <w:r>
        <w:rPr>
          <w:rFonts w:ascii="Times New Roman" w:hAnsi="Times New Roman"/>
          <w:sz w:val="20"/>
        </w:rPr>
        <w:t xml:space="preserve"> </w:t>
      </w:r>
      <w:r>
        <w:rPr>
          <w:rFonts w:ascii="Times New Roman;serif" w:hAnsi="Times New Roman;serif"/>
          <w:b w:val="false"/>
          <w:sz w:val="20"/>
        </w:rPr>
        <w:t>million and $3.3</w:t>
      </w:r>
      <w:r>
        <w:rPr>
          <w:rFonts w:ascii="Times New Roman" w:hAnsi="Times New Roman"/>
          <w:sz w:val="20"/>
        </w:rPr>
        <w:t xml:space="preserve"> </w:t>
      </w:r>
      <w:r>
        <w:rPr>
          <w:rFonts w:ascii="Times New Roman;serif" w:hAnsi="Times New Roman;serif"/>
          <w:b w:val="false"/>
          <w:sz w:val="20"/>
        </w:rPr>
        <w:t>million, respectively which is classified in other current assets on the Condensed Consolidated Balance Sheets.</w:t>
      </w:r>
      <w:r>
        <w:rPr>
          <w:rFonts w:ascii="Times New Roman" w:hAnsi="Times New Roman"/>
          <w:sz w:val="20"/>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(j)</w:t>
      </w:r>
    </w:p>
    <w:p>
      <w:pPr>
        <w:pStyle w:val="TextBody"/>
        <w:bidi w:val="0"/>
        <w:spacing w:before="120" w:after="283"/>
        <w:jc w:val="left"/>
        <w:rPr>
          <w:rFonts w:ascii="Times New Roman;serif" w:hAnsi="Times New Roman;serif"/>
          <w:b/>
          <w:i/>
          <w:sz w:val="20"/>
        </w:rPr>
      </w:pPr>
      <w:r>
        <w:rPr>
          <w:rFonts w:ascii="Times New Roman;serif" w:hAnsi="Times New Roman;serif"/>
          <w:b/>
          <w:i/>
          <w:sz w:val="20"/>
        </w:rPr>
        <w:t>Cost of Revenue</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Cost of revenue for marketplace primarily consists of the cost of the products that are manufactured or produced by the Company’s suppliers for delivery to buyers on the Company's platform, internal and external production costs, shipping costs, and certain internal depreciation.</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Cost of revenue for supplier services primarily consists of internal and external production costs and website hosting.</w:t>
      </w:r>
    </w:p>
    <w:p>
      <w:pPr>
        <w:pStyle w:val="TextBody"/>
        <w:bidi w:val="0"/>
        <w:spacing w:before="120" w:after="0"/>
        <w:jc w:val="left"/>
        <w:rPr>
          <w:rFonts w:ascii="Times New Roman" w:hAnsi="Times New Roman"/>
          <w:b/>
          <w:i/>
          <w:sz w:val="20"/>
        </w:rPr>
      </w:pPr>
      <w:r>
        <w:rPr>
          <w:rFonts w:ascii="Times New Roman" w:hAnsi="Times New Roman"/>
          <w:b/>
          <w:i/>
          <w:sz w:val="20"/>
        </w:rPr>
        <w:t>(k)</w:t>
      </w:r>
    </w:p>
    <w:p>
      <w:pPr>
        <w:pStyle w:val="TextBody"/>
        <w:bidi w:val="0"/>
        <w:spacing w:before="120" w:after="283"/>
        <w:jc w:val="left"/>
        <w:rPr>
          <w:rFonts w:ascii="Times New Roman;serif" w:hAnsi="Times New Roman;serif"/>
          <w:sz w:val="20"/>
        </w:rPr>
      </w:pPr>
      <w:r>
        <w:rPr>
          <w:rFonts w:ascii="Times New Roman;serif" w:hAnsi="Times New Roman;serif"/>
          <w:b/>
          <w:i/>
          <w:sz w:val="20"/>
        </w:rPr>
        <w:t>Leases</w:t>
      </w:r>
      <w:r>
        <w:rPr>
          <w:rFonts w:ascii="Times New Roman;serif" w:hAnsi="Times New Roman;serif"/>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determines if an arrangement contains a lease and the classification of that lease, if applicable, at its inception. Operating leases are included in operating lease right-of-use ("ROU") assets, operating lease liabilities, current portion and operating lease liabilities, net of current portion in the Condensed Consolidated Balance Sheets. The Company has finance leases as detailed in the Long-Lived Assets section above. For leases with terms of twelve months or less, the Company does not recognize ROU assets or lease liabilities on the Condensed Consolidated Balance Sheets. Additionally, the Company elected to use the practical expedient to not separate lease and non-lease components for leases of real estate, meaning that for these leases, the non-lease components are included in the associated ROU asset and lease liability balances on the Company’s Condensed Consolidated Balance Sheets.</w:t>
      </w:r>
      <w:r>
        <w:rPr>
          <w:rFonts w:ascii="Times New Roman" w:hAnsi="Times New Roman"/>
          <w:sz w:val="20"/>
        </w:rPr>
        <w:t xml:space="preserve"> </w:t>
      </w:r>
    </w:p>
    <w:p>
      <w:pPr>
        <w:pStyle w:val="TextBody"/>
        <w:bidi w:val="0"/>
        <w:spacing w:before="12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 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Lease expense is recognized on a straight-line basis over the term of the lease.</w:t>
      </w:r>
      <w:r>
        <w:rPr>
          <w:rFonts w:ascii="Times New Roman" w:hAnsi="Times New Roman"/>
          <w:sz w:val="20"/>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(l)</w:t>
      </w:r>
    </w:p>
    <w:p>
      <w:pPr>
        <w:pStyle w:val="TextBody"/>
        <w:bidi w:val="0"/>
        <w:spacing w:before="120" w:after="283"/>
        <w:jc w:val="left"/>
        <w:rPr>
          <w:rFonts w:ascii="Times New Roman;serif" w:hAnsi="Times New Roman;serif"/>
          <w:b/>
          <w:i/>
          <w:sz w:val="20"/>
        </w:rPr>
      </w:pPr>
      <w:r>
        <w:rPr>
          <w:rFonts w:ascii="Times New Roman;serif" w:hAnsi="Times New Roman;serif"/>
          <w:b/>
          <w:i/>
          <w:sz w:val="20"/>
        </w:rPr>
        <w:t xml:space="preserve">Sales and Marketing </w:t>
      </w:r>
    </w:p>
    <w:p>
      <w:pPr>
        <w:pStyle w:val="TextBody"/>
        <w:bidi w:val="0"/>
        <w:spacing w:before="120" w:after="0"/>
        <w:jc w:val="left"/>
        <w:rPr>
          <w:rFonts w:ascii="Times New Roman" w:hAnsi="Times New Roman"/>
          <w:sz w:val="20"/>
        </w:rPr>
      </w:pPr>
      <w:r>
        <w:rPr>
          <w:rFonts w:ascii="Times New Roman;serif" w:hAnsi="Times New Roman;serif"/>
          <w:b w:val="false"/>
          <w:sz w:val="20"/>
        </w:rPr>
        <w:t>Sales and marketing expenses are expensed as incurred and include the costs of digital marketing strategies, branding costs and other advertising costs, certain depreciation and amortization expense, contract acquisition costs and compensation expenses, including stock-based compensation, to the Company’s sales and marketing employees. For the three and six months ended June 30, 2023, the Company's advertising cost were $7.5</w:t>
      </w:r>
      <w:r>
        <w:rPr>
          <w:rFonts w:ascii="Times New Roman" w:hAnsi="Times New Roman"/>
          <w:sz w:val="20"/>
        </w:rPr>
        <w:t xml:space="preserve"> </w:t>
      </w:r>
      <w:r>
        <w:rPr>
          <w:rFonts w:ascii="Times New Roman;serif" w:hAnsi="Times New Roman;serif"/>
          <w:b w:val="false"/>
          <w:sz w:val="20"/>
        </w:rPr>
        <w:t>million and $15.7</w:t>
      </w:r>
      <w:r>
        <w:rPr>
          <w:rFonts w:ascii="Times New Roman" w:hAnsi="Times New Roman"/>
          <w:sz w:val="20"/>
        </w:rPr>
        <w:t xml:space="preserve"> </w:t>
      </w:r>
      <w:r>
        <w:rPr>
          <w:rFonts w:ascii="Times New Roman;serif" w:hAnsi="Times New Roman;serif"/>
          <w:b w:val="false"/>
          <w:sz w:val="20"/>
        </w:rPr>
        <w:t>million, respectively. For the three and six months ended June 30, 2022, the Company's advertising costs were $7.9</w:t>
      </w:r>
      <w:r>
        <w:rPr>
          <w:rFonts w:ascii="Times New Roman" w:hAnsi="Times New Roman"/>
          <w:sz w:val="20"/>
        </w:rPr>
        <w:t xml:space="preserve"> </w:t>
      </w:r>
      <w:r>
        <w:rPr>
          <w:rFonts w:ascii="Times New Roman;serif" w:hAnsi="Times New Roman;serif"/>
          <w:b w:val="false"/>
          <w:sz w:val="20"/>
        </w:rPr>
        <w:t>million and $15.0</w:t>
      </w:r>
      <w:r>
        <w:rPr>
          <w:rFonts w:ascii="Times New Roman" w:hAnsi="Times New Roman"/>
          <w:sz w:val="20"/>
        </w:rPr>
        <w:t xml:space="preserve"> </w:t>
      </w:r>
      <w:r>
        <w:rPr>
          <w:rFonts w:ascii="Times New Roman;serif" w:hAnsi="Times New Roman;serif"/>
          <w:b w:val="false"/>
          <w:sz w:val="20"/>
        </w:rPr>
        <w:t>million, respectively.</w:t>
      </w:r>
    </w:p>
    <w:p>
      <w:pPr>
        <w:pStyle w:val="TextBody"/>
        <w:bidi w:val="0"/>
        <w:spacing w:before="120" w:after="0"/>
        <w:jc w:val="left"/>
        <w:rPr>
          <w:rFonts w:ascii="Times New Roman" w:hAnsi="Times New Roman"/>
          <w:b/>
          <w:i/>
          <w:sz w:val="20"/>
        </w:rPr>
      </w:pPr>
      <w:r>
        <w:rPr>
          <w:rFonts w:ascii="Times New Roman" w:hAnsi="Times New Roman"/>
          <w:b/>
          <w:i/>
          <w:sz w:val="20"/>
        </w:rPr>
        <w:t>(m)</w:t>
      </w:r>
    </w:p>
    <w:p>
      <w:pPr>
        <w:pStyle w:val="TextBody"/>
        <w:bidi w:val="0"/>
        <w:spacing w:before="120" w:after="283"/>
        <w:jc w:val="left"/>
        <w:rPr>
          <w:rFonts w:ascii="Times New Roman;serif" w:hAnsi="Times New Roman;serif"/>
          <w:b/>
          <w:i/>
          <w:sz w:val="20"/>
        </w:rPr>
      </w:pPr>
      <w:r>
        <w:rPr>
          <w:rFonts w:ascii="Times New Roman;serif" w:hAnsi="Times New Roman;serif"/>
          <w:b/>
          <w:i/>
          <w:sz w:val="20"/>
        </w:rPr>
        <w:t xml:space="preserve">Operations and Support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Operations and support expenses are the costs the Company incurs in support of the customers and suppliers on Xometry’s platforms which are provided by phone, email and chat for purposes of resolving customer and supplier related matters. These costs primarily consist of compensation expenses of the support staff, including stock-based compensation, certain depreciation and amortization expense and software costs used in delivering customer and supplier services. </w:t>
      </w:r>
    </w:p>
    <w:p>
      <w:pPr>
        <w:pStyle w:val="TextBody"/>
        <w:bidi w:val="0"/>
        <w:spacing w:before="120" w:after="0"/>
        <w:jc w:val="left"/>
        <w:rPr>
          <w:rFonts w:ascii="Times New Roman" w:hAnsi="Times New Roman"/>
          <w:b/>
          <w:i/>
          <w:sz w:val="20"/>
        </w:rPr>
      </w:pPr>
      <w:r>
        <w:rPr>
          <w:rFonts w:ascii="Times New Roman" w:hAnsi="Times New Roman"/>
          <w:b/>
          <w:i/>
          <w:sz w:val="20"/>
        </w:rPr>
        <w:t>(n)</w:t>
      </w:r>
    </w:p>
    <w:p>
      <w:pPr>
        <w:pStyle w:val="TextBody"/>
        <w:bidi w:val="0"/>
        <w:spacing w:before="120" w:after="283"/>
        <w:jc w:val="left"/>
        <w:rPr>
          <w:rFonts w:ascii="Times New Roman;serif" w:hAnsi="Times New Roman;serif"/>
          <w:sz w:val="20"/>
        </w:rPr>
      </w:pPr>
      <w:r>
        <w:rPr>
          <w:rFonts w:ascii="Times New Roman;serif" w:hAnsi="Times New Roman;serif"/>
          <w:b/>
          <w:i/>
          <w:sz w:val="20"/>
        </w:rPr>
        <w:t>Product Development</w:t>
      </w:r>
      <w:r>
        <w:rPr>
          <w:rFonts w:ascii="Times New Roman;serif" w:hAnsi="Times New Roman;serif"/>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Product development costs which are not eligible for capitalization are expensed as incurred. This account also includes compensation expenses, including stock-based compensation to the Company’s employees performing these functions and certain depreciation and amortization expense.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b/>
          <w:i/>
          <w:sz w:val="20"/>
        </w:rPr>
      </w:pPr>
      <w:r>
        <w:rPr>
          <w:rFonts w:ascii="Times New Roman" w:hAnsi="Times New Roman"/>
          <w:b/>
          <w:i/>
          <w:sz w:val="20"/>
        </w:rPr>
        <w:t>(o)</w:t>
      </w:r>
    </w:p>
    <w:p>
      <w:pPr>
        <w:pStyle w:val="TextBody"/>
        <w:bidi w:val="0"/>
        <w:spacing w:before="120" w:after="283"/>
        <w:jc w:val="left"/>
        <w:rPr>
          <w:rFonts w:ascii="Times New Roman;serif" w:hAnsi="Times New Roman;serif"/>
          <w:sz w:val="20"/>
        </w:rPr>
      </w:pPr>
      <w:r>
        <w:rPr>
          <w:rFonts w:ascii="Times New Roman;serif" w:hAnsi="Times New Roman;serif"/>
          <w:b/>
          <w:i/>
          <w:sz w:val="20"/>
        </w:rPr>
        <w:t>General and Administrative</w:t>
      </w:r>
      <w:r>
        <w:rPr>
          <w:rFonts w:ascii="Times New Roman;serif" w:hAnsi="Times New Roman;serif"/>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General and administrative expenses primarily consist of compensation expenses, including stock-based compensation expenses, for executive, finance, legal and other administrative personnel, professional service fees and certain depreciation and amortization expense.</w:t>
      </w:r>
      <w:r>
        <w:rPr>
          <w:rFonts w:ascii="Times New Roman" w:hAnsi="Times New Roman"/>
          <w:sz w:val="20"/>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(p)</w:t>
      </w:r>
    </w:p>
    <w:p>
      <w:pPr>
        <w:pStyle w:val="TextBody"/>
        <w:bidi w:val="0"/>
        <w:spacing w:before="120" w:after="283"/>
        <w:jc w:val="left"/>
        <w:rPr>
          <w:rFonts w:ascii="Times New Roman;serif" w:hAnsi="Times New Roman;serif"/>
          <w:sz w:val="20"/>
        </w:rPr>
      </w:pPr>
      <w:r>
        <w:rPr>
          <w:rFonts w:ascii="Times New Roman;serif" w:hAnsi="Times New Roman;serif"/>
          <w:b/>
          <w:i/>
          <w:sz w:val="20"/>
        </w:rPr>
        <w:t>Stock Based Compensation</w:t>
      </w:r>
      <w:r>
        <w:rPr>
          <w:rFonts w:ascii="Times New Roman;serif" w:hAnsi="Times New Roman;serif"/>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All stock-based compensation, including stock options and restricted stock units, are measured at the grant date fair value of the award. The Company estimates grant date fair value of stock options using the Black-Scholes option-pricing model. The fair value of stock options and restricted stock units is recognized as compensation expense on a straight-line basis over the requisite service period, which is typically four years. The fair value of the restricted stock units is determined using the fair value of the Company's Class A common stock on the date of grant. Forfeitures are recorded in the period in which they occur.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Black-Scholes model considers several variables and assumptions in estimating the fair value of stock-based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These variables include: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expected annual dividend yield;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expected volatility over the expected term;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expected term;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risk free interest rate;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per share value of the underlying common stock;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exercise price. </w:t>
      </w:r>
    </w:p>
    <w:p>
      <w:pPr>
        <w:pStyle w:val="TextBody"/>
        <w:bidi w:val="0"/>
        <w:spacing w:before="120" w:after="0"/>
        <w:jc w:val="left"/>
        <w:rPr>
          <w:rFonts w:ascii="Times New Roman" w:hAnsi="Times New Roman"/>
          <w:sz w:val="20"/>
        </w:rPr>
      </w:pPr>
      <w:r>
        <w:rPr>
          <w:rFonts w:ascii="Times New Roman;serif" w:hAnsi="Times New Roman;serif"/>
          <w:b w:val="false"/>
          <w:sz w:val="20"/>
        </w:rPr>
        <w:t>For all stock options granted, the Company calculated the expected term using the simplified method for “plain vanilla” stock option awards. The risk-free interest rate is based on the yield available on U.S. Treasury issuances similar in duration to the expected term of the stock-based award. The Company estimates its expected share price volatility based on the historical volatility of publicly traded peer companies and/or its own volatility and expects to continue to do so until such time as it has adequate historical data regarding the volatility of its own traded share price. The Company utilized a dividend yield of zero, as it had no history or plan of declaring dividends on its common stock.</w:t>
      </w:r>
      <w:r>
        <w:rPr>
          <w:rFonts w:ascii="Times New Roman" w:hAnsi="Times New Roman"/>
          <w:sz w:val="20"/>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(q)</w:t>
      </w:r>
    </w:p>
    <w:p>
      <w:pPr>
        <w:pStyle w:val="TextBody"/>
        <w:bidi w:val="0"/>
        <w:spacing w:before="120" w:after="283"/>
        <w:jc w:val="left"/>
        <w:rPr>
          <w:rFonts w:ascii="Times New Roman;serif" w:hAnsi="Times New Roman;serif"/>
          <w:b/>
          <w:i/>
          <w:sz w:val="20"/>
        </w:rPr>
      </w:pPr>
      <w:r>
        <w:rPr>
          <w:rFonts w:ascii="Times New Roman;serif" w:hAnsi="Times New Roman;serif"/>
          <w:b/>
          <w:i/>
          <w:sz w:val="20"/>
        </w:rPr>
        <w:t xml:space="preserve">Net Loss Per Share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computes net loss per share using the two-class method required for multiple classes of common stock and participating securities. The two-class method requires income available to common stockholders for the period to be allocated between common stock and participating securities based upon their respective rights to receive dividends as if all income for the period had been distributed. Certain unvested share-based payment awards that contain nonforfeitable rights to dividends are treated as participating securities and therefore included in computing net income per share using the two-class method. The rights, including the liquidation and dividend rights, of the Class A common stock and Class B common stock are substantially identical, other than voting rights. Accordingly, the Class A common stock and Class B common stock shared proportionately in the Company’s net losses.</w:t>
      </w:r>
    </w:p>
    <w:p>
      <w:pPr>
        <w:pStyle w:val="TextBody"/>
        <w:bidi w:val="0"/>
        <w:spacing w:before="120" w:after="0"/>
        <w:jc w:val="left"/>
        <w:rPr>
          <w:rFonts w:ascii="Times New Roman" w:hAnsi="Times New Roman"/>
          <w:b/>
          <w:i/>
          <w:sz w:val="20"/>
        </w:rPr>
      </w:pPr>
      <w:r>
        <w:rPr>
          <w:rFonts w:ascii="Times New Roman" w:hAnsi="Times New Roman"/>
          <w:b/>
          <w:i/>
          <w:sz w:val="20"/>
        </w:rPr>
        <w:t>(r)</w:t>
      </w:r>
    </w:p>
    <w:p>
      <w:pPr>
        <w:pStyle w:val="TextBody"/>
        <w:bidi w:val="0"/>
        <w:spacing w:before="120" w:after="283"/>
        <w:jc w:val="left"/>
        <w:rPr>
          <w:rFonts w:ascii="Times New Roman;serif" w:hAnsi="Times New Roman;serif"/>
          <w:b/>
          <w:i/>
          <w:sz w:val="20"/>
        </w:rPr>
      </w:pPr>
      <w:r>
        <w:rPr>
          <w:rFonts w:ascii="Times New Roman;serif" w:hAnsi="Times New Roman;serif"/>
          <w:b/>
          <w:i/>
          <w:sz w:val="20"/>
        </w:rPr>
        <w:t xml:space="preserve">Recently Issued Accounting Standards </w:t>
      </w:r>
    </w:p>
    <w:p>
      <w:pPr>
        <w:pStyle w:val="TextBody"/>
        <w:bidi w:val="0"/>
        <w:spacing w:before="120" w:after="0"/>
        <w:jc w:val="left"/>
        <w:rPr>
          <w:rFonts w:ascii="Times New Roman" w:hAnsi="Times New Roman"/>
          <w:sz w:val="20"/>
        </w:rPr>
      </w:pPr>
      <w:r>
        <w:rPr>
          <w:rFonts w:ascii="Times New Roman;serif" w:hAnsi="Times New Roman;serif"/>
          <w:b w:val="false"/>
          <w:sz w:val="20"/>
        </w:rPr>
        <w:t>There are currently no other accounting standards that have been issued, but not yet adopted, that are expected to have a significant impact on the Company’s consolidated financial position, results of operations or cash flows upon adoption.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(3)</w:t>
      </w:r>
      <w:r>
        <w:rPr>
          <w:rFonts w:ascii="Times New Roman" w:hAnsi="Times New Roman"/>
          <w:sz w:val="20"/>
        </w:rPr>
        <w:t xml:space="preserve"> </w:t>
      </w:r>
      <w:r>
        <w:rPr>
          <w:rFonts w:ascii="Times New Roman;serif" w:hAnsi="Times New Roman;serif"/>
          <w:b/>
          <w:sz w:val="20"/>
        </w:rPr>
        <w:t>Credit Concentrations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Financial instruments which potentially subject the Company to concentrations of credit risk consist primarily of cash and accounts receivable. The Company maintains its cash, which at times may exceed federally insured limits, in deposit accounts at major financial institutions. A majority of the Company’s buyers are located in the United States.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the three and six months ended June 30, 2023 and 2022, no</w:t>
      </w:r>
      <w:r>
        <w:rPr>
          <w:rFonts w:ascii="Times New Roman" w:hAnsi="Times New Roman"/>
          <w:sz w:val="20"/>
        </w:rPr>
        <w:t xml:space="preserve"> </w:t>
      </w:r>
      <w:r>
        <w:rPr>
          <w:rFonts w:ascii="Times New Roman;serif" w:hAnsi="Times New Roman;serif"/>
          <w:b w:val="false"/>
          <w:sz w:val="20"/>
        </w:rPr>
        <w:t>single buyer accounted for more than 10% of the Company's revenue. As of June 30, 2023, and December 31, 2022, no</w:t>
      </w:r>
      <w:r>
        <w:rPr>
          <w:rFonts w:ascii="Times New Roman" w:hAnsi="Times New Roman"/>
          <w:sz w:val="20"/>
        </w:rPr>
        <w:t xml:space="preserve"> </w:t>
      </w:r>
      <w:r>
        <w:rPr>
          <w:rFonts w:ascii="Times New Roman;serif" w:hAnsi="Times New Roman;serif"/>
          <w:b w:val="false"/>
          <w:sz w:val="20"/>
        </w:rPr>
        <w:t>single buyer accounted for more than 10% of the Company’s accounts receivable.</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(4)</w:t>
      </w:r>
      <w:r>
        <w:rPr>
          <w:rFonts w:ascii="Times New Roman" w:hAnsi="Times New Roman"/>
          <w:sz w:val="20"/>
        </w:rPr>
        <w:t xml:space="preserve"> </w:t>
      </w:r>
      <w:r>
        <w:rPr>
          <w:rFonts w:ascii="Times New Roman;serif" w:hAnsi="Times New Roman;serif"/>
          <w:b/>
          <w:sz w:val="20"/>
        </w:rPr>
        <w:t>Inventory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Inventory consists of raw materials, work-in-process, tools inventory and finished goods. Raw materials (plastics and metals) become manufactured products in the additive and subtractive manufacturing processes. Work-in-progress represents manufacturing costs associated with customer orders that are not yet complete. The tools inventory primarily consists of small consumable machine tools, cutting devices, etc. Finished goods represents product awaiting shipment. Inventory consists of the following as of June 30, 2023 and December 31, 2022 (in thousands): </w:t>
      </w:r>
    </w:p>
    <w:p>
      <w:pPr>
        <w:pStyle w:val="TextBody"/>
        <w:bidi w:val="0"/>
        <w:spacing w:before="0" w:after="0"/>
        <w:jc w:val="left"/>
        <w:rPr/>
      </w:pPr>
      <w:r>
        <w:rPr/>
        <w:t> </w:t>
      </w:r>
    </w:p>
    <w:tbl>
      <w:tblPr>
        <w:tblW w:w="4037" w:type="dxa"/>
        <w:jc w:val="left"/>
        <w:tblInd w:w="0" w:type="dxa"/>
        <w:tblLayout w:type="fixed"/>
        <w:tblCellMar>
          <w:top w:w="28" w:type="dxa"/>
          <w:left w:w="28" w:type="dxa"/>
          <w:bottom w:w="28" w:type="dxa"/>
          <w:right w:w="28" w:type="dxa"/>
        </w:tblCellMar>
      </w:tblPr>
      <w:tblGrid>
        <w:gridCol w:w="1531"/>
        <w:gridCol w:w="146"/>
        <w:gridCol w:w="211"/>
        <w:gridCol w:w="571"/>
        <w:gridCol w:w="146"/>
        <w:gridCol w:w="146"/>
        <w:gridCol w:w="294"/>
        <w:gridCol w:w="801"/>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15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Raw materials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191" w:type="dxa"/>
            <w:tcBorders/>
            <w:vAlign w:val="center"/>
          </w:tcPr>
          <w:p>
            <w:pPr>
              <w:pStyle w:val="TableContents"/>
              <w:bidi w:val="0"/>
              <w:spacing w:before="0" w:after="0"/>
              <w:ind w:left="0" w:right="0" w:hanging="0"/>
              <w:jc w:val="left"/>
              <w:rPr/>
            </w:pPr>
            <w:r>
              <w:rPr/>
              <w:t> </w:t>
            </w:r>
          </w:p>
        </w:tc>
      </w:tr>
      <w:tr>
        <w:trPr/>
        <w:tc>
          <w:tcPr>
            <w:tcW w:w="15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Work-in-progress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675</w:t>
            </w:r>
          </w:p>
        </w:tc>
        <w:tc>
          <w:tcPr>
            <w:tcW w:w="191" w:type="dxa"/>
            <w:tcBorders/>
            <w:vAlign w:val="center"/>
          </w:tcPr>
          <w:p>
            <w:pPr>
              <w:pStyle w:val="TableContents"/>
              <w:bidi w:val="0"/>
              <w:spacing w:before="0" w:after="0"/>
              <w:ind w:left="0" w:right="0" w:hanging="0"/>
              <w:jc w:val="left"/>
              <w:rPr/>
            </w:pPr>
            <w:r>
              <w:rPr/>
              <w:t> </w:t>
            </w:r>
          </w:p>
        </w:tc>
      </w:tr>
      <w:tr>
        <w:trPr/>
        <w:tc>
          <w:tcPr>
            <w:tcW w:w="15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Tools inventory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477</w:t>
            </w:r>
          </w:p>
        </w:tc>
        <w:tc>
          <w:tcPr>
            <w:tcW w:w="191" w:type="dxa"/>
            <w:tcBorders/>
            <w:vAlign w:val="center"/>
          </w:tcPr>
          <w:p>
            <w:pPr>
              <w:pStyle w:val="TableContents"/>
              <w:bidi w:val="0"/>
              <w:spacing w:before="0" w:after="0"/>
              <w:ind w:left="0" w:right="0" w:hanging="0"/>
              <w:jc w:val="left"/>
              <w:rPr/>
            </w:pPr>
            <w:r>
              <w:rPr/>
              <w:t> </w:t>
            </w:r>
          </w:p>
        </w:tc>
      </w:tr>
      <w:tr>
        <w:trPr/>
        <w:tc>
          <w:tcPr>
            <w:tcW w:w="15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Finished goods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(5)</w:t>
      </w:r>
      <w:r>
        <w:rPr>
          <w:rFonts w:ascii="Times New Roman" w:hAnsi="Times New Roman"/>
          <w:sz w:val="20"/>
        </w:rPr>
        <w:t xml:space="preserve"> </w:t>
      </w:r>
      <w:r>
        <w:rPr>
          <w:rFonts w:ascii="Times New Roman;serif" w:hAnsi="Times New Roman;serif"/>
          <w:b/>
          <w:sz w:val="20"/>
        </w:rPr>
        <w:t>Property and Equipment and Long-Lived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Property and equipment consist of the following as of June 30, 2023 and December 31, 2022 (in thousands):</w:t>
      </w:r>
      <w:r>
        <w:rPr>
          <w:rFonts w:ascii="Times New Roman" w:hAnsi="Times New Roman"/>
          <w:sz w:val="20"/>
        </w:rPr>
        <w:t xml:space="preserve"> </w:t>
      </w:r>
    </w:p>
    <w:p>
      <w:pPr>
        <w:pStyle w:val="TextBody"/>
        <w:bidi w:val="0"/>
        <w:spacing w:before="120" w:after="0"/>
        <w:jc w:val="left"/>
        <w:rPr/>
      </w:pPr>
      <w:r>
        <w:rPr/>
        <w:t> </w:t>
      </w:r>
    </w:p>
    <w:tbl>
      <w:tblPr>
        <w:tblW w:w="7194" w:type="dxa"/>
        <w:jc w:val="left"/>
        <w:tblInd w:w="0" w:type="dxa"/>
        <w:tblLayout w:type="fixed"/>
        <w:tblCellMar>
          <w:top w:w="28" w:type="dxa"/>
          <w:left w:w="28" w:type="dxa"/>
          <w:bottom w:w="28" w:type="dxa"/>
          <w:right w:w="28" w:type="dxa"/>
        </w:tblCellMar>
      </w:tblPr>
      <w:tblGrid>
        <w:gridCol w:w="2896"/>
        <w:gridCol w:w="146"/>
        <w:gridCol w:w="1441"/>
        <w:gridCol w:w="146"/>
        <w:gridCol w:w="211"/>
        <w:gridCol w:w="736"/>
        <w:gridCol w:w="166"/>
        <w:gridCol w:w="146"/>
        <w:gridCol w:w="244"/>
        <w:gridCol w:w="851"/>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Useful Life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Technology hardware</w:t>
            </w:r>
          </w:p>
        </w:tc>
        <w:tc>
          <w:tcPr>
            <w:tcW w:w="1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3</w:t>
            </w:r>
            <w:r>
              <w:rPr>
                <w:rFonts w:ascii="Times New Roman" w:hAnsi="Times New Roman"/>
                <w:sz w:val="20"/>
              </w:rPr>
              <w:t> </w:t>
            </w:r>
            <w:r>
              <w:rPr>
                <w:rFonts w:ascii="Times New Roman;serif" w:hAnsi="Times New Roman;serif"/>
                <w:b w:val="false"/>
                <w:sz w:val="20"/>
              </w:rPr>
              <w:t>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2,927</w:t>
            </w:r>
          </w:p>
        </w:tc>
        <w:tc>
          <w:tcPr>
            <w:tcW w:w="211" w:type="dxa"/>
            <w:tcBorders/>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Manufacturing equipment</w:t>
            </w:r>
          </w:p>
        </w:tc>
        <w:tc>
          <w:tcPr>
            <w:tcW w:w="1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 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2,892</w:t>
            </w:r>
          </w:p>
        </w:tc>
        <w:tc>
          <w:tcPr>
            <w:tcW w:w="211" w:type="dxa"/>
            <w:tcBorders/>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Capitalized software development</w:t>
            </w:r>
          </w:p>
        </w:tc>
        <w:tc>
          <w:tcPr>
            <w:tcW w:w="1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 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24,343</w:t>
            </w:r>
          </w:p>
        </w:tc>
        <w:tc>
          <w:tcPr>
            <w:tcW w:w="211" w:type="dxa"/>
            <w:tcBorders/>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Shorter of useful</w:t>
              <w:br/>
              <w:t>life or lease term</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1,345</w:t>
            </w:r>
          </w:p>
        </w:tc>
        <w:tc>
          <w:tcPr>
            <w:tcW w:w="211" w:type="dxa"/>
            <w:tcBorders/>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vAlign w:val="center"/>
          </w:tcPr>
          <w:p>
            <w:pPr>
              <w:pStyle w:val="TableContents"/>
              <w:bidi w:val="0"/>
              <w:spacing w:before="0" w:after="0"/>
              <w:ind w:left="0" w:right="0" w:hanging="0"/>
              <w:jc w:val="right"/>
              <w:rPr/>
            </w:pPr>
            <w:r>
              <w:rPr/>
              <w:t> </w:t>
            </w:r>
          </w:p>
        </w:tc>
        <w:tc>
          <w:tcPr>
            <w:tcW w:w="1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 years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1,705</w:t>
            </w:r>
          </w:p>
        </w:tc>
        <w:tc>
          <w:tcPr>
            <w:tcW w:w="211" w:type="dxa"/>
            <w:tcBorders/>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Land</w:t>
            </w:r>
          </w:p>
        </w:tc>
        <w:tc>
          <w:tcPr>
            <w:tcW w:w="1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Indefinite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33,212</w:t>
            </w:r>
          </w:p>
        </w:tc>
        <w:tc>
          <w:tcPr>
            <w:tcW w:w="211" w:type="dxa"/>
            <w:tcBorders/>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1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(14,133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23,990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19,079</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Depreciation expense for the three and six months ended June 30, 2023 and 2022 was as follows (in thousands):</w:t>
      </w:r>
      <w:r>
        <w:rPr>
          <w:rFonts w:ascii="Times New Roman" w:hAnsi="Times New Roman"/>
          <w:sz w:val="20"/>
        </w:rPr>
        <w:t xml:space="preserve"> </w:t>
      </w:r>
    </w:p>
    <w:p>
      <w:pPr>
        <w:pStyle w:val="TextBody"/>
        <w:bidi w:val="0"/>
        <w:spacing w:before="0" w:after="0"/>
        <w:jc w:val="left"/>
        <w:rPr/>
      </w:pPr>
      <w:r>
        <w:rPr/>
        <w:t> </w:t>
      </w:r>
    </w:p>
    <w:tbl>
      <w:tblPr>
        <w:tblW w:w="7074" w:type="dxa"/>
        <w:jc w:val="left"/>
        <w:tblInd w:w="0" w:type="dxa"/>
        <w:tblLayout w:type="fixed"/>
        <w:tblCellMar>
          <w:top w:w="28" w:type="dxa"/>
          <w:left w:w="28" w:type="dxa"/>
          <w:bottom w:w="28" w:type="dxa"/>
          <w:right w:w="28" w:type="dxa"/>
        </w:tblCellMar>
      </w:tblPr>
      <w:tblGrid>
        <w:gridCol w:w="2326"/>
        <w:gridCol w:w="280"/>
        <w:gridCol w:w="758"/>
        <w:gridCol w:w="193"/>
        <w:gridCol w:w="193"/>
        <w:gridCol w:w="280"/>
        <w:gridCol w:w="559"/>
        <w:gridCol w:w="146"/>
        <w:gridCol w:w="146"/>
        <w:gridCol w:w="211"/>
        <w:gridCol w:w="571"/>
        <w:gridCol w:w="146"/>
        <w:gridCol w:w="146"/>
        <w:gridCol w:w="211"/>
        <w:gridCol w:w="571"/>
        <w:gridCol w:w="146"/>
        <w:gridCol w:w="191"/>
      </w:tblGrid>
      <w:tr>
        <w:trPr/>
        <w:tc>
          <w:tcPr>
            <w:tcW w:w="232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0"/>
              <w:ind w:left="0" w:right="0" w:hanging="0"/>
              <w:jc w:val="center"/>
              <w:rPr/>
            </w:pPr>
            <w:r>
              <w:rPr/>
              <w:t> </w:t>
            </w:r>
          </w:p>
        </w:tc>
        <w:tc>
          <w:tcPr>
            <w:tcW w:w="226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93"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r>
      <w:tr>
        <w:trPr/>
        <w:tc>
          <w:tcPr>
            <w:tcW w:w="2326" w:type="dxa"/>
            <w:tcBorders/>
            <w:vAlign w:val="center"/>
          </w:tcPr>
          <w:p>
            <w:pPr>
              <w:pStyle w:val="TableContents"/>
              <w:bidi w:val="0"/>
              <w:spacing w:before="0" w:after="0"/>
              <w:ind w:left="0" w:right="0" w:hanging="0"/>
              <w:jc w:val="center"/>
              <w:rPr/>
            </w:pPr>
            <w:r>
              <w:rPr/>
              <w:t> </w:t>
            </w:r>
          </w:p>
        </w:tc>
        <w:tc>
          <w:tcPr>
            <w:tcW w:w="103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3" w:type="dxa"/>
            <w:tcBorders/>
            <w:vAlign w:val="center"/>
          </w:tcPr>
          <w:p>
            <w:pPr>
              <w:pStyle w:val="TableContents"/>
              <w:bidi w:val="0"/>
              <w:spacing w:before="0" w:after="0"/>
              <w:ind w:left="0" w:right="0" w:hanging="0"/>
              <w:jc w:val="center"/>
              <w:rPr/>
            </w:pPr>
            <w:r>
              <w:rPr/>
              <w:t> </w:t>
            </w:r>
          </w:p>
        </w:tc>
        <w:tc>
          <w:tcPr>
            <w:tcW w:w="8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193"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280" w:type="dxa"/>
            <w:tcBorders/>
            <w:vAlign w:val="center"/>
          </w:tcPr>
          <w:p>
            <w:pPr>
              <w:pStyle w:val="TableContents"/>
              <w:bidi w:val="0"/>
              <w:spacing w:before="0" w:after="0"/>
              <w:ind w:left="0" w:right="0" w:hanging="0"/>
              <w:jc w:val="left"/>
              <w:rPr/>
            </w:pPr>
            <w:r>
              <w:rPr/>
              <w:t> </w:t>
            </w:r>
          </w:p>
        </w:tc>
        <w:tc>
          <w:tcPr>
            <w:tcW w:w="7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93"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pPr>
            <w:r>
              <w:rPr/>
              <w:t> </w:t>
            </w:r>
          </w:p>
        </w:tc>
        <w:tc>
          <w:tcPr>
            <w:tcW w:w="5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Operations and support</w:t>
            </w:r>
          </w:p>
        </w:tc>
        <w:tc>
          <w:tcPr>
            <w:tcW w:w="280" w:type="dxa"/>
            <w:tcBorders/>
            <w:vAlign w:val="center"/>
          </w:tcPr>
          <w:p>
            <w:pPr>
              <w:pStyle w:val="TableContents"/>
              <w:bidi w:val="0"/>
              <w:spacing w:before="0" w:after="0"/>
              <w:ind w:left="0" w:right="0" w:hanging="0"/>
              <w:jc w:val="left"/>
              <w:rPr/>
            </w:pPr>
            <w:r>
              <w:rPr/>
              <w:t> </w:t>
            </w:r>
          </w:p>
        </w:tc>
        <w:tc>
          <w:tcPr>
            <w:tcW w:w="7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93"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pPr>
            <w:r>
              <w:rPr/>
              <w:t> </w:t>
            </w:r>
          </w:p>
        </w:tc>
        <w:tc>
          <w:tcPr>
            <w:tcW w:w="5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development</w:t>
            </w:r>
          </w:p>
        </w:tc>
        <w:tc>
          <w:tcPr>
            <w:tcW w:w="280" w:type="dxa"/>
            <w:tcBorders/>
            <w:vAlign w:val="center"/>
          </w:tcPr>
          <w:p>
            <w:pPr>
              <w:pStyle w:val="TableContents"/>
              <w:bidi w:val="0"/>
              <w:spacing w:before="0" w:after="0"/>
              <w:ind w:left="0" w:right="0" w:hanging="0"/>
              <w:jc w:val="left"/>
              <w:rPr/>
            </w:pPr>
            <w:r>
              <w:rPr/>
              <w:t> </w:t>
            </w:r>
          </w:p>
        </w:tc>
        <w:tc>
          <w:tcPr>
            <w:tcW w:w="7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1,351</w:t>
            </w:r>
          </w:p>
        </w:tc>
        <w:tc>
          <w:tcPr>
            <w:tcW w:w="193"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pPr>
            <w:r>
              <w:rPr/>
              <w:t> </w:t>
            </w:r>
          </w:p>
        </w:tc>
        <w:tc>
          <w:tcPr>
            <w:tcW w:w="5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1,428</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2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492</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2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depreciation expense</w:t>
            </w:r>
          </w:p>
        </w:tc>
        <w:tc>
          <w:tcPr>
            <w:tcW w:w="2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1,963</w:t>
            </w:r>
          </w:p>
        </w:tc>
        <w:tc>
          <w:tcPr>
            <w:tcW w:w="1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2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(6)</w:t>
      </w:r>
      <w:r>
        <w:rPr>
          <w:rFonts w:ascii="Times New Roman" w:hAnsi="Times New Roman"/>
          <w:sz w:val="20"/>
        </w:rPr>
        <w:t xml:space="preserve"> </w:t>
      </w:r>
      <w:r>
        <w:rPr>
          <w:rFonts w:ascii="Times New Roman;serif" w:hAnsi="Times New Roman;serif"/>
          <w:b/>
          <w:sz w:val="20"/>
        </w:rPr>
        <w:t>Leases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Operating lease expense for the three and six months ended June 30, 2023 and 2022 was as follows (in thousands):</w:t>
      </w:r>
      <w:r>
        <w:rPr>
          <w:rFonts w:ascii="Times New Roman" w:hAnsi="Times New Roman"/>
          <w:sz w:val="20"/>
        </w:rPr>
        <w:t xml:space="preserve"> </w:t>
      </w:r>
    </w:p>
    <w:tbl>
      <w:tblPr>
        <w:tblW w:w="7495" w:type="dxa"/>
        <w:jc w:val="left"/>
        <w:tblInd w:w="0" w:type="dxa"/>
        <w:tblLayout w:type="fixed"/>
        <w:tblCellMar>
          <w:top w:w="28" w:type="dxa"/>
          <w:left w:w="28" w:type="dxa"/>
          <w:bottom w:w="28" w:type="dxa"/>
          <w:right w:w="28" w:type="dxa"/>
        </w:tblCellMar>
      </w:tblPr>
      <w:tblGrid>
        <w:gridCol w:w="2536"/>
        <w:gridCol w:w="146"/>
        <w:gridCol w:w="243"/>
        <w:gridCol w:w="781"/>
        <w:gridCol w:w="168"/>
        <w:gridCol w:w="168"/>
        <w:gridCol w:w="243"/>
        <w:gridCol w:w="659"/>
        <w:gridCol w:w="146"/>
        <w:gridCol w:w="146"/>
        <w:gridCol w:w="222"/>
        <w:gridCol w:w="713"/>
        <w:gridCol w:w="154"/>
        <w:gridCol w:w="154"/>
        <w:gridCol w:w="222"/>
        <w:gridCol w:w="603"/>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8" w:type="dxa"/>
            <w:tcBorders/>
            <w:vAlign w:val="center"/>
          </w:tcPr>
          <w:p>
            <w:pPr>
              <w:pStyle w:val="TableContents"/>
              <w:bidi w:val="0"/>
              <w:spacing w:before="0" w:after="0"/>
              <w:ind w:left="0" w:right="0" w:hanging="0"/>
              <w:jc w:val="center"/>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22" w:type="dxa"/>
            <w:gridSpan w:val="14"/>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68"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54"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righ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91" w:type="dxa"/>
            <w:tcBorders/>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10,417</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righ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12,631</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righ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lease expense</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10,435</w:t>
            </w:r>
          </w:p>
        </w:tc>
        <w:tc>
          <w:tcPr>
            <w:tcW w:w="1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12,667</w:t>
            </w:r>
          </w:p>
        </w:tc>
        <w:tc>
          <w:tcPr>
            <w:tcW w:w="1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first quarter of 2023, the Company entered into two</w:t>
      </w:r>
      <w:r>
        <w:rPr>
          <w:rFonts w:ascii="Times New Roman" w:hAnsi="Times New Roman"/>
          <w:sz w:val="20"/>
        </w:rPr>
        <w:t xml:space="preserve"> </w:t>
      </w:r>
      <w:r>
        <w:rPr>
          <w:rFonts w:ascii="Times New Roman;serif" w:hAnsi="Times New Roman;serif"/>
          <w:b w:val="false"/>
          <w:sz w:val="20"/>
        </w:rPr>
        <w:t>new office leases in Lyon, France and Istanbul, Turkey. In connection with these leases, the Company recorded non-cash ROU assets and lease liabilities of $0.3</w:t>
      </w:r>
      <w:r>
        <w:rPr>
          <w:rFonts w:ascii="Times New Roman" w:hAnsi="Times New Roman"/>
          <w:sz w:val="20"/>
        </w:rPr>
        <w:t xml:space="preserve"> </w:t>
      </w:r>
      <w:r>
        <w:rPr>
          <w:rFonts w:ascii="Times New Roman;serif" w:hAnsi="Times New Roman;serif"/>
          <w:b w:val="false"/>
          <w:sz w:val="20"/>
        </w:rPr>
        <w:t>million. During the second quarter of 2023, the Company determined that it was reasonably certain to exercise an extension option in an existing lease and recorded a non-cash ROU asset and lease liability of $0.5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second quarter of 2023, the Company assessed its lease portfolio. As a result, the Company abandoned certain leases and/or portions of its leases in New York, NY, Horsham, PA, Culver City, CA, Doraville, GA and Gaithersburg, MD. As a result of abandoning these leases, the Company ceased its use of these locations and accelerated the amortization of the ROU assets to reduce the ROU assets carrying values to zero. The Company recognized a one-time charge of $8.7</w:t>
      </w:r>
      <w:r>
        <w:rPr>
          <w:rFonts w:ascii="Times New Roman" w:hAnsi="Times New Roman"/>
          <w:sz w:val="20"/>
        </w:rPr>
        <w:t xml:space="preserve"> </w:t>
      </w:r>
      <w:r>
        <w:rPr>
          <w:rFonts w:ascii="Times New Roman;serif" w:hAnsi="Times New Roman;serif"/>
          <w:b w:val="false"/>
          <w:sz w:val="20"/>
        </w:rPr>
        <w:t>million of additional operating lease expense during the second quarter of 2023 in general and administrative on our Condensed Consolidated Statements of Operations and Comprehensive Loss. The Company will continue to pay the rent owed under the existing lease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(7)</w:t>
      </w:r>
      <w:r>
        <w:rPr>
          <w:rFonts w:ascii="Times New Roman" w:hAnsi="Times New Roman"/>
          <w:sz w:val="20"/>
        </w:rPr>
        <w:t xml:space="preserve"> </w:t>
      </w:r>
      <w:r>
        <w:rPr>
          <w:rFonts w:ascii="Times New Roman;serif" w:hAnsi="Times New Roman;serif"/>
          <w:b/>
          <w:sz w:val="20"/>
        </w:rPr>
        <w:t>Acquisitions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Tridi</w:t>
      </w:r>
    </w:p>
    <w:p>
      <w:pPr>
        <w:pStyle w:val="TextBody"/>
        <w:bidi w:val="0"/>
        <w:spacing w:before="120" w:after="0"/>
        <w:jc w:val="left"/>
        <w:rPr>
          <w:rFonts w:ascii="Times New Roman" w:hAnsi="Times New Roman"/>
          <w:sz w:val="20"/>
        </w:rPr>
      </w:pPr>
      <w:r>
        <w:rPr>
          <w:rFonts w:ascii="Times New Roman;serif" w:hAnsi="Times New Roman;serif"/>
          <w:b w:val="false"/>
          <w:sz w:val="20"/>
        </w:rPr>
        <w:t>On January 2, 2023, the Company acquired Tridi Teknoloj A.S. (“Tridi”) located in Istanbul, Türkiye pursuant to a Share Purchase Agreement. The acquisition of Tridi extends the Company's marketplace capabilities in Europe and provides the Company with access to the Turkish market. The Company accounted for the acquisition as a business combination. The goodwill of $4.8</w:t>
      </w:r>
      <w:r>
        <w:rPr>
          <w:rFonts w:ascii="Times New Roman" w:hAnsi="Times New Roman"/>
          <w:sz w:val="20"/>
        </w:rPr>
        <w:t xml:space="preserve"> </w:t>
      </w:r>
      <w:r>
        <w:rPr>
          <w:rFonts w:ascii="Times New Roman;serif" w:hAnsi="Times New Roman;serif"/>
          <w:b w:val="false"/>
          <w:sz w:val="20"/>
        </w:rPr>
        <w:t>million arising from the acquisition of Tridi related to expected synergies including access to the Turkish market and an established supplier network. The goodwill is included in our International reporting segment and is not deductible for tax purposes.</w:t>
      </w:r>
      <w:r>
        <w:rPr>
          <w:rFonts w:ascii="Times New Roman" w:hAnsi="Times New Roman"/>
          <w:sz w:val="20"/>
        </w:rPr>
        <w:t xml:space="preserve"> </w:t>
      </w:r>
      <w:r>
        <w:rPr>
          <w:rFonts w:ascii="Times New Roman;serif" w:hAnsi="Times New Roman;serif"/>
          <w:b w:val="false"/>
          <w:sz w:val="20"/>
        </w:rPr>
        <w:t>The aggregate non-contingent portion of the purchase price was approximately $3.8</w:t>
      </w:r>
      <w:r>
        <w:rPr>
          <w:rFonts w:ascii="Times New Roman" w:hAnsi="Times New Roman"/>
          <w:sz w:val="20"/>
        </w:rPr>
        <w:t xml:space="preserve"> </w:t>
      </w:r>
      <w:r>
        <w:rPr>
          <w:rFonts w:ascii="Times New Roman;serif" w:hAnsi="Times New Roman;serif"/>
          <w:b w:val="false"/>
          <w:sz w:val="20"/>
        </w:rPr>
        <w:t>million in cash, of which approximately $0.4</w:t>
      </w:r>
      <w:r>
        <w:rPr>
          <w:rFonts w:ascii="Times New Roman" w:hAnsi="Times New Roman"/>
          <w:sz w:val="20"/>
        </w:rPr>
        <w:t xml:space="preserve"> </w:t>
      </w:r>
      <w:r>
        <w:rPr>
          <w:rFonts w:ascii="Times New Roman;serif" w:hAnsi="Times New Roman;serif"/>
          <w:b w:val="false"/>
          <w:sz w:val="20"/>
        </w:rPr>
        <w:t>million was withheld and will be paid in a future period. In addition, the purchase price included a contingent consideration arrangement to the former owner of Tridi up to a maximum amount of $1.25</w:t>
      </w:r>
      <w:r>
        <w:rPr>
          <w:rFonts w:ascii="Times New Roman;serif" w:hAnsi="Times New Roman;serif"/>
          <w:sz w:val="20"/>
        </w:rPr>
        <w:t xml:space="preserve"> </w:t>
      </w:r>
      <w:r>
        <w:rPr>
          <w:rFonts w:ascii="Times New Roman;serif" w:hAnsi="Times New Roman;serif"/>
          <w:b w:val="false"/>
          <w:sz w:val="20"/>
        </w:rPr>
        <w:t>million (undiscounted) in shares of the Company’s Class A common stock in two installments on the first and second anniversary of the acquisition.</w:t>
      </w:r>
      <w:r>
        <w:rPr>
          <w:rFonts w:ascii="Times New Roman" w:hAnsi="Times New Roman"/>
          <w:sz w:val="20"/>
        </w:rPr>
        <w:t xml:space="preserve"> </w:t>
      </w:r>
      <w:r>
        <w:rPr>
          <w:rFonts w:ascii="Times New Roman;serif" w:hAnsi="Times New Roman;serif"/>
          <w:b w:val="false"/>
          <w:sz w:val="20"/>
        </w:rPr>
        <w:t>The contingent consideration arrangement is tied to the achievement of revenue thresholds. The initial fair value of the contingent consideration of $0.9</w:t>
      </w:r>
      <w:r>
        <w:rPr>
          <w:rFonts w:ascii="Times New Roman" w:hAnsi="Times New Roman"/>
          <w:sz w:val="20"/>
        </w:rPr>
        <w:t xml:space="preserve"> </w:t>
      </w:r>
      <w:r>
        <w:rPr>
          <w:rFonts w:ascii="Times New Roman;serif" w:hAnsi="Times New Roman;serif"/>
          <w:b w:val="false"/>
          <w:sz w:val="20"/>
        </w:rPr>
        <w:t>million was estimated by applying an income valuation approach. The measurement is based on inputs that are not observable in the market (Level 3 inputs). Key assumptions made include (a) discount rate and (b) probability weighted assumptions about achieving revenue thresholds.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performed a preliminary valuation analysis of the fair market value of the acquired assets and liabilities of Tridi. The final purchase price allocation will be determined when the Company has completed and fully reviewed all information necessary to finalize the fair value of the acquired assets and liabilities. The final allocation could differ materially from the preliminary allocation and may include changes in allocations to current assets, current liabilities and goodwill.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three months ended June 30, 2023, the Company recognized measurement period adjustments related to the initial fair value of the intangible asset. The Company reduced the fair value of the intangible asset from $0.6</w:t>
      </w:r>
      <w:r>
        <w:rPr>
          <w:rFonts w:ascii="Times New Roman" w:hAnsi="Times New Roman"/>
          <w:sz w:val="20"/>
        </w:rPr>
        <w:t xml:space="preserve"> </w:t>
      </w:r>
      <w:r>
        <w:rPr>
          <w:rFonts w:ascii="Times New Roman;serif" w:hAnsi="Times New Roman;serif"/>
          <w:b w:val="false"/>
          <w:sz w:val="20"/>
        </w:rPr>
        <w:t>million to $0.1</w:t>
      </w:r>
      <w:r>
        <w:rPr>
          <w:rFonts w:ascii="Times New Roman" w:hAnsi="Times New Roman"/>
          <w:sz w:val="20"/>
        </w:rPr>
        <w:t xml:space="preserve"> </w:t>
      </w:r>
      <w:r>
        <w:rPr>
          <w:rFonts w:ascii="Times New Roman;serif" w:hAnsi="Times New Roman;serif"/>
          <w:b w:val="false"/>
          <w:sz w:val="20"/>
        </w:rPr>
        <w:t>million, which resulted in $0.5</w:t>
      </w:r>
      <w:r>
        <w:rPr>
          <w:rFonts w:ascii="Times New Roman" w:hAnsi="Times New Roman"/>
          <w:sz w:val="20"/>
        </w:rPr>
        <w:t xml:space="preserve"> </w:t>
      </w:r>
      <w:r>
        <w:rPr>
          <w:rFonts w:ascii="Times New Roman;serif" w:hAnsi="Times New Roman;serif"/>
          <w:b w:val="false"/>
          <w:sz w:val="20"/>
        </w:rPr>
        <w:t>million of additional goodwill.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1"/>
        </w:rPr>
        <w:t>The following table (in thousands) summarizes the consideration paid for Tridi and the preliminary fair value of the assets acquired and liabilities assumed on the acquisition date:</w:t>
      </w:r>
      <w:r>
        <w:rPr>
          <w:rFonts w:ascii="Times New Roman" w:hAnsi="Times New Roman"/>
          <w:sz w:val="20"/>
        </w:rPr>
        <w:t xml:space="preserve"> </w:t>
      </w:r>
    </w:p>
    <w:tbl>
      <w:tblPr>
        <w:tblW w:w="7795" w:type="dxa"/>
        <w:jc w:val="left"/>
        <w:tblInd w:w="0" w:type="dxa"/>
        <w:tblLayout w:type="fixed"/>
        <w:tblCellMar>
          <w:top w:w="28" w:type="dxa"/>
          <w:left w:w="28" w:type="dxa"/>
          <w:bottom w:w="28" w:type="dxa"/>
          <w:right w:w="28" w:type="dxa"/>
        </w:tblCellMar>
      </w:tblPr>
      <w:tblGrid>
        <w:gridCol w:w="6256"/>
        <w:gridCol w:w="146"/>
        <w:gridCol w:w="211"/>
        <w:gridCol w:w="571"/>
        <w:gridCol w:w="611"/>
      </w:tblGrid>
      <w:tr>
        <w:trPr/>
        <w:tc>
          <w:tcPr>
            <w:tcW w:w="6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Consideration:</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62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3,824</w:t>
            </w:r>
          </w:p>
        </w:tc>
        <w:tc>
          <w:tcPr>
            <w:tcW w:w="611" w:type="dxa"/>
            <w:tcBorders/>
            <w:vAlign w:val="center"/>
          </w:tcPr>
          <w:p>
            <w:pPr>
              <w:pStyle w:val="TableContents"/>
              <w:bidi w:val="0"/>
              <w:spacing w:before="0" w:after="0"/>
              <w:ind w:left="0" w:right="0" w:firstLine="200"/>
              <w:jc w:val="left"/>
              <w:rPr/>
            </w:pPr>
            <w:r>
              <w:rPr/>
              <w:t> </w:t>
            </w:r>
          </w:p>
        </w:tc>
      </w:tr>
      <w:tr>
        <w:trPr/>
        <w:tc>
          <w:tcPr>
            <w:tcW w:w="62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Settlement of preexisting relationship</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w:t>
            </w:r>
          </w:p>
        </w:tc>
        <w:tc>
          <w:tcPr>
            <w:tcW w:w="611" w:type="dxa"/>
            <w:tcBorders/>
            <w:vAlign w:val="center"/>
          </w:tcPr>
          <w:p>
            <w:pPr>
              <w:pStyle w:val="TableContents"/>
              <w:bidi w:val="0"/>
              <w:spacing w:before="0" w:after="0"/>
              <w:ind w:left="0" w:right="0" w:firstLine="200"/>
              <w:jc w:val="left"/>
              <w:rPr/>
            </w:pPr>
            <w:r>
              <w:rPr/>
              <w:t> </w:t>
            </w:r>
          </w:p>
        </w:tc>
      </w:tr>
      <w:tr>
        <w:trPr/>
        <w:tc>
          <w:tcPr>
            <w:tcW w:w="62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Fair value of contingent consideration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2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Fair value of consideration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5,041</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Recognized amounts of identifiable assets acquired and liabilities assumed:</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62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w:t>
            </w:r>
          </w:p>
        </w:tc>
        <w:tc>
          <w:tcPr>
            <w:tcW w:w="611" w:type="dxa"/>
            <w:tcBorders/>
            <w:vAlign w:val="center"/>
          </w:tcPr>
          <w:p>
            <w:pPr>
              <w:pStyle w:val="TableContents"/>
              <w:bidi w:val="0"/>
              <w:spacing w:before="0" w:after="0"/>
              <w:ind w:left="0" w:right="0" w:firstLine="200"/>
              <w:jc w:val="left"/>
              <w:rPr/>
            </w:pPr>
            <w:r>
              <w:rPr/>
              <w:t> </w:t>
            </w:r>
          </w:p>
        </w:tc>
      </w:tr>
      <w:tr>
        <w:trPr/>
        <w:tc>
          <w:tcPr>
            <w:tcW w:w="62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611" w:type="dxa"/>
            <w:tcBorders/>
            <w:vAlign w:val="center"/>
          </w:tcPr>
          <w:p>
            <w:pPr>
              <w:pStyle w:val="TableContents"/>
              <w:bidi w:val="0"/>
              <w:spacing w:before="0" w:after="0"/>
              <w:ind w:left="0" w:right="0" w:firstLine="200"/>
              <w:jc w:val="left"/>
              <w:rPr/>
            </w:pPr>
            <w:r>
              <w:rPr/>
              <w:t> </w:t>
            </w:r>
          </w:p>
        </w:tc>
      </w:tr>
      <w:tr>
        <w:trPr/>
        <w:tc>
          <w:tcPr>
            <w:tcW w:w="62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Intangible asset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611" w:type="dxa"/>
            <w:tcBorders/>
            <w:vAlign w:val="center"/>
          </w:tcPr>
          <w:p>
            <w:pPr>
              <w:pStyle w:val="TableContents"/>
              <w:bidi w:val="0"/>
              <w:spacing w:before="0" w:after="0"/>
              <w:ind w:left="0" w:right="0" w:firstLine="200"/>
              <w:jc w:val="left"/>
              <w:rPr/>
            </w:pPr>
            <w:r>
              <w:rPr/>
              <w:t> </w:t>
            </w:r>
          </w:p>
        </w:tc>
      </w:tr>
      <w:tr>
        <w:trPr/>
        <w:tc>
          <w:tcPr>
            <w:tcW w:w="62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2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identifiable net assets assumed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w:t>
            </w:r>
          </w:p>
        </w:tc>
        <w:tc>
          <w:tcPr>
            <w:tcW w:w="611" w:type="dxa"/>
            <w:tcBorders/>
            <w:vAlign w:val="center"/>
          </w:tcPr>
          <w:p>
            <w:pPr>
              <w:pStyle w:val="TableContents"/>
              <w:bidi w:val="0"/>
              <w:spacing w:before="0" w:after="0"/>
              <w:ind w:left="0" w:right="0" w:firstLine="200"/>
              <w:jc w:val="left"/>
              <w:rPr/>
            </w:pPr>
            <w:r>
              <w:rPr/>
              <w:t> </w:t>
            </w:r>
          </w:p>
        </w:tc>
      </w:tr>
      <w:tr>
        <w:trPr/>
        <w:tc>
          <w:tcPr>
            <w:tcW w:w="62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4,836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2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5,041</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The estimated fair value of the intangible asset acquired was determined by the Company. The Company engaged a third</w:t>
        <w:noBreakHyphen/>
        <w:t>party expert to assist with the valuation analysis. The Company used a cost method to estimate the fair value of the vendor relationship using Level 3 inputs. The useful life of the vendor relationship is 10</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Tridi’s results of operations were included in the Company's consolidated financial statements from the date of acquisition, January 2, 2023. The acquisition of Tridi was not considered material to the Company for the periods presented, and therefore, proforma information has not been presented.</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(8)</w:t>
      </w:r>
      <w:r>
        <w:rPr>
          <w:rFonts w:ascii="Times New Roman" w:hAnsi="Times New Roman"/>
          <w:sz w:val="20"/>
        </w:rPr>
        <w:t xml:space="preserve"> </w:t>
      </w:r>
      <w:r>
        <w:rPr>
          <w:rFonts w:ascii="Times New Roman;serif" w:hAnsi="Times New Roman;serif"/>
          <w:b/>
          <w:sz w:val="20"/>
        </w:rPr>
        <w:t>Disaggregated Revenue and Cost of Revenue Information</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present our revenue and cost of revenue disaggregated by line of business. Revenue from our marketplace primarily reflects the sales of parts and assemblies on our platform. Revenue from supplier services primarily includes the sale of advertising and to a lesser extent supplies, financial service products and SaaS products.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Revenue and cost of revenue is presented in the following tables for the three and six months ended June 30, 2023 and 2022, respectively (in thousands):</w:t>
      </w:r>
    </w:p>
    <w:p>
      <w:pPr>
        <w:pStyle w:val="TextBody"/>
        <w:bidi w:val="0"/>
        <w:spacing w:before="120" w:after="0"/>
        <w:jc w:val="left"/>
        <w:rPr/>
      </w:pPr>
      <w:r>
        <w:rPr/>
        <w:t> </w:t>
      </w:r>
    </w:p>
    <w:tbl>
      <w:tblPr>
        <w:tblW w:w="10205" w:type="dxa"/>
        <w:jc w:val="left"/>
        <w:tblInd w:w="0" w:type="dxa"/>
        <w:tblLayout w:type="fixed"/>
        <w:tblCellMar>
          <w:top w:w="28" w:type="dxa"/>
          <w:left w:w="28" w:type="dxa"/>
          <w:bottom w:w="28" w:type="dxa"/>
          <w:right w:w="28" w:type="dxa"/>
        </w:tblCellMar>
      </w:tblPr>
      <w:tblGrid>
        <w:gridCol w:w="1584"/>
        <w:gridCol w:w="146"/>
        <w:gridCol w:w="459"/>
        <w:gridCol w:w="1472"/>
        <w:gridCol w:w="146"/>
        <w:gridCol w:w="146"/>
        <w:gridCol w:w="459"/>
        <w:gridCol w:w="1472"/>
        <w:gridCol w:w="146"/>
        <w:gridCol w:w="146"/>
        <w:gridCol w:w="376"/>
        <w:gridCol w:w="1395"/>
        <w:gridCol w:w="146"/>
        <w:gridCol w:w="146"/>
        <w:gridCol w:w="376"/>
        <w:gridCol w:w="1395"/>
        <w:gridCol w:w="195"/>
      </w:tblGrid>
      <w:tr>
        <w:trPr/>
        <w:tc>
          <w:tcPr>
            <w:tcW w:w="1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58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31"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Three Months</w:t>
              <w:br/>
              <w:t>Ended 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31"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Three Months</w:t>
              <w:br/>
              <w:t>Ended 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71"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w:t>
              <w:br/>
              <w:t>Ended 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71"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w:t>
              <w:br/>
              <w:t>Ended June 30,</w:t>
            </w:r>
          </w:p>
        </w:tc>
        <w:tc>
          <w:tcPr>
            <w:tcW w:w="195" w:type="dxa"/>
            <w:tcBorders/>
            <w:vAlign w:val="center"/>
          </w:tcPr>
          <w:p>
            <w:pPr>
              <w:pStyle w:val="TableContents"/>
              <w:bidi w:val="0"/>
              <w:spacing w:before="0" w:after="0"/>
              <w:ind w:left="0" w:right="0" w:hanging="0"/>
              <w:jc w:val="center"/>
              <w:rPr/>
            </w:pPr>
            <w:r>
              <w:rPr/>
              <w:t> </w:t>
            </w:r>
          </w:p>
        </w:tc>
      </w:tr>
      <w:tr>
        <w:trPr/>
        <w:tc>
          <w:tcPr>
            <w:tcW w:w="158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Marketplace</w:t>
            </w:r>
          </w:p>
        </w:tc>
        <w:tc>
          <w:tcPr>
            <w:tcW w:w="146" w:type="dxa"/>
            <w:tcBorders/>
            <w:vAlign w:val="center"/>
          </w:tcPr>
          <w:p>
            <w:pPr>
              <w:pStyle w:val="TableContents"/>
              <w:bidi w:val="0"/>
              <w:spacing w:before="0" w:after="0"/>
              <w:ind w:left="0" w:right="0" w:hanging="0"/>
              <w:jc w:val="left"/>
              <w:rPr/>
            </w:pPr>
            <w:r>
              <w:rPr/>
              <w:t> </w:t>
            </w:r>
          </w:p>
        </w:tc>
        <w:tc>
          <w:tcPr>
            <w:tcW w:w="1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93,511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75,598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180,191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140,013</w:t>
            </w:r>
          </w:p>
        </w:tc>
        <w:tc>
          <w:tcPr>
            <w:tcW w:w="195" w:type="dxa"/>
            <w:tcBorders/>
            <w:vAlign w:val="center"/>
          </w:tcPr>
          <w:p>
            <w:pPr>
              <w:pStyle w:val="TableContents"/>
              <w:bidi w:val="0"/>
              <w:spacing w:before="0" w:after="0"/>
              <w:ind w:left="0" w:right="0" w:hanging="0"/>
              <w:jc w:val="left"/>
              <w:rPr/>
            </w:pPr>
            <w:r>
              <w:rPr/>
              <w:t> </w:t>
            </w:r>
          </w:p>
        </w:tc>
      </w:tr>
      <w:tr>
        <w:trPr/>
        <w:tc>
          <w:tcPr>
            <w:tcW w:w="15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4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125,661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100,233</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4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29,597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22,106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54,530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39,780</w:t>
            </w:r>
          </w:p>
        </w:tc>
        <w:tc>
          <w:tcPr>
            <w:tcW w:w="1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8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3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3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7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71" w:type="dxa"/>
            <w:gridSpan w:val="2"/>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r>
      <w:tr>
        <w:trPr/>
        <w:tc>
          <w:tcPr>
            <w:tcW w:w="158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Supplier Services</w:t>
            </w:r>
          </w:p>
        </w:tc>
        <w:tc>
          <w:tcPr>
            <w:tcW w:w="146" w:type="dxa"/>
            <w:tcBorders/>
            <w:vAlign w:val="center"/>
          </w:tcPr>
          <w:p>
            <w:pPr>
              <w:pStyle w:val="TableContents"/>
              <w:bidi w:val="0"/>
              <w:spacing w:before="0" w:after="0"/>
              <w:ind w:left="0" w:right="0" w:hanging="0"/>
              <w:jc w:val="left"/>
              <w:rPr/>
            </w:pPr>
            <w:r>
              <w:rPr/>
              <w:t> </w:t>
            </w:r>
          </w:p>
        </w:tc>
        <w:tc>
          <w:tcPr>
            <w:tcW w:w="193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3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7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71" w:type="dxa"/>
            <w:gridSpan w:val="2"/>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r>
      <w:tr>
        <w:trPr/>
        <w:tc>
          <w:tcPr>
            <w:tcW w:w="15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39,273</w:t>
            </w:r>
          </w:p>
        </w:tc>
        <w:tc>
          <w:tcPr>
            <w:tcW w:w="195" w:type="dxa"/>
            <w:tcBorders/>
            <w:vAlign w:val="center"/>
          </w:tcPr>
          <w:p>
            <w:pPr>
              <w:pStyle w:val="TableContents"/>
              <w:bidi w:val="0"/>
              <w:spacing w:before="0" w:after="0"/>
              <w:ind w:left="0" w:right="0" w:hanging="0"/>
              <w:jc w:val="left"/>
              <w:rPr/>
            </w:pPr>
            <w:r>
              <w:rPr/>
              <w:t> </w:t>
            </w:r>
          </w:p>
        </w:tc>
      </w:tr>
      <w:tr>
        <w:trPr/>
        <w:tc>
          <w:tcPr>
            <w:tcW w:w="15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4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7,748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8,418</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4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13,959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28,395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30,855</w:t>
            </w:r>
          </w:p>
        </w:tc>
        <w:tc>
          <w:tcPr>
            <w:tcW w:w="1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(9)</w:t>
      </w:r>
      <w:r>
        <w:rPr>
          <w:rFonts w:ascii="Times New Roman" w:hAnsi="Times New Roman"/>
          <w:sz w:val="20"/>
        </w:rPr>
        <w:t xml:space="preserve"> </w:t>
      </w:r>
      <w:r>
        <w:rPr>
          <w:rFonts w:ascii="Times New Roman;serif" w:hAnsi="Times New Roman;serif"/>
          <w:b/>
          <w:sz w:val="20"/>
        </w:rPr>
        <w:t>Investment in Unconsolidated Joint Venture</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a 50% interest in Industrial Media, LLC ("IM, LLC") with the other 50% owned by Rich Media Group, LLC. IM, LLC primarily manages content creation, advertising sales, and marketing initiatives for the Industrial Engineering News brand, certain magazines, videos, website and associated electronic media products for industrial engineers.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three and six months ended June 30, 2023 and June 30, 2022 the Company received dividends from IM, LLC of $0.1</w:t>
      </w:r>
      <w:r>
        <w:rPr>
          <w:rFonts w:ascii="Times New Roman" w:hAnsi="Times New Roman"/>
          <w:sz w:val="20"/>
        </w:rPr>
        <w:t xml:space="preserve"> </w:t>
      </w:r>
      <w:r>
        <w:rPr>
          <w:rFonts w:ascii="Times New Roman;serif" w:hAnsi="Times New Roman;serif"/>
          <w:b w:val="false"/>
          <w:sz w:val="20"/>
        </w:rPr>
        <w:t>million and $0.2</w:t>
      </w:r>
      <w:r>
        <w:rPr>
          <w:rFonts w:ascii="Times New Roman" w:hAnsi="Times New Roman"/>
          <w:sz w:val="20"/>
        </w:rPr>
        <w:t xml:space="preserve"> </w:t>
      </w:r>
      <w:r>
        <w:rPr>
          <w:rFonts w:ascii="Times New Roman;serif" w:hAnsi="Times New Roman;serif"/>
          <w:b w:val="false"/>
          <w:sz w:val="20"/>
        </w:rPr>
        <w:t>million, respectively, which were recorded as a reduction to the Company's investment in unconsolidated joint venture on our Condensed Consolidated Balance Sheets. During the three and six months ended June 30, 2023 and June 30, 2022, the Company recorded an expense to IM, LLC of approximately $0.1</w:t>
      </w:r>
      <w:r>
        <w:rPr>
          <w:rFonts w:ascii="Times New Roman" w:hAnsi="Times New Roman"/>
          <w:sz w:val="20"/>
        </w:rPr>
        <w:t xml:space="preserve"> </w:t>
      </w:r>
      <w:r>
        <w:rPr>
          <w:rFonts w:ascii="Times New Roman;serif" w:hAnsi="Times New Roman;serif"/>
          <w:b w:val="false"/>
          <w:sz w:val="20"/>
        </w:rPr>
        <w:t>million and $0.1</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(10)</w:t>
      </w:r>
      <w:r>
        <w:rPr>
          <w:rFonts w:ascii="Times New Roman" w:hAnsi="Times New Roman"/>
          <w:sz w:val="20"/>
        </w:rPr>
        <w:t xml:space="preserve"> </w:t>
      </w:r>
      <w:r>
        <w:rPr>
          <w:rFonts w:ascii="Times New Roman;serif" w:hAnsi="Times New Roman;serif"/>
          <w:b/>
          <w:sz w:val="20"/>
        </w:rPr>
        <w:t>Stock Based Compensation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2014, the Company adopted a stock compensation plan (the "2014 Equity Incentive Plan") pursuant to which the Company may grant stock options, stock purchase rights, restricted stock awards, or stock awards to employees, directors and consultants (including prospective employees, directors, and consultants). This plan was terminated in February 2016. No additional awards may be granted under the 2014 Equity Incentive Plan, however, outstanding awards continue in full effect in accordance with their existing terms.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2016, the Company adopted a stock compensation plan (the “2016 Equity Incentive Plan”) pursuant to which the Company may grant stock options, stock purchase rights, restricted stock awards, or stock awards to employees, directors and consultants (including prospective employees, directors, and consultants). No</w:t>
      </w:r>
      <w:r>
        <w:rPr>
          <w:rFonts w:ascii="Times New Roman" w:hAnsi="Times New Roman"/>
          <w:sz w:val="20"/>
        </w:rPr>
        <w:t xml:space="preserve"> </w:t>
      </w:r>
      <w:r>
        <w:rPr>
          <w:rFonts w:ascii="Times New Roman;serif" w:hAnsi="Times New Roman;serif"/>
          <w:b w:val="false"/>
          <w:sz w:val="20"/>
        </w:rPr>
        <w:t>additional awards may be granted under the 2016 Equity Incentive Plan, however, outstanding awards continue in full effect in accordance with their existing terms.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connection with the Company’s initial public offering on July 2, 2021, the Company's board of directors adopted the 2021 Equity Incentive Plan (the “2021 Equity Incentive Plan”). The 2021 Equity Incentive Plan provides for the grant of incentive stock options (“ISOs”), non-statutory stock options (“NSOs”), stock appreciation rights, restricted stock awards, restricted stock unit awards, performance-based awards and other awards, or collectively, awards. Awards may be granted to Xometry employees, Xometry’s non-employee directors and consultants/contractors and the employees and consultants/contractors of Xometry affiliates. ISOs may be granted only to Xometry employees and the employees of Xometry affiliates.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there were 5,983,834</w:t>
      </w:r>
      <w:r>
        <w:rPr>
          <w:rFonts w:ascii="Times New Roman" w:hAnsi="Times New Roman"/>
          <w:sz w:val="20"/>
        </w:rPr>
        <w:t xml:space="preserve"> </w:t>
      </w:r>
      <w:r>
        <w:rPr>
          <w:rFonts w:ascii="Times New Roman;serif" w:hAnsi="Times New Roman;serif"/>
          <w:b w:val="false"/>
          <w:sz w:val="20"/>
        </w:rPr>
        <w:t>shares available for the Company to grant under the 2021 Equity Incentive Plan.</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Stock Options</w:t>
      </w:r>
    </w:p>
    <w:p>
      <w:pPr>
        <w:pStyle w:val="TextBody"/>
        <w:bidi w:val="0"/>
        <w:spacing w:before="120" w:after="0"/>
        <w:jc w:val="left"/>
        <w:rPr>
          <w:rFonts w:ascii="Times New Roman" w:hAnsi="Times New Roman"/>
          <w:sz w:val="20"/>
        </w:rPr>
      </w:pPr>
      <w:r>
        <w:rPr>
          <w:rFonts w:ascii="Times New Roman;serif" w:hAnsi="Times New Roman;serif"/>
          <w:b w:val="false"/>
          <w:sz w:val="20"/>
        </w:rPr>
        <w:t>The weighted average assumptions for the six months ended June 30, 2023 and 2022 are provided in the following table.</w:t>
      </w:r>
      <w:r>
        <w:rPr>
          <w:rFonts w:ascii="Times New Roman" w:hAnsi="Times New Roman"/>
          <w:sz w:val="20"/>
        </w:rPr>
        <w:t xml:space="preserve"> </w:t>
      </w:r>
    </w:p>
    <w:tbl>
      <w:tblPr>
        <w:tblW w:w="4860" w:type="dxa"/>
        <w:jc w:val="left"/>
        <w:tblInd w:w="0" w:type="dxa"/>
        <w:tblLayout w:type="fixed"/>
        <w:tblCellMar>
          <w:top w:w="28" w:type="dxa"/>
          <w:left w:w="28" w:type="dxa"/>
          <w:bottom w:w="28" w:type="dxa"/>
          <w:right w:w="28" w:type="dxa"/>
        </w:tblCellMar>
      </w:tblPr>
      <w:tblGrid>
        <w:gridCol w:w="2131"/>
        <w:gridCol w:w="146"/>
        <w:gridCol w:w="220"/>
        <w:gridCol w:w="596"/>
        <w:gridCol w:w="283"/>
        <w:gridCol w:w="152"/>
        <w:gridCol w:w="220"/>
        <w:gridCol w:w="596"/>
        <w:gridCol w:w="5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left"/>
              <w:rPr/>
            </w:pPr>
            <w:r>
              <w:rPr/>
              <w:t> </w:t>
            </w:r>
          </w:p>
        </w:tc>
        <w:tc>
          <w:tcPr>
            <w:tcW w:w="8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Valuation assumptions:</w:t>
            </w:r>
          </w:p>
        </w:tc>
        <w:tc>
          <w:tcPr>
            <w:tcW w:w="146" w:type="dxa"/>
            <w:tcBorders/>
            <w:vAlign w:val="center"/>
          </w:tcPr>
          <w:p>
            <w:pPr>
              <w:pStyle w:val="TableContents"/>
              <w:bidi w:val="0"/>
              <w:spacing w:before="0" w:after="0"/>
              <w:ind w:left="0" w:right="0" w:hanging="0"/>
              <w:jc w:val="left"/>
              <w:rPr/>
            </w:pPr>
            <w:r>
              <w:rPr/>
              <w:t> </w:t>
            </w:r>
          </w:p>
        </w:tc>
        <w:tc>
          <w:tcPr>
            <w:tcW w:w="816" w:type="dxa"/>
            <w:gridSpan w:val="2"/>
            <w:tcBorders/>
            <w:vAlign w:val="center"/>
          </w:tcPr>
          <w:p>
            <w:pPr>
              <w:pStyle w:val="TableContents"/>
              <w:bidi w:val="0"/>
              <w:spacing w:before="0" w:after="0"/>
              <w:ind w:left="0" w:right="0" w:hanging="0"/>
              <w:jc w:val="right"/>
              <w:rPr/>
            </w:pPr>
            <w:r>
              <w:rPr/>
              <w:t> </w:t>
            </w:r>
          </w:p>
        </w:tc>
        <w:tc>
          <w:tcPr>
            <w:tcW w:w="283"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816" w:type="dxa"/>
            <w:gridSpan w:val="2"/>
            <w:tcBorders/>
            <w:vAlign w:val="center"/>
          </w:tcPr>
          <w:p>
            <w:pPr>
              <w:pStyle w:val="TableContents"/>
              <w:bidi w:val="0"/>
              <w:spacing w:before="0" w:after="0"/>
              <w:ind w:left="0" w:right="0" w:hanging="0"/>
              <w:jc w:val="right"/>
              <w:rPr/>
            </w:pPr>
            <w:r>
              <w:rPr/>
              <w:t> </w:t>
            </w:r>
          </w:p>
        </w:tc>
        <w:tc>
          <w:tcPr>
            <w:tcW w:w="516" w:type="dxa"/>
            <w:tcBorders/>
            <w:vAlign w:val="center"/>
          </w:tcPr>
          <w:p>
            <w:pPr>
              <w:pStyle w:val="TableContents"/>
              <w:bidi w:val="0"/>
              <w:spacing w:before="0" w:after="0"/>
              <w:ind w:left="0" w:right="0" w:firstLine="200"/>
              <w:jc w:val="right"/>
              <w:rPr/>
            </w:pPr>
            <w:r>
              <w:rPr/>
              <w:t> </w:t>
            </w:r>
          </w:p>
        </w:tc>
      </w:tr>
      <w:tr>
        <w:trPr/>
        <w:tc>
          <w:tcPr>
            <w:tcW w:w="21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vAlign w:val="center"/>
          </w:tcPr>
          <w:p>
            <w:pPr>
              <w:pStyle w:val="TableContents"/>
              <w:bidi w:val="0"/>
              <w:spacing w:before="0" w:after="0"/>
              <w:ind w:left="0" w:right="0" w:hanging="0"/>
              <w:jc w:val="left"/>
              <w:rPr/>
            </w:pPr>
            <w:r>
              <w:rPr/>
              <w:t> </w:t>
            </w:r>
          </w:p>
        </w:tc>
        <w:tc>
          <w:tcPr>
            <w:tcW w:w="816" w:type="dxa"/>
            <w:gridSpan w:val="2"/>
            <w:tcBorders/>
            <w:vAlign w:val="center"/>
          </w:tcPr>
          <w:p>
            <w:pPr>
              <w:pStyle w:val="TableContents"/>
              <w:bidi w:val="0"/>
              <w:spacing w:before="0" w:after="0"/>
              <w:ind w:left="0" w:right="0" w:hanging="0"/>
              <w:jc w:val="right"/>
              <w:rPr/>
            </w:pPr>
            <w:r>
              <w:rPr/>
              <w:t>—</w:t>
            </w:r>
            <w:r>
              <w:rPr>
                <w:rFonts w:ascii="Times New Roman;serif" w:hAnsi="Times New Roman;serif"/>
                <w:b w:val="false"/>
                <w:sz w:val="20"/>
              </w:rPr>
              <w:t>%</w:t>
            </w:r>
          </w:p>
        </w:tc>
        <w:tc>
          <w:tcPr>
            <w:tcW w:w="283"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816" w:type="dxa"/>
            <w:gridSpan w:val="2"/>
            <w:tcBorders/>
            <w:vAlign w:val="center"/>
          </w:tcPr>
          <w:p>
            <w:pPr>
              <w:pStyle w:val="TableContents"/>
              <w:bidi w:val="0"/>
              <w:spacing w:before="0" w:after="0"/>
              <w:ind w:left="0" w:right="0" w:hanging="0"/>
              <w:jc w:val="right"/>
              <w:rPr/>
            </w:pPr>
            <w:r>
              <w:rPr/>
              <w:t>—</w:t>
            </w:r>
            <w:r>
              <w:rPr>
                <w:rFonts w:ascii="Times New Roman;serif" w:hAnsi="Times New Roman;serif"/>
                <w:b w:val="false"/>
                <w:sz w:val="20"/>
              </w:rPr>
              <w:t>%</w:t>
            </w:r>
          </w:p>
        </w:tc>
        <w:tc>
          <w:tcPr>
            <w:tcW w:w="516" w:type="dxa"/>
            <w:tcBorders/>
            <w:vAlign w:val="center"/>
          </w:tcPr>
          <w:p>
            <w:pPr>
              <w:pStyle w:val="TableContents"/>
              <w:bidi w:val="0"/>
              <w:spacing w:before="0" w:after="0"/>
              <w:ind w:left="0" w:right="0" w:firstLine="200"/>
              <w:jc w:val="right"/>
              <w:rPr/>
            </w:pPr>
            <w:r>
              <w:rPr/>
              <w:t> </w:t>
            </w:r>
          </w:p>
        </w:tc>
      </w:tr>
      <w:tr>
        <w:trPr/>
        <w:tc>
          <w:tcPr>
            <w:tcW w:w="21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5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2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5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1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Expected term (years)</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5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283"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5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516" w:type="dxa"/>
            <w:tcBorders/>
            <w:vAlign w:val="center"/>
          </w:tcPr>
          <w:p>
            <w:pPr>
              <w:pStyle w:val="TableContents"/>
              <w:bidi w:val="0"/>
              <w:spacing w:before="0" w:after="0"/>
              <w:ind w:left="0" w:right="0" w:firstLine="200"/>
              <w:jc w:val="left"/>
              <w:rPr/>
            </w:pPr>
            <w:r>
              <w:rPr/>
              <w:t> </w:t>
            </w:r>
          </w:p>
        </w:tc>
      </w:tr>
      <w:tr>
        <w:trPr/>
        <w:tc>
          <w:tcPr>
            <w:tcW w:w="21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5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2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5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1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Fair value of share</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15.82</w:t>
            </w:r>
          </w:p>
        </w:tc>
        <w:tc>
          <w:tcPr>
            <w:tcW w:w="283"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34.86</w:t>
            </w:r>
          </w:p>
        </w:tc>
        <w:tc>
          <w:tcPr>
            <w:tcW w:w="51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 summary of the status of the Company’s stock option activity and the changes during the six months ended June 30, 2023, are as follows (in millions, except share and per share amounts):</w:t>
      </w:r>
      <w:r>
        <w:rPr>
          <w:rFonts w:ascii="Times New Roman" w:hAnsi="Times New Roman"/>
          <w:sz w:val="20"/>
        </w:rPr>
        <w:t xml:space="preserve"> </w:t>
      </w:r>
    </w:p>
    <w:p>
      <w:pPr>
        <w:pStyle w:val="TextBody"/>
        <w:bidi w:val="0"/>
        <w:spacing w:before="0" w:after="0"/>
        <w:jc w:val="left"/>
        <w:rPr/>
      </w:pPr>
      <w:r>
        <w:rPr/>
        <w:t> </w:t>
      </w:r>
    </w:p>
    <w:tbl>
      <w:tblPr>
        <w:tblW w:w="8618" w:type="dxa"/>
        <w:jc w:val="left"/>
        <w:tblInd w:w="0" w:type="dxa"/>
        <w:tblLayout w:type="fixed"/>
        <w:tblCellMar>
          <w:top w:w="28" w:type="dxa"/>
          <w:left w:w="28" w:type="dxa"/>
          <w:bottom w:w="28" w:type="dxa"/>
          <w:right w:w="28" w:type="dxa"/>
        </w:tblCellMar>
      </w:tblPr>
      <w:tblGrid>
        <w:gridCol w:w="3121"/>
        <w:gridCol w:w="146"/>
        <w:gridCol w:w="146"/>
        <w:gridCol w:w="931"/>
        <w:gridCol w:w="166"/>
        <w:gridCol w:w="146"/>
        <w:gridCol w:w="229"/>
        <w:gridCol w:w="896"/>
        <w:gridCol w:w="146"/>
        <w:gridCol w:w="146"/>
        <w:gridCol w:w="285"/>
        <w:gridCol w:w="706"/>
        <w:gridCol w:w="146"/>
        <w:gridCol w:w="146"/>
        <w:gridCol w:w="271"/>
        <w:gridCol w:w="600"/>
        <w:gridCol w:w="3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 Price</w:t>
              <w:br/>
              <w:t>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br/>
              <w:t>Remaining</w:t>
              <w:br/>
              <w:t>Contractual</w:t>
              <w:br/>
              <w:t>Term</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br/>
              <w:t>Intrinsic</w:t>
              <w:br/>
              <w:t>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12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Exercisable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1,391,047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w:t>
            </w:r>
          </w:p>
        </w:tc>
        <w:tc>
          <w:tcPr>
            <w:tcW w:w="3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2,841,419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61.4</w:t>
            </w:r>
          </w:p>
        </w:tc>
        <w:tc>
          <w:tcPr>
            <w:tcW w:w="391" w:type="dxa"/>
            <w:tcBorders/>
            <w:vAlign w:val="center"/>
          </w:tcPr>
          <w:p>
            <w:pPr>
              <w:pStyle w:val="TableContents"/>
              <w:bidi w:val="0"/>
              <w:spacing w:before="0" w:after="0"/>
              <w:ind w:left="0" w:right="0" w:firstLine="200"/>
              <w:jc w:val="left"/>
              <w:rPr/>
            </w:pPr>
            <w:r>
              <w:rPr/>
              <w:t> </w:t>
            </w:r>
          </w:p>
        </w:tc>
      </w:tr>
      <w:tr>
        <w:trPr/>
        <w:tc>
          <w:tcPr>
            <w:tcW w:w="3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428,278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3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(155,888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3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(109,247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3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Expired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2,999,731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w:t>
            </w:r>
          </w:p>
        </w:tc>
        <w:tc>
          <w:tcPr>
            <w:tcW w:w="3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Exercisable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1,680,820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weighted average grant date fair value of options granted during the six months ended June 30, 2023 and 2022, was $11.37</w:t>
      </w:r>
      <w:r>
        <w:rPr>
          <w:rFonts w:ascii="Times New Roman" w:hAnsi="Times New Roman"/>
          <w:sz w:val="20"/>
        </w:rPr>
        <w:t xml:space="preserve"> </w:t>
      </w:r>
      <w:r>
        <w:rPr>
          <w:rFonts w:ascii="Times New Roman;serif" w:hAnsi="Times New Roman;serif"/>
          <w:b w:val="false"/>
          <w:sz w:val="20"/>
        </w:rPr>
        <w:t>and $21.08, respectively. The total intrinsic value of options exercised during the six months ended June 30, 2023 and 2022, was $2.1</w:t>
      </w:r>
      <w:r>
        <w:rPr>
          <w:rFonts w:ascii="Times New Roman" w:hAnsi="Times New Roman"/>
          <w:sz w:val="20"/>
        </w:rPr>
        <w:t xml:space="preserve"> </w:t>
      </w:r>
      <w:r>
        <w:rPr>
          <w:rFonts w:ascii="Times New Roman;serif" w:hAnsi="Times New Roman;serif"/>
          <w:b w:val="false"/>
          <w:sz w:val="20"/>
        </w:rPr>
        <w:t>million and $15.8</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At June 30, 2023, there was approximately $18.7</w:t>
      </w:r>
      <w:r>
        <w:rPr>
          <w:rFonts w:ascii="Times New Roman" w:hAnsi="Times New Roman"/>
          <w:sz w:val="20"/>
        </w:rPr>
        <w:t xml:space="preserve"> </w:t>
      </w:r>
      <w:r>
        <w:rPr>
          <w:rFonts w:ascii="Times New Roman;serif" w:hAnsi="Times New Roman;serif"/>
          <w:b w:val="false"/>
          <w:sz w:val="20"/>
        </w:rPr>
        <w:t>million of total unrecognized compensation cost related to unvested stock options. That cost is expected to be recognized over a weighted average period of approximately two years</w:t>
      </w:r>
      <w:r>
        <w:rPr>
          <w:rFonts w:ascii="Times New Roman" w:hAnsi="Times New Roman"/>
          <w:sz w:val="20"/>
        </w:rPr>
        <w:t xml:space="preserve"> </w:t>
      </w:r>
      <w:r>
        <w:rPr>
          <w:rFonts w:ascii="Times New Roman;serif" w:hAnsi="Times New Roman;serif"/>
          <w:b w:val="false"/>
          <w:sz w:val="20"/>
        </w:rPr>
        <w:t>as of June 30, 2023.</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currently uses authorized and unissued shares to satisfy share award exercises.</w:t>
      </w:r>
    </w:p>
    <w:p>
      <w:pPr>
        <w:pStyle w:val="TextBody"/>
        <w:bidi w:val="0"/>
        <w:spacing w:before="120" w:after="0"/>
        <w:jc w:val="left"/>
        <w:rPr>
          <w:rFonts w:ascii="Times New Roman;serif" w:hAnsi="Times New Roman;serif"/>
          <w:b/>
          <w:sz w:val="20"/>
        </w:rPr>
      </w:pPr>
      <w:r>
        <w:rPr>
          <w:rFonts w:ascii="Times New Roman;serif" w:hAnsi="Times New Roman;serif"/>
          <w:b/>
          <w:sz w:val="20"/>
        </w:rPr>
        <w:t>Restricted Stock Units</w:t>
      </w:r>
    </w:p>
    <w:p>
      <w:pPr>
        <w:pStyle w:val="TextBody"/>
        <w:bidi w:val="0"/>
        <w:spacing w:before="120" w:after="0"/>
        <w:jc w:val="left"/>
        <w:rPr>
          <w:rFonts w:ascii="Times New Roman" w:hAnsi="Times New Roman"/>
          <w:sz w:val="20"/>
        </w:rPr>
      </w:pPr>
      <w:r>
        <w:rPr>
          <w:rFonts w:ascii="Times New Roman;serif" w:hAnsi="Times New Roman;serif"/>
          <w:b w:val="false"/>
          <w:sz w:val="20"/>
        </w:rPr>
        <w:t>A summary of the status of the Company’s restricted stock unit activity and the changes during the six months ended June 30, 2023 are as follows (in millions, except share and per share amounts):</w:t>
      </w:r>
      <w:r>
        <w:rPr>
          <w:rFonts w:ascii="Times New Roman" w:hAnsi="Times New Roman"/>
          <w:sz w:val="20"/>
        </w:rPr>
        <w:t xml:space="preserve"> </w:t>
      </w:r>
    </w:p>
    <w:p>
      <w:pPr>
        <w:pStyle w:val="TextBody"/>
        <w:bidi w:val="0"/>
        <w:spacing w:before="120" w:after="0"/>
        <w:jc w:val="left"/>
        <w:rPr/>
      </w:pPr>
      <w:r>
        <w:rPr/>
        <w:t> </w:t>
      </w:r>
    </w:p>
    <w:tbl>
      <w:tblPr>
        <w:tblW w:w="8845" w:type="dxa"/>
        <w:jc w:val="left"/>
        <w:tblInd w:w="0" w:type="dxa"/>
        <w:tblLayout w:type="fixed"/>
        <w:tblCellMar>
          <w:top w:w="28" w:type="dxa"/>
          <w:left w:w="28" w:type="dxa"/>
          <w:bottom w:w="28" w:type="dxa"/>
          <w:right w:w="28" w:type="dxa"/>
        </w:tblCellMar>
      </w:tblPr>
      <w:tblGrid>
        <w:gridCol w:w="3421"/>
        <w:gridCol w:w="146"/>
        <w:gridCol w:w="146"/>
        <w:gridCol w:w="931"/>
        <w:gridCol w:w="166"/>
        <w:gridCol w:w="146"/>
        <w:gridCol w:w="516"/>
        <w:gridCol w:w="2019"/>
        <w:gridCol w:w="146"/>
        <w:gridCol w:w="146"/>
        <w:gridCol w:w="271"/>
        <w:gridCol w:w="600"/>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Grant Date fair value (per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br/>
              <w:t>Intrinsic</w:t>
              <w:br/>
              <w:t>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RSUs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875,902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20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w:t>
            </w:r>
          </w:p>
        </w:tc>
        <w:tc>
          <w:tcPr>
            <w:tcW w:w="191" w:type="dxa"/>
            <w:tcBorders/>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1,242,169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20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(228,968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20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 and cancelled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(222,648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20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RSUs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1,666,455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20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At June 30, 2023, there was approximately $36.7</w:t>
      </w:r>
      <w:r>
        <w:rPr>
          <w:rFonts w:ascii="Times New Roman" w:hAnsi="Times New Roman"/>
          <w:sz w:val="20"/>
        </w:rPr>
        <w:t xml:space="preserve"> </w:t>
      </w:r>
      <w:r>
        <w:rPr>
          <w:rFonts w:ascii="Times New Roman;serif" w:hAnsi="Times New Roman;serif"/>
          <w:b w:val="false"/>
          <w:sz w:val="20"/>
        </w:rPr>
        <w:t>million of total unrecognized compensation cost related to unvested restricted stock units granted under the 2021 Equity Incentive Plan. That cost is expected to be recognized over a weighted average period of approximately</w:t>
      </w:r>
      <w:r>
        <w:rPr>
          <w:rFonts w:ascii="Times New Roman" w:hAnsi="Times New Roman"/>
          <w:sz w:val="20"/>
        </w:rPr>
        <w:t xml:space="preserve"> </w:t>
      </w:r>
      <w:r>
        <w:rPr>
          <w:rFonts w:ascii="Times New Roman;serif" w:hAnsi="Times New Roman;serif"/>
          <w:b w:val="false"/>
          <w:sz w:val="20"/>
        </w:rPr>
        <w:t>three years</w:t>
      </w:r>
      <w:r>
        <w:rPr>
          <w:rFonts w:ascii="Times New Roman" w:hAnsi="Times New Roman"/>
          <w:sz w:val="20"/>
        </w:rPr>
        <w:t xml:space="preserve"> </w:t>
      </w:r>
      <w:r>
        <w:rPr>
          <w:rFonts w:ascii="Times New Roman;serif" w:hAnsi="Times New Roman;serif"/>
          <w:b w:val="false"/>
          <w:sz w:val="20"/>
        </w:rPr>
        <w:t>as of June 30, 2023.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Total stock-based compensation cost for the three and six months ended June 30, 2023 and 2022 were as follows (in</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thousands):</w:t>
      </w:r>
      <w:r>
        <w:rPr>
          <w:rFonts w:ascii="Times New Roman" w:hAnsi="Times New Roman"/>
          <w:sz w:val="20"/>
        </w:rPr>
        <w:t xml:space="preserve"> </w:t>
      </w:r>
    </w:p>
    <w:tbl>
      <w:tblPr>
        <w:tblW w:w="7926" w:type="dxa"/>
        <w:jc w:val="left"/>
        <w:tblInd w:w="0" w:type="dxa"/>
        <w:tblLayout w:type="fixed"/>
        <w:tblCellMar>
          <w:top w:w="28" w:type="dxa"/>
          <w:left w:w="28" w:type="dxa"/>
          <w:bottom w:w="28" w:type="dxa"/>
          <w:right w:w="28" w:type="dxa"/>
        </w:tblCellMar>
      </w:tblPr>
      <w:tblGrid>
        <w:gridCol w:w="2926"/>
        <w:gridCol w:w="146"/>
        <w:gridCol w:w="257"/>
        <w:gridCol w:w="697"/>
        <w:gridCol w:w="178"/>
        <w:gridCol w:w="178"/>
        <w:gridCol w:w="257"/>
        <w:gridCol w:w="697"/>
        <w:gridCol w:w="146"/>
        <w:gridCol w:w="146"/>
        <w:gridCol w:w="211"/>
        <w:gridCol w:w="676"/>
        <w:gridCol w:w="146"/>
        <w:gridCol w:w="146"/>
        <w:gridCol w:w="211"/>
        <w:gridCol w:w="571"/>
        <w:gridCol w:w="146"/>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98"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r>
      <w:tr>
        <w:trPr/>
        <w:tc>
          <w:tcPr>
            <w:tcW w:w="29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8" w:type="dxa"/>
            <w:tcBorders/>
            <w:vAlign w:val="center"/>
          </w:tcPr>
          <w:p>
            <w:pPr>
              <w:pStyle w:val="TableContents"/>
              <w:bidi w:val="0"/>
              <w:spacing w:before="0" w:after="0"/>
              <w:ind w:left="0" w:right="0" w:hanging="0"/>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54" w:type="dxa"/>
            <w:gridSpan w:val="2"/>
            <w:tcBorders/>
            <w:vAlign w:val="center"/>
          </w:tcPr>
          <w:p>
            <w:pPr>
              <w:pStyle w:val="TableContents"/>
              <w:bidi w:val="0"/>
              <w:spacing w:before="0" w:after="0"/>
              <w:ind w:left="0" w:right="0" w:hanging="0"/>
              <w:jc w:val="center"/>
              <w:rPr/>
            </w:pPr>
            <w:r>
              <w:rPr/>
              <w:t> </w:t>
            </w:r>
          </w:p>
        </w:tc>
        <w:tc>
          <w:tcPr>
            <w:tcW w:w="178" w:type="dxa"/>
            <w:tcBorders/>
            <w:vAlign w:val="center"/>
          </w:tcPr>
          <w:p>
            <w:pPr>
              <w:pStyle w:val="TableContents"/>
              <w:bidi w:val="0"/>
              <w:spacing w:before="0" w:after="0"/>
              <w:ind w:left="0" w:right="0" w:hanging="0"/>
              <w:jc w:val="center"/>
              <w:rPr/>
            </w:pPr>
            <w:r>
              <w:rPr/>
              <w:t> </w:t>
            </w:r>
          </w:p>
        </w:tc>
        <w:tc>
          <w:tcPr>
            <w:tcW w:w="178" w:type="dxa"/>
            <w:tcBorders/>
            <w:vAlign w:val="center"/>
          </w:tcPr>
          <w:p>
            <w:pPr>
              <w:pStyle w:val="TableContents"/>
              <w:bidi w:val="0"/>
              <w:spacing w:before="0" w:after="0"/>
              <w:ind w:left="0" w:right="0" w:hanging="0"/>
              <w:jc w:val="left"/>
              <w:rPr/>
            </w:pPr>
            <w:r>
              <w:rPr/>
              <w:t> </w:t>
            </w:r>
          </w:p>
        </w:tc>
        <w:tc>
          <w:tcPr>
            <w:tcW w:w="95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61" w:type="dxa"/>
            <w:gridSpan w:val="6"/>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1,185</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1,936</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Operations and support</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2,038</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3,164</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development</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1,390</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1,185</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 compensation expense</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5,798</w:t>
            </w:r>
          </w:p>
        </w:tc>
        <w:tc>
          <w:tcPr>
            <w:tcW w:w="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10,492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8,935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(11)</w:t>
      </w:r>
      <w:r>
        <w:rPr>
          <w:rFonts w:ascii="Times New Roman" w:hAnsi="Times New Roman"/>
          <w:sz w:val="20"/>
        </w:rPr>
        <w:t xml:space="preserve"> </w:t>
      </w:r>
      <w:r>
        <w:rPr>
          <w:rFonts w:ascii="Times New Roman;serif" w:hAnsi="Times New Roman;serif"/>
          <w:b/>
          <w:sz w:val="20"/>
        </w:rPr>
        <w:t>Income Taxes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full valuation allowance has been established against our net U.S. federal and state deferred tax assets and foreign deferred tax assets, including net operating loss carryforwards.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had less than $0.1</w:t>
      </w:r>
      <w:r>
        <w:rPr>
          <w:rFonts w:ascii="Times New Roman" w:hAnsi="Times New Roman"/>
          <w:sz w:val="20"/>
        </w:rPr>
        <w:t xml:space="preserve"> </w:t>
      </w:r>
      <w:r>
        <w:rPr>
          <w:rFonts w:ascii="Times New Roman;serif" w:hAnsi="Times New Roman;serif"/>
          <w:b w:val="false"/>
          <w:sz w:val="20"/>
        </w:rPr>
        <w:t>million of income tax benefit for the three months ended June 30, 2023, as compared to zero</w:t>
      </w:r>
      <w:r>
        <w:rPr>
          <w:rFonts w:ascii="Times New Roman" w:hAnsi="Times New Roman"/>
          <w:sz w:val="20"/>
        </w:rPr>
        <w:t xml:space="preserve"> </w:t>
      </w:r>
      <w:r>
        <w:rPr>
          <w:rFonts w:ascii="Times New Roman;serif" w:hAnsi="Times New Roman;serif"/>
          <w:b w:val="false"/>
          <w:sz w:val="20"/>
        </w:rPr>
        <w:t>income tax expense/benefit in the U.S. for the three months ended June 30, 2022. During the six months ended June 30, 2023, the Company had less than $0.1</w:t>
      </w:r>
      <w:r>
        <w:rPr>
          <w:rFonts w:ascii="Times New Roman" w:hAnsi="Times New Roman"/>
          <w:sz w:val="20"/>
        </w:rPr>
        <w:t xml:space="preserve"> </w:t>
      </w:r>
      <w:r>
        <w:rPr>
          <w:rFonts w:ascii="Times New Roman;serif" w:hAnsi="Times New Roman;serif"/>
          <w:b w:val="false"/>
          <w:sz w:val="20"/>
        </w:rPr>
        <w:t>million of income tax expense in the U.S. The Company had an approximate $0.6</w:t>
      </w:r>
      <w:r>
        <w:rPr>
          <w:rFonts w:ascii="Times New Roman" w:hAnsi="Times New Roman"/>
          <w:sz w:val="20"/>
        </w:rPr>
        <w:t xml:space="preserve"> </w:t>
      </w:r>
      <w:r>
        <w:rPr>
          <w:rFonts w:ascii="Times New Roman;serif" w:hAnsi="Times New Roman;serif"/>
          <w:b w:val="false"/>
          <w:sz w:val="20"/>
        </w:rPr>
        <w:t>million income tax benefit during the same time period in 2022. This estimated annual effective tax rate of (0.2%), differs from the U.S. federal statutory rate primarily due to the effects of certain permanent items, foreign tax rate differences, and increases in the valuation allowance against deferred tax assets.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Net Operating Loss and Credit Carryforwards</w:t>
      </w:r>
    </w:p>
    <w:p>
      <w:pPr>
        <w:pStyle w:val="TextBody"/>
        <w:bidi w:val="0"/>
        <w:spacing w:before="120" w:after="0"/>
        <w:jc w:val="left"/>
        <w:rPr>
          <w:rFonts w:ascii="Times New Roman" w:hAnsi="Times New Roman"/>
          <w:sz w:val="20"/>
        </w:rPr>
      </w:pPr>
      <w:r>
        <w:rPr>
          <w:rFonts w:ascii="Times New Roman;serif" w:hAnsi="Times New Roman;serif"/>
          <w:b w:val="false"/>
          <w:sz w:val="20"/>
        </w:rPr>
        <w:t>As of December 31, 2022, the Company has net operating loss (“NOL”) carryforwards for U.S. federal income tax purposes, and similar state amounts, of approximately $224.6</w:t>
      </w:r>
      <w:r>
        <w:rPr>
          <w:rFonts w:ascii="Times New Roman" w:hAnsi="Times New Roman"/>
          <w:sz w:val="20"/>
        </w:rPr>
        <w:t xml:space="preserve"> </w:t>
      </w:r>
      <w:r>
        <w:rPr>
          <w:rFonts w:ascii="Times New Roman;serif" w:hAnsi="Times New Roman;serif"/>
          <w:b w:val="false"/>
          <w:sz w:val="20"/>
        </w:rPr>
        <w:t>million available to reduce future income subject to income taxes before limitations. As of December 31, 2022, the Company had a net operating loss carryforward for tax purposes related to its foreign subsidiaries of $33.8</w:t>
      </w:r>
      <w:r>
        <w:rPr>
          <w:rFonts w:ascii="Times New Roman" w:hAnsi="Times New Roman"/>
          <w:sz w:val="20"/>
        </w:rPr>
        <w:t xml:space="preserve"> </w:t>
      </w:r>
      <w:r>
        <w:rPr>
          <w:rFonts w:ascii="Times New Roman;serif" w:hAnsi="Times New Roman;serif"/>
          <w:b w:val="false"/>
          <w:sz w:val="20"/>
        </w:rPr>
        <w:t>million. U.S. federal net operating carryforwards generated prior to 2018 in the approximate amount of $71.9</w:t>
      </w:r>
      <w:r>
        <w:rPr>
          <w:rFonts w:ascii="Times New Roman" w:hAnsi="Times New Roman"/>
          <w:sz w:val="20"/>
        </w:rPr>
        <w:t xml:space="preserve"> </w:t>
      </w:r>
      <w:r>
        <w:rPr>
          <w:rFonts w:ascii="Times New Roman;serif" w:hAnsi="Times New Roman;serif"/>
          <w:b w:val="false"/>
          <w:sz w:val="20"/>
        </w:rPr>
        <w:t>million will begin to expire, if not utilized, in 2023. Our non-U.S. net operating loss and U.S. federal net operating losses post 2017 have an indefinite life. Under the provisions of U.S. Internal Revenue Code Section 382, certain substantial changes in the Company’s ownership may result in a limitation in the amount of U.S. net operating loss carryforwards that can be utilized annually to offset future taxable income.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(12)</w:t>
      </w:r>
      <w:r>
        <w:rPr>
          <w:rFonts w:ascii="Times New Roman" w:hAnsi="Times New Roman"/>
          <w:sz w:val="20"/>
        </w:rPr>
        <w:t xml:space="preserve"> </w:t>
      </w:r>
      <w:r>
        <w:rPr>
          <w:rFonts w:ascii="Times New Roman;serif" w:hAnsi="Times New Roman;serif"/>
          <w:b/>
          <w:sz w:val="20"/>
        </w:rPr>
        <w:t>Net Loss Per Share Attributable to Common Stockholders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Company computes net loss per share of Class A common stock, Class B common stock and participating securities using the two-class method. Basic and diluted EPS are the same for each class of common stock and participating securities because they are entitled to the same liquidation and dividend rights. The following table sets forth the computation of basic and diluted net loss per share attributable to common stockholders (in thousands, except share and per share data): </w:t>
      </w:r>
    </w:p>
    <w:p>
      <w:pPr>
        <w:pStyle w:val="TextBody"/>
        <w:bidi w:val="0"/>
        <w:spacing w:before="120" w:after="0"/>
        <w:jc w:val="left"/>
        <w:rPr/>
      </w:pPr>
      <w:r>
        <w:rPr/>
        <w:t> </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(26,559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(16,549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(44,902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(36,544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income attributable to noncontrolling interest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common stockholders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(16,553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(44,898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(36,565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39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number of shares outstanding used to compute net loss per share attributable to common stockholders, basic and diluted, of Class A and Class B common stock</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47,865,990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47,074,246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47,783,235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46,932,702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attributable to common stockholders, basic and diluted, of Class A and Class B common stock</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outstanding shares of potentially dilutive securities were excluded from the computation of diluted net loss per share because including them would have had an anti-dilutive effect, or issuance of such shares is contingent upon the occurrence of an event:</w:t>
      </w:r>
    </w:p>
    <w:p>
      <w:pPr>
        <w:pStyle w:val="TextBody"/>
        <w:bidi w:val="0"/>
        <w:spacing w:before="0" w:after="0"/>
        <w:jc w:val="left"/>
        <w:rPr/>
      </w:pPr>
      <w:r>
        <w:rPr/>
        <w:t> </w:t>
      </w:r>
    </w:p>
    <w:tbl>
      <w:tblPr>
        <w:tblW w:w="6444" w:type="dxa"/>
        <w:jc w:val="left"/>
        <w:tblInd w:w="0" w:type="dxa"/>
        <w:tblLayout w:type="fixed"/>
        <w:tblCellMar>
          <w:top w:w="28" w:type="dxa"/>
          <w:left w:w="28" w:type="dxa"/>
          <w:bottom w:w="28" w:type="dxa"/>
          <w:right w:w="28" w:type="dxa"/>
        </w:tblCellMar>
      </w:tblPr>
      <w:tblGrid>
        <w:gridCol w:w="3556"/>
        <w:gridCol w:w="146"/>
        <w:gridCol w:w="146"/>
        <w:gridCol w:w="1036"/>
        <w:gridCol w:w="146"/>
        <w:gridCol w:w="146"/>
        <w:gridCol w:w="146"/>
        <w:gridCol w:w="931"/>
        <w:gridCol w:w="19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 outstanding</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2,999,731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3,009,727</w:t>
            </w:r>
          </w:p>
        </w:tc>
        <w:tc>
          <w:tcPr>
            <w:tcW w:w="19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1,666,455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850,621</w:t>
            </w:r>
          </w:p>
        </w:tc>
        <w:tc>
          <w:tcPr>
            <w:tcW w:w="19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Warrants outstanding</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87,784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87,784</w:t>
            </w:r>
          </w:p>
        </w:tc>
        <w:tc>
          <w:tcPr>
            <w:tcW w:w="19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reserved for charitable contribution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281,860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322,126</w:t>
            </w:r>
          </w:p>
        </w:tc>
        <w:tc>
          <w:tcPr>
            <w:tcW w:w="19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Convertible notes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5,123,624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5,123,624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shares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10,159,454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9,393,882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(13)</w:t>
      </w:r>
      <w:r>
        <w:rPr>
          <w:rFonts w:ascii="Times New Roman" w:hAnsi="Times New Roman"/>
          <w:sz w:val="20"/>
        </w:rPr>
        <w:t xml:space="preserve"> </w:t>
      </w:r>
      <w:r>
        <w:rPr>
          <w:rFonts w:ascii="Times New Roman;serif" w:hAnsi="Times New Roman;serif"/>
          <w:b/>
          <w:sz w:val="20"/>
        </w:rPr>
        <w:t>Debt Commitments and Contingencies</w:t>
      </w:r>
      <w:r>
        <w:rPr>
          <w:rFonts w:ascii="Times New Roman" w:hAnsi="Times New Roman"/>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2027 Convertible Notes</w:t>
      </w:r>
    </w:p>
    <w:p>
      <w:pPr>
        <w:pStyle w:val="TextBody"/>
        <w:bidi w:val="0"/>
        <w:spacing w:before="120" w:after="0"/>
        <w:jc w:val="left"/>
        <w:rPr>
          <w:rFonts w:ascii="Times New Roman" w:hAnsi="Times New Roman"/>
          <w:sz w:val="20"/>
        </w:rPr>
      </w:pPr>
      <w:r>
        <w:rPr>
          <w:rFonts w:ascii="Times New Roman;serif" w:hAnsi="Times New Roman;serif"/>
          <w:b w:val="false"/>
          <w:sz w:val="20"/>
        </w:rPr>
        <w:t>In February 2022, we entered into a purchase agreement with certain counterparties for the sale of an aggregate of $287.5</w:t>
      </w:r>
      <w:r>
        <w:rPr>
          <w:rFonts w:ascii="Times New Roman" w:hAnsi="Times New Roman"/>
          <w:sz w:val="20"/>
        </w:rPr>
        <w:t xml:space="preserve"> </w:t>
      </w:r>
      <w:r>
        <w:rPr>
          <w:rFonts w:ascii="Times New Roman;serif" w:hAnsi="Times New Roman;serif"/>
          <w:b w:val="false"/>
          <w:sz w:val="20"/>
        </w:rPr>
        <w:t>million principal amount of convertible senior notes due in 2027 (the “2027 Notes”) in a private offering to qualified institutional buyers pursuant to Rule 144A under the Securities Act of 1933, as amended (the “Securities Act”). The 2027 Notes consisted of a $250</w:t>
      </w:r>
      <w:r>
        <w:rPr>
          <w:rFonts w:ascii="Times New Roman" w:hAnsi="Times New Roman"/>
          <w:sz w:val="20"/>
        </w:rPr>
        <w:t xml:space="preserve"> </w:t>
      </w:r>
      <w:r>
        <w:rPr>
          <w:rFonts w:ascii="Times New Roman;serif" w:hAnsi="Times New Roman;serif"/>
          <w:b w:val="false"/>
          <w:sz w:val="20"/>
        </w:rPr>
        <w:t>million initial placement and an over-allotment option that provided the initial purchasers of the 2027 Notes with the option to purchase an additional $37.5</w:t>
      </w:r>
      <w:r>
        <w:rPr>
          <w:rFonts w:ascii="Times New Roman" w:hAnsi="Times New Roman"/>
          <w:sz w:val="20"/>
        </w:rPr>
        <w:t xml:space="preserve"> </w:t>
      </w:r>
      <w:r>
        <w:rPr>
          <w:rFonts w:ascii="Times New Roman;serif" w:hAnsi="Times New Roman;serif"/>
          <w:b w:val="false"/>
          <w:sz w:val="20"/>
        </w:rPr>
        <w:t>million aggregate principal amount of the 2027 Notes, which was fully exercised. The 2027 Notes were issued pursuant to an indenture dated February 4, 2022. The net proceeds from the issuance of the 2027 Notes were $278.2</w:t>
      </w:r>
      <w:r>
        <w:rPr>
          <w:rFonts w:ascii="Times New Roman" w:hAnsi="Times New Roman"/>
          <w:sz w:val="20"/>
        </w:rPr>
        <w:t xml:space="preserve"> </w:t>
      </w:r>
      <w:r>
        <w:rPr>
          <w:rFonts w:ascii="Times New Roman;serif" w:hAnsi="Times New Roman;serif"/>
          <w:b w:val="false"/>
          <w:sz w:val="20"/>
        </w:rPr>
        <w:t>million, net of debt issuance costs. The debt issuance costs are amortized to interest expense using the effective interest rate method.</w:t>
      </w:r>
    </w:p>
    <w:p>
      <w:pPr>
        <w:pStyle w:val="TextBody"/>
        <w:bidi w:val="0"/>
        <w:spacing w:before="120" w:after="0"/>
        <w:jc w:val="left"/>
        <w:rPr>
          <w:rFonts w:ascii="Times New Roman" w:hAnsi="Times New Roman"/>
          <w:sz w:val="20"/>
        </w:rPr>
      </w:pPr>
      <w:r>
        <w:rPr>
          <w:rFonts w:ascii="Times New Roman;serif" w:hAnsi="Times New Roman;serif"/>
          <w:b w:val="false"/>
          <w:sz w:val="20"/>
        </w:rPr>
        <w:t>The 2027 Notes are unsecured obligations which bear regular interest at 1% per annum and for which the principal balance will not accrete. Interest payment are due on February 1 and August 1 of each year the Notes remain outstanding. The 2027 Notes will mature on February 1, 2027</w:t>
      </w:r>
      <w:r>
        <w:rPr>
          <w:rFonts w:ascii="Times New Roman" w:hAnsi="Times New Roman"/>
          <w:sz w:val="20"/>
        </w:rPr>
        <w:t xml:space="preserve"> </w:t>
      </w:r>
      <w:r>
        <w:rPr>
          <w:rFonts w:ascii="Times New Roman;serif" w:hAnsi="Times New Roman;serif"/>
          <w:b w:val="false"/>
          <w:sz w:val="20"/>
        </w:rPr>
        <w:t>unless repurchased, redeemed, or converted in accordance with their terms prior to such date.</w:t>
      </w:r>
    </w:p>
    <w:p>
      <w:pPr>
        <w:pStyle w:val="TextBody"/>
        <w:bidi w:val="0"/>
        <w:spacing w:before="120" w:after="0"/>
        <w:jc w:val="left"/>
        <w:rPr>
          <w:rFonts w:ascii="Times New Roman" w:hAnsi="Times New Roman"/>
          <w:sz w:val="20"/>
        </w:rPr>
      </w:pPr>
      <w:r>
        <w:rPr>
          <w:rFonts w:ascii="Times New Roman;serif" w:hAnsi="Times New Roman;serif"/>
          <w:b w:val="false"/>
          <w:sz w:val="20"/>
        </w:rPr>
        <w:t>The 2027 Notes are convertible into cash, shares of our Class A common stock, or a combination of cash and shares of our Class A common stock, at our election, at an initial conversion rate of 17.8213</w:t>
      </w:r>
      <w:r>
        <w:rPr>
          <w:rFonts w:ascii="Times New Roman" w:hAnsi="Times New Roman"/>
          <w:sz w:val="20"/>
        </w:rPr>
        <w:t xml:space="preserve"> </w:t>
      </w:r>
      <w:r>
        <w:rPr>
          <w:rFonts w:ascii="Times New Roman;serif" w:hAnsi="Times New Roman;serif"/>
          <w:b w:val="false"/>
          <w:sz w:val="20"/>
        </w:rPr>
        <w:t>shares of Class A common stock per $1,000</w:t>
      </w:r>
      <w:r>
        <w:rPr>
          <w:rFonts w:ascii="Times New Roman" w:hAnsi="Times New Roman"/>
          <w:sz w:val="20"/>
        </w:rPr>
        <w:t xml:space="preserve"> </w:t>
      </w:r>
      <w:r>
        <w:rPr>
          <w:rFonts w:ascii="Times New Roman;serif" w:hAnsi="Times New Roman;serif"/>
          <w:b w:val="false"/>
          <w:sz w:val="20"/>
        </w:rPr>
        <w:t>principal amount of 2027 Notes, which is equivalent to an initial conversion price of approximately $56.11</w:t>
      </w:r>
      <w:r>
        <w:rPr>
          <w:rFonts w:ascii="Times New Roman" w:hAnsi="Times New Roman"/>
          <w:sz w:val="20"/>
        </w:rPr>
        <w:t xml:space="preserve"> </w:t>
      </w:r>
      <w:r>
        <w:rPr>
          <w:rFonts w:ascii="Times New Roman;serif" w:hAnsi="Times New Roman;serif"/>
          <w:b w:val="false"/>
          <w:sz w:val="20"/>
        </w:rPr>
        <w:t>per share of our Class A common stock. The conversion rate is subject to customary adjustments for certain events as described in the indenture governing the 2027 Notes.</w:t>
      </w:r>
    </w:p>
    <w:p>
      <w:pPr>
        <w:pStyle w:val="TextBody"/>
        <w:bidi w:val="0"/>
        <w:spacing w:before="120" w:after="0"/>
        <w:jc w:val="left"/>
        <w:rPr>
          <w:rFonts w:ascii="Times New Roman" w:hAnsi="Times New Roman"/>
          <w:sz w:val="20"/>
        </w:rPr>
      </w:pPr>
      <w:r>
        <w:rPr>
          <w:rFonts w:ascii="Times New Roman;serif" w:hAnsi="Times New Roman;serif"/>
          <w:b w:val="false"/>
          <w:sz w:val="20"/>
        </w:rPr>
        <w:t>We may redeem for cash all or any portion of the 2027 Notes, at our option, on or after February 5, 2025 if the last reported sale price of our Class A common stock has been at least 130% of the conversion price then in effect for at least 20</w:t>
      </w:r>
      <w:r>
        <w:rPr>
          <w:rFonts w:ascii="Times New Roman" w:hAnsi="Times New Roman"/>
          <w:sz w:val="20"/>
        </w:rPr>
        <w:t xml:space="preserve"> </w:t>
      </w:r>
      <w:r>
        <w:rPr>
          <w:rFonts w:ascii="Times New Roman;serif" w:hAnsi="Times New Roman;serif"/>
          <w:b w:val="false"/>
          <w:sz w:val="20"/>
        </w:rPr>
        <w:t>trading days at a redemption price equal to 100% of the principal amount of the 2027 Notes to be redeemed, plus accrued and unpaid interest or additional interest, if any.</w:t>
      </w:r>
    </w:p>
    <w:p>
      <w:pPr>
        <w:pStyle w:val="TextBody"/>
        <w:bidi w:val="0"/>
        <w:spacing w:before="120" w:after="0"/>
        <w:jc w:val="left"/>
        <w:rPr>
          <w:rFonts w:ascii="Times New Roman" w:hAnsi="Times New Roman"/>
          <w:sz w:val="20"/>
        </w:rPr>
      </w:pPr>
      <w:r>
        <w:rPr>
          <w:rFonts w:ascii="Times New Roman;serif" w:hAnsi="Times New Roman;serif"/>
          <w:b w:val="false"/>
          <w:sz w:val="20"/>
        </w:rPr>
        <w:t>Holders of the 2027 Notes may convert all or a portion of their 2027 Notes at their option prior to November 1, 2026, in multiples of $1,000</w:t>
      </w:r>
      <w:r>
        <w:rPr>
          <w:rFonts w:ascii="Times New Roman" w:hAnsi="Times New Roman"/>
          <w:sz w:val="20"/>
        </w:rPr>
        <w:t xml:space="preserve"> </w:t>
      </w:r>
      <w:r>
        <w:rPr>
          <w:rFonts w:ascii="Times New Roman;serif" w:hAnsi="Times New Roman;serif"/>
          <w:b w:val="false"/>
          <w:sz w:val="20"/>
        </w:rPr>
        <w:t>principal amounts, only under the following circumstances:</w:t>
      </w:r>
    </w:p>
    <w:p>
      <w:pPr>
        <w:pStyle w:val="TextBody"/>
        <w:bidi w:val="0"/>
        <w:spacing w:before="120" w:after="0"/>
        <w:jc w:val="both"/>
        <w:rPr/>
      </w:pPr>
      <w:r>
        <w:rPr/>
        <w:t>•</w:t>
      </w:r>
    </w:p>
    <w:p>
      <w:pPr>
        <w:pStyle w:val="TextBody"/>
        <w:bidi w:val="0"/>
        <w:spacing w:before="120" w:after="0"/>
        <w:jc w:val="both"/>
        <w:rPr/>
      </w:pPr>
      <w:r>
        <w:rPr>
          <w:rFonts w:ascii="Times New Roman;serif" w:hAnsi="Times New Roman;serif"/>
          <w:b w:val="false"/>
          <w:sz w:val="20"/>
        </w:rPr>
        <w:t>if the last reported sale price of our Class A common stock for at least 20</w:t>
      </w:r>
      <w:r>
        <w:rPr/>
        <w:t xml:space="preserve"> </w:t>
      </w:r>
      <w:r>
        <w:rPr>
          <w:rFonts w:ascii="Times New Roman;serif" w:hAnsi="Times New Roman;serif"/>
          <w:b w:val="false"/>
          <w:sz w:val="20"/>
        </w:rPr>
        <w:t>trading days (whether or not consecutive) during the period of 30</w:t>
      </w:r>
      <w:r>
        <w:rPr/>
        <w:t xml:space="preserve"> </w:t>
      </w:r>
      <w:r>
        <w:rPr>
          <w:rFonts w:ascii="Times New Roman;serif" w:hAnsi="Times New Roman;serif"/>
          <w:b w:val="false"/>
          <w:sz w:val="20"/>
        </w:rPr>
        <w:t>consecutive trading days ending on the last trading day of the preceding calendar quarter is greater than or equal to 130% of the applicable conversion price of the 2027 Notes on each such trading day;</w:t>
      </w:r>
    </w:p>
    <w:p>
      <w:pPr>
        <w:pStyle w:val="TextBody"/>
        <w:bidi w:val="0"/>
        <w:spacing w:before="120" w:after="0"/>
        <w:jc w:val="both"/>
        <w:rPr/>
      </w:pPr>
      <w:r>
        <w:rPr/>
        <w:t>•</w:t>
      </w:r>
    </w:p>
    <w:p>
      <w:pPr>
        <w:pStyle w:val="TextBody"/>
        <w:bidi w:val="0"/>
        <w:spacing w:before="120" w:after="0"/>
        <w:jc w:val="both"/>
        <w:rPr/>
      </w:pPr>
      <w:r>
        <w:rPr>
          <w:rFonts w:ascii="Times New Roman;serif" w:hAnsi="Times New Roman;serif"/>
          <w:b w:val="false"/>
          <w:sz w:val="20"/>
        </w:rPr>
        <w:t>during the five</w:t>
      </w:r>
      <w:r>
        <w:rPr/>
        <w:t xml:space="preserve"> </w:t>
      </w:r>
      <w:r>
        <w:rPr>
          <w:rFonts w:ascii="Times New Roman;serif" w:hAnsi="Times New Roman;serif"/>
          <w:b w:val="false"/>
          <w:sz w:val="20"/>
        </w:rPr>
        <w:t>business day period after any ten</w:t>
      </w:r>
      <w:r>
        <w:rPr/>
        <w:t xml:space="preserve"> </w:t>
      </w:r>
      <w:r>
        <w:rPr>
          <w:rFonts w:ascii="Times New Roman;serif" w:hAnsi="Times New Roman;serif"/>
          <w:b w:val="false"/>
          <w:sz w:val="20"/>
        </w:rPr>
        <w:t>consecutive trading day period in which the trading price per $1,000</w:t>
      </w:r>
      <w:r>
        <w:rPr/>
        <w:t xml:space="preserve"> </w:t>
      </w:r>
      <w:r>
        <w:rPr>
          <w:rFonts w:ascii="Times New Roman;serif" w:hAnsi="Times New Roman;serif"/>
          <w:b w:val="false"/>
          <w:sz w:val="20"/>
        </w:rPr>
        <w:t>principal amount of the 2027 Notes for each day of that ten consecutive trading day period was less than 98% of the product of the last reported sale price of our Class A common stock and the applicable conversion rate of the 2027 Notes;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 xml:space="preserve">on the occurrence of specified corporate events. </w:t>
      </w:r>
    </w:p>
    <w:p>
      <w:pPr>
        <w:pStyle w:val="TextBody"/>
        <w:bidi w:val="0"/>
        <w:spacing w:before="0" w:after="0"/>
        <w:jc w:val="both"/>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or after November 1, 2026, the 2027 Notes are convertible at any time until the close of business on the second scheduled trading day immediately preceding the maturity date.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Holders of the 2027 Notes who convert the 2027 Notes in connection with a make-whole fundamental change, as defined in the indenture governing the 2027 Notes, or in connection with a redemption are entitled to an increase in the conversion rate. Additionally, in the event of a fundamental change, holders of the 2027 Notes may require us to repurchase all or a portion of the 2027 Notes at a price equal to 100% of the principal amount of 2027 Notes, plus any accrued and unpaid special interest, if any.</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accounted for the issuance of the 2027 Notes as a single liability measured at its amortized cost, as no other embedded features require bifurcation and recognition as derivatives.</w:t>
      </w:r>
    </w:p>
    <w:p>
      <w:pPr>
        <w:pStyle w:val="TextBody"/>
        <w:bidi w:val="0"/>
        <w:spacing w:before="12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presents the outstanding principal amount and carrying value of the 2027 Notes as of the dates indicated (in thousands):</w:t>
      </w:r>
    </w:p>
    <w:p>
      <w:pPr>
        <w:pStyle w:val="TextBody"/>
        <w:bidi w:val="0"/>
        <w:spacing w:before="120" w:after="0"/>
        <w:jc w:val="left"/>
        <w:rPr/>
      </w:pPr>
      <w:r>
        <w:rPr/>
        <w:t> </w:t>
      </w:r>
    </w:p>
    <w:tbl>
      <w:tblPr>
        <w:tblW w:w="5517" w:type="dxa"/>
        <w:jc w:val="left"/>
        <w:tblInd w:w="0" w:type="dxa"/>
        <w:tblLayout w:type="fixed"/>
        <w:tblCellMar>
          <w:top w:w="28" w:type="dxa"/>
          <w:left w:w="28" w:type="dxa"/>
          <w:bottom w:w="28" w:type="dxa"/>
          <w:right w:w="28" w:type="dxa"/>
        </w:tblCellMar>
      </w:tblPr>
      <w:tblGrid>
        <w:gridCol w:w="2761"/>
        <w:gridCol w:w="146"/>
        <w:gridCol w:w="211"/>
        <w:gridCol w:w="781"/>
        <w:gridCol w:w="166"/>
        <w:gridCol w:w="146"/>
        <w:gridCol w:w="172"/>
        <w:gridCol w:w="923"/>
        <w:gridCol w:w="21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287,500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287,500</w:t>
            </w:r>
          </w:p>
        </w:tc>
        <w:tc>
          <w:tcPr>
            <w:tcW w:w="211" w:type="dxa"/>
            <w:tcBorders/>
            <w:vAlign w:val="center"/>
          </w:tcPr>
          <w:p>
            <w:pPr>
              <w:pStyle w:val="TableContents"/>
              <w:bidi w:val="0"/>
              <w:spacing w:before="0" w:after="0"/>
              <w:ind w:left="0" w:right="0" w:hanging="0"/>
              <w:jc w:val="left"/>
              <w:rPr/>
            </w:pPr>
            <w:r>
              <w:rPr/>
              <w:t> </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Unamortized debt discount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(6,181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(7,044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Unamortized debt issuance costs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carrying value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280,840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279,909</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annual effective interest rate for the 2027 Notes was approximately 1.6%. Interest expense related to the 2027 Notes for the periods presented below was as follows (in thousands):</w:t>
      </w:r>
    </w:p>
    <w:p>
      <w:pPr>
        <w:pStyle w:val="TextBody"/>
        <w:bidi w:val="0"/>
        <w:spacing w:before="120" w:after="0"/>
        <w:jc w:val="left"/>
        <w:rPr/>
      </w:pPr>
      <w:r>
        <w:rPr/>
        <w:t> </w:t>
      </w:r>
    </w:p>
    <w:tbl>
      <w:tblPr>
        <w:tblW w:w="10049" w:type="dxa"/>
        <w:jc w:val="left"/>
        <w:tblInd w:w="0" w:type="dxa"/>
        <w:tblLayout w:type="fixed"/>
        <w:tblCellMar>
          <w:top w:w="28" w:type="dxa"/>
          <w:left w:w="28" w:type="dxa"/>
          <w:bottom w:w="28" w:type="dxa"/>
          <w:right w:w="28" w:type="dxa"/>
        </w:tblCellMar>
      </w:tblPr>
      <w:tblGrid>
        <w:gridCol w:w="2806"/>
        <w:gridCol w:w="146"/>
        <w:gridCol w:w="433"/>
        <w:gridCol w:w="1172"/>
        <w:gridCol w:w="146"/>
        <w:gridCol w:w="146"/>
        <w:gridCol w:w="433"/>
        <w:gridCol w:w="1172"/>
        <w:gridCol w:w="146"/>
        <w:gridCol w:w="146"/>
        <w:gridCol w:w="380"/>
        <w:gridCol w:w="1030"/>
        <w:gridCol w:w="146"/>
        <w:gridCol w:w="146"/>
        <w:gridCol w:w="380"/>
        <w:gridCol w:w="1030"/>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Coupon interest</w:t>
            </w:r>
          </w:p>
        </w:tc>
        <w:tc>
          <w:tcPr>
            <w:tcW w:w="146"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1,168</w:t>
            </w:r>
          </w:p>
        </w:tc>
        <w:tc>
          <w:tcPr>
            <w:tcW w:w="191" w:type="dxa"/>
            <w:tcBorders/>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debt discount</w:t>
            </w:r>
          </w:p>
        </w:tc>
        <w:tc>
          <w:tcPr>
            <w:tcW w:w="146"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719</w:t>
            </w:r>
          </w:p>
        </w:tc>
        <w:tc>
          <w:tcPr>
            <w:tcW w:w="191" w:type="dxa"/>
            <w:tcBorders/>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transaction costs</w:t>
            </w:r>
          </w:p>
        </w:tc>
        <w:tc>
          <w:tcPr>
            <w:tcW w:w="146" w:type="dxa"/>
            <w:tcBorders/>
            <w:vAlign w:val="center"/>
          </w:tcPr>
          <w:p>
            <w:pPr>
              <w:pStyle w:val="TableContents"/>
              <w:bidi w:val="0"/>
              <w:spacing w:before="0" w:after="0"/>
              <w:ind w:left="0" w:right="0" w:hanging="0"/>
              <w:jc w:val="left"/>
              <w:rPr/>
            </w:pPr>
            <w:r>
              <w:rPr/>
              <w:t> </w:t>
            </w:r>
          </w:p>
        </w:tc>
        <w:tc>
          <w:tcPr>
            <w:tcW w:w="4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interest expense</w:t>
            </w:r>
          </w:p>
        </w:tc>
        <w:tc>
          <w:tcPr>
            <w:tcW w:w="146" w:type="dxa"/>
            <w:tcBorders/>
            <w:vAlign w:val="center"/>
          </w:tcPr>
          <w:p>
            <w:pPr>
              <w:pStyle w:val="TableContents"/>
              <w:bidi w:val="0"/>
              <w:spacing w:before="0" w:after="0"/>
              <w:ind w:left="0" w:right="0" w:hanging="0"/>
              <w:jc w:val="left"/>
              <w:rPr/>
            </w:pPr>
            <w:r>
              <w:rPr/>
              <w:t> </w:t>
            </w:r>
          </w:p>
        </w:tc>
        <w:tc>
          <w:tcPr>
            <w:tcW w:w="4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presents the carrying value and estimated fair value of the 2027 Notes as of the date indicated (in thousands):</w:t>
      </w:r>
    </w:p>
    <w:p>
      <w:pPr>
        <w:pStyle w:val="TextBody"/>
        <w:bidi w:val="0"/>
        <w:spacing w:before="0" w:after="0"/>
        <w:jc w:val="left"/>
        <w:rPr/>
      </w:pPr>
      <w:r>
        <w:rPr/>
        <w:t> </w:t>
      </w:r>
    </w:p>
    <w:tbl>
      <w:tblPr>
        <w:tblW w:w="7349" w:type="dxa"/>
        <w:jc w:val="left"/>
        <w:tblInd w:w="0" w:type="dxa"/>
        <w:tblLayout w:type="fixed"/>
        <w:tblCellMar>
          <w:top w:w="28" w:type="dxa"/>
          <w:left w:w="28" w:type="dxa"/>
          <w:bottom w:w="28" w:type="dxa"/>
          <w:right w:w="28" w:type="dxa"/>
        </w:tblCellMar>
      </w:tblPr>
      <w:tblGrid>
        <w:gridCol w:w="1216"/>
        <w:gridCol w:w="146"/>
        <w:gridCol w:w="306"/>
        <w:gridCol w:w="1134"/>
        <w:gridCol w:w="146"/>
        <w:gridCol w:w="146"/>
        <w:gridCol w:w="217"/>
        <w:gridCol w:w="803"/>
        <w:gridCol w:w="146"/>
        <w:gridCol w:w="146"/>
        <w:gridCol w:w="306"/>
        <w:gridCol w:w="1134"/>
        <w:gridCol w:w="146"/>
        <w:gridCol w:w="146"/>
        <w:gridCol w:w="217"/>
        <w:gridCol w:w="803"/>
        <w:gridCol w:w="191"/>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5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75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Carrying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Carrying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1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2027 Notes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3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280,840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265,334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279,909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257,671</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rFonts w:ascii="Times New Roman" w:hAnsi="Times New Roman"/>
          <w:sz w:val="20"/>
        </w:rPr>
      </w:pPr>
      <w:r>
        <w:rPr>
          <w:rFonts w:ascii="Times New Roman;serif" w:hAnsi="Times New Roman;serif"/>
          <w:b w:val="false"/>
          <w:sz w:val="20"/>
        </w:rPr>
        <w:t>(1) At December 31, 2022, the fair value is estimated using</w:t>
      </w:r>
      <w:r>
        <w:rPr>
          <w:rFonts w:ascii="Times New Roman" w:hAnsi="Times New Roman"/>
          <w:sz w:val="20"/>
        </w:rPr>
        <w:t xml:space="preserve"> </w:t>
      </w:r>
      <w:r>
        <w:rPr>
          <w:rFonts w:ascii="Times New Roman;serif" w:hAnsi="Times New Roman;serif"/>
          <w:b w:val="false"/>
          <w:sz w:val="20"/>
        </w:rPr>
        <w:t>a discounted cash flow analysis, using interest rate that we believe are offered for similar borrowings (a Level 3 measurement). As of June 30, 2023, the fair value of the 2027 Notes was measured using Level 2 inputs based on the frequency of trading on our debt at the end of the quarter.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Contingencies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from time to time may be subject to various claims and legal proceedings covering a range of matters that arise in the ordinary course of its business activities. In the opinion of the Company, although the outcome of any legal proceedings cannot be predicted with certainty, the ultimate liability of the Company in connection with its legal proceedings is not expected to have a material adverse effect on the Company’s financial position or operations.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Restructuring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December 2022 and May 2023, the Company reduced its workforce to help manage its operating expenses. During the three months ended June 30, 2023, the Company incurred $0.7</w:t>
      </w:r>
      <w:r>
        <w:rPr>
          <w:rFonts w:ascii="Times New Roman" w:hAnsi="Times New Roman"/>
          <w:sz w:val="20"/>
        </w:rPr>
        <w:t xml:space="preserve"> </w:t>
      </w:r>
      <w:r>
        <w:rPr>
          <w:rFonts w:ascii="Times New Roman;serif" w:hAnsi="Times New Roman;serif"/>
          <w:b w:val="false"/>
          <w:sz w:val="20"/>
        </w:rPr>
        <w:t>million for employee termination costs related to the May 2023 restructuring.</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shows the total amount incurred and the liability, which was recorded in accrued expenses in the Condensed Consolidated Balance Sheets, for restructuring-related employee termination benefits as of December 31, 2022 and June 30, 2023 (in thousands):</w:t>
      </w:r>
    </w:p>
    <w:p>
      <w:pPr>
        <w:pStyle w:val="TextBody"/>
        <w:bidi w:val="0"/>
        <w:spacing w:before="0" w:after="0"/>
        <w:jc w:val="left"/>
        <w:rPr/>
      </w:pPr>
      <w:r>
        <w:rPr/>
        <w:t> </w:t>
      </w:r>
    </w:p>
    <w:tbl>
      <w:tblPr>
        <w:tblW w:w="8668" w:type="dxa"/>
        <w:jc w:val="left"/>
        <w:tblInd w:w="0" w:type="dxa"/>
        <w:tblLayout w:type="fixed"/>
        <w:tblCellMar>
          <w:top w:w="28" w:type="dxa"/>
          <w:left w:w="28" w:type="dxa"/>
          <w:bottom w:w="28" w:type="dxa"/>
          <w:right w:w="28" w:type="dxa"/>
        </w:tblCellMar>
      </w:tblPr>
      <w:tblGrid>
        <w:gridCol w:w="5941"/>
        <w:gridCol w:w="146"/>
        <w:gridCol w:w="593"/>
        <w:gridCol w:w="1777"/>
        <w:gridCol w:w="211"/>
      </w:tblGrid>
      <w:tr>
        <w:trPr/>
        <w:tc>
          <w:tcPr>
            <w:tcW w:w="5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Employee Termination Benefits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9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70"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restructuring costs as of December 31, 2022</w:t>
            </w:r>
          </w:p>
        </w:tc>
        <w:tc>
          <w:tcPr>
            <w:tcW w:w="146" w:type="dxa"/>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1,549</w:t>
            </w:r>
          </w:p>
        </w:tc>
        <w:tc>
          <w:tcPr>
            <w:tcW w:w="21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Restructuring costs incurred during the six months ended June 30, 2023</w:t>
            </w:r>
          </w:p>
        </w:tc>
        <w:tc>
          <w:tcPr>
            <w:tcW w:w="146" w:type="dxa"/>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hanging="0"/>
              <w:jc w:val="left"/>
              <w:rPr/>
            </w:pPr>
            <w:r>
              <w:rPr/>
              <w:t> </w:t>
            </w:r>
          </w:p>
        </w:tc>
        <w:tc>
          <w:tcPr>
            <w:tcW w:w="17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738</w:t>
            </w:r>
          </w:p>
        </w:tc>
        <w:tc>
          <w:tcPr>
            <w:tcW w:w="21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Amount paid during the period ended June 30, 2023</w:t>
            </w:r>
          </w:p>
        </w:tc>
        <w:tc>
          <w:tcPr>
            <w:tcW w:w="146" w:type="dxa"/>
            <w:tcBorders/>
            <w:vAlign w:val="center"/>
          </w:tcPr>
          <w:p>
            <w:pPr>
              <w:pStyle w:val="TableContents"/>
              <w:bidi w:val="0"/>
              <w:spacing w:before="0" w:after="0"/>
              <w:ind w:left="0" w:right="0" w:hanging="0"/>
              <w:jc w:val="left"/>
              <w:rPr/>
            </w:pPr>
            <w:r>
              <w:rPr/>
              <w:t> </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restructuring costs as of June 30, 2023</w:t>
            </w:r>
          </w:p>
        </w:tc>
        <w:tc>
          <w:tcPr>
            <w:tcW w:w="146" w:type="dxa"/>
            <w:tcBorders/>
            <w:vAlign w:val="center"/>
          </w:tcPr>
          <w:p>
            <w:pPr>
              <w:pStyle w:val="TableContents"/>
              <w:bidi w:val="0"/>
              <w:spacing w:before="0" w:after="0"/>
              <w:ind w:left="0" w:right="0" w:hanging="0"/>
              <w:jc w:val="left"/>
              <w:rPr/>
            </w:pPr>
            <w:r>
              <w:rPr/>
              <w:t> </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shows the total restructuring costs incurred during the three and six months ended June 30, 2023 and 2022 (in thousands):</w:t>
      </w:r>
    </w:p>
    <w:tbl>
      <w:tblPr>
        <w:tblW w:w="7857" w:type="dxa"/>
        <w:jc w:val="left"/>
        <w:tblInd w:w="0" w:type="dxa"/>
        <w:tblLayout w:type="fixed"/>
        <w:tblCellMar>
          <w:top w:w="28" w:type="dxa"/>
          <w:left w:w="28" w:type="dxa"/>
          <w:bottom w:w="28" w:type="dxa"/>
          <w:right w:w="28" w:type="dxa"/>
        </w:tblCellMar>
      </w:tblPr>
      <w:tblGrid>
        <w:gridCol w:w="2311"/>
        <w:gridCol w:w="146"/>
        <w:gridCol w:w="367"/>
        <w:gridCol w:w="733"/>
        <w:gridCol w:w="254"/>
        <w:gridCol w:w="254"/>
        <w:gridCol w:w="367"/>
        <w:gridCol w:w="289"/>
        <w:gridCol w:w="146"/>
        <w:gridCol w:w="146"/>
        <w:gridCol w:w="430"/>
        <w:gridCol w:w="859"/>
        <w:gridCol w:w="298"/>
        <w:gridCol w:w="298"/>
        <w:gridCol w:w="430"/>
        <w:gridCol w:w="338"/>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53"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w:t>
            </w:r>
          </w:p>
        </w:tc>
        <w:tc>
          <w:tcPr>
            <w:tcW w:w="191" w:type="dxa"/>
            <w:tcBorders/>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54" w:type="dxa"/>
            <w:tcBorders/>
            <w:vAlign w:val="center"/>
          </w:tcPr>
          <w:p>
            <w:pPr>
              <w:pStyle w:val="TableContents"/>
              <w:bidi w:val="0"/>
              <w:spacing w:before="0" w:after="0"/>
              <w:ind w:left="0" w:right="0" w:hanging="0"/>
              <w:jc w:val="center"/>
              <w:rPr/>
            </w:pPr>
            <w:r>
              <w:rPr/>
              <w:t> </w:t>
            </w:r>
          </w:p>
        </w:tc>
        <w:tc>
          <w:tcPr>
            <w:tcW w:w="6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89"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98"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298" w:type="dxa"/>
            <w:tcBorders/>
            <w:vAlign w:val="center"/>
          </w:tcPr>
          <w:p>
            <w:pPr>
              <w:pStyle w:val="TableContents"/>
              <w:bidi w:val="0"/>
              <w:spacing w:before="0" w:after="0"/>
              <w:ind w:left="0" w:right="0" w:hanging="0"/>
              <w:jc w:val="left"/>
              <w:rPr/>
            </w:pPr>
            <w:r>
              <w:rPr/>
              <w:t> </w:t>
            </w:r>
          </w:p>
        </w:tc>
        <w:tc>
          <w:tcPr>
            <w:tcW w:w="768"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00" w:type="dxa"/>
            <w:gridSpan w:val="2"/>
            <w:tcBorders/>
            <w:vAlign w:val="center"/>
          </w:tcPr>
          <w:p>
            <w:pPr>
              <w:pStyle w:val="TableContents"/>
              <w:bidi w:val="0"/>
              <w:spacing w:before="0" w:after="0"/>
              <w:ind w:left="0" w:right="0" w:hanging="0"/>
              <w:jc w:val="center"/>
              <w:rPr/>
            </w:pPr>
            <w:r>
              <w:rPr/>
              <w:t> </w:t>
            </w:r>
          </w:p>
        </w:tc>
        <w:tc>
          <w:tcPr>
            <w:tcW w:w="254" w:type="dxa"/>
            <w:tcBorders/>
            <w:vAlign w:val="center"/>
          </w:tcPr>
          <w:p>
            <w:pPr>
              <w:pStyle w:val="TableContents"/>
              <w:bidi w:val="0"/>
              <w:spacing w:before="0" w:after="0"/>
              <w:ind w:left="0" w:right="0" w:hanging="0"/>
              <w:jc w:val="center"/>
              <w:rPr/>
            </w:pPr>
            <w:r>
              <w:rPr/>
              <w:t> </w:t>
            </w:r>
          </w:p>
        </w:tc>
        <w:tc>
          <w:tcPr>
            <w:tcW w:w="254" w:type="dxa"/>
            <w:tcBorders/>
            <w:vAlign w:val="center"/>
          </w:tcPr>
          <w:p>
            <w:pPr>
              <w:pStyle w:val="TableContents"/>
              <w:bidi w:val="0"/>
              <w:spacing w:before="0" w:after="0"/>
              <w:ind w:left="0" w:right="0" w:hanging="0"/>
              <w:jc w:val="left"/>
              <w:rPr/>
            </w:pPr>
            <w:r>
              <w:rPr/>
              <w:t> </w:t>
            </w:r>
          </w:p>
        </w:tc>
        <w:tc>
          <w:tcPr>
            <w:tcW w:w="656"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89" w:type="dxa"/>
            <w:gridSpan w:val="2"/>
            <w:tcBorders/>
            <w:vAlign w:val="center"/>
          </w:tcPr>
          <w:p>
            <w:pPr>
              <w:pStyle w:val="TableContents"/>
              <w:bidi w:val="0"/>
              <w:spacing w:before="0" w:after="0"/>
              <w:ind w:left="0" w:right="0" w:hanging="0"/>
              <w:jc w:val="center"/>
              <w:rPr/>
            </w:pPr>
            <w:r>
              <w:rPr/>
              <w:t> </w:t>
            </w:r>
          </w:p>
        </w:tc>
        <w:tc>
          <w:tcPr>
            <w:tcW w:w="298" w:type="dxa"/>
            <w:tcBorders/>
            <w:vAlign w:val="center"/>
          </w:tcPr>
          <w:p>
            <w:pPr>
              <w:pStyle w:val="TableContents"/>
              <w:bidi w:val="0"/>
              <w:spacing w:before="0" w:after="0"/>
              <w:ind w:left="0" w:right="0" w:hanging="0"/>
              <w:jc w:val="center"/>
              <w:rPr/>
            </w:pPr>
            <w:r>
              <w:rPr/>
              <w:t> </w:t>
            </w:r>
          </w:p>
        </w:tc>
        <w:tc>
          <w:tcPr>
            <w:tcW w:w="298" w:type="dxa"/>
            <w:tcBorders/>
            <w:vAlign w:val="center"/>
          </w:tcPr>
          <w:p>
            <w:pPr>
              <w:pStyle w:val="TableContents"/>
              <w:bidi w:val="0"/>
              <w:spacing w:before="0" w:after="0"/>
              <w:ind w:left="0" w:right="0" w:hanging="0"/>
              <w:jc w:val="left"/>
              <w:rPr/>
            </w:pPr>
            <w:r>
              <w:rPr/>
              <w:t> </w:t>
            </w:r>
          </w:p>
        </w:tc>
        <w:tc>
          <w:tcPr>
            <w:tcW w:w="768"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w:t>
            </w:r>
          </w:p>
        </w:tc>
        <w:tc>
          <w:tcPr>
            <w:tcW w:w="254"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w:t>
            </w:r>
          </w:p>
        </w:tc>
        <w:tc>
          <w:tcPr>
            <w:tcW w:w="298"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Operations and support</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w:t>
            </w:r>
          </w:p>
        </w:tc>
        <w:tc>
          <w:tcPr>
            <w:tcW w:w="254"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w:t>
            </w:r>
          </w:p>
        </w:tc>
        <w:tc>
          <w:tcPr>
            <w:tcW w:w="298"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development</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254"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298"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3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3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2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4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restructure charge</w:t>
            </w:r>
          </w:p>
        </w:tc>
        <w:tc>
          <w:tcPr>
            <w:tcW w:w="146" w:type="dxa"/>
            <w:tcBorders/>
            <w:vAlign w:val="center"/>
          </w:tcPr>
          <w:p>
            <w:pPr>
              <w:pStyle w:val="TableContents"/>
              <w:bidi w:val="0"/>
              <w:spacing w:before="0" w:after="0"/>
              <w:ind w:left="0" w:right="0" w:hanging="0"/>
              <w:jc w:val="left"/>
              <w:rPr/>
            </w:pPr>
            <w:r>
              <w:rPr/>
              <w:t> </w:t>
            </w:r>
          </w:p>
        </w:tc>
        <w:tc>
          <w:tcPr>
            <w:tcW w:w="3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738</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3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738</w:t>
            </w:r>
          </w:p>
        </w:tc>
        <w:tc>
          <w:tcPr>
            <w:tcW w:w="2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4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Exit from the Supplies Business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previously provided suppliers with access to competitively priced tools, material and supplies in the U.S. As a result of exiting the supplies business during the second quarter of 2023, the Company recognized $0.6</w:t>
      </w:r>
      <w:r>
        <w:rPr>
          <w:rFonts w:ascii="Times New Roman" w:hAnsi="Times New Roman"/>
          <w:sz w:val="20"/>
        </w:rPr>
        <w:t xml:space="preserve"> </w:t>
      </w:r>
      <w:r>
        <w:rPr>
          <w:rFonts w:ascii="Times New Roman;serif" w:hAnsi="Times New Roman;serif"/>
          <w:b w:val="false"/>
          <w:sz w:val="20"/>
        </w:rPr>
        <w:t>million of costs associated with its closure, of which $0.2</w:t>
      </w:r>
      <w:r>
        <w:rPr>
          <w:rFonts w:ascii="Times New Roman" w:hAnsi="Times New Roman"/>
          <w:sz w:val="20"/>
        </w:rPr>
        <w:t xml:space="preserve"> </w:t>
      </w:r>
      <w:r>
        <w:rPr>
          <w:rFonts w:ascii="Times New Roman;serif" w:hAnsi="Times New Roman;serif"/>
          <w:b w:val="false"/>
          <w:sz w:val="20"/>
        </w:rPr>
        <w:t>million is recognized in cost of revenue and $0.4</w:t>
      </w:r>
      <w:r>
        <w:rPr>
          <w:rFonts w:ascii="Times New Roman" w:hAnsi="Times New Roman"/>
          <w:sz w:val="20"/>
        </w:rPr>
        <w:t xml:space="preserve"> </w:t>
      </w:r>
      <w:r>
        <w:rPr>
          <w:rFonts w:ascii="Times New Roman;serif" w:hAnsi="Times New Roman;serif"/>
          <w:b w:val="false"/>
          <w:sz w:val="20"/>
        </w:rPr>
        <w:t>million is recognized in operations and support on the Condensed Consolidated Statements of Operations and Comprehensive Loss.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Defined Contribution Plans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sponsors a defined contribution plan for qualifying employees, including a 401(k) Plan in the United States to which it makes matching contributions of 50% of participating employee contributions up to 6% of eligible income. The Company's total matching contribution to the 401(k) Plan was $0.6</w:t>
      </w:r>
      <w:r>
        <w:rPr>
          <w:rFonts w:ascii="Times New Roman" w:hAnsi="Times New Roman"/>
          <w:sz w:val="20"/>
        </w:rPr>
        <w:t xml:space="preserve"> </w:t>
      </w:r>
      <w:r>
        <w:rPr>
          <w:rFonts w:ascii="Times New Roman;serif" w:hAnsi="Times New Roman;serif"/>
          <w:b w:val="false"/>
          <w:sz w:val="20"/>
        </w:rPr>
        <w:t>million and $0.4</w:t>
      </w:r>
      <w:r>
        <w:rPr>
          <w:rFonts w:ascii="Times New Roman" w:hAnsi="Times New Roman"/>
          <w:sz w:val="20"/>
        </w:rPr>
        <w:t xml:space="preserve"> </w:t>
      </w:r>
      <w:r>
        <w:rPr>
          <w:rFonts w:ascii="Times New Roman;serif" w:hAnsi="Times New Roman;serif"/>
          <w:b w:val="false"/>
          <w:sz w:val="20"/>
        </w:rPr>
        <w:t>million for the three months ended June 31, 2023 and 2022, respectively and was $1.2</w:t>
      </w:r>
      <w:r>
        <w:rPr>
          <w:rFonts w:ascii="Times New Roman" w:hAnsi="Times New Roman"/>
          <w:sz w:val="20"/>
        </w:rPr>
        <w:t xml:space="preserve"> </w:t>
      </w:r>
      <w:r>
        <w:rPr>
          <w:rFonts w:ascii="Times New Roman;serif" w:hAnsi="Times New Roman;serif"/>
          <w:b w:val="false"/>
          <w:sz w:val="20"/>
        </w:rPr>
        <w:t>million and $0.8</w:t>
      </w:r>
      <w:r>
        <w:rPr>
          <w:rFonts w:ascii="Times New Roman" w:hAnsi="Times New Roman"/>
          <w:sz w:val="20"/>
        </w:rPr>
        <w:t xml:space="preserve"> </w:t>
      </w:r>
      <w:r>
        <w:rPr>
          <w:rFonts w:ascii="Times New Roman;serif" w:hAnsi="Times New Roman;serif"/>
          <w:b w:val="false"/>
          <w:sz w:val="20"/>
        </w:rPr>
        <w:t>million for the six months ended June 30, 2023 and 2022, respectively.</w:t>
      </w:r>
    </w:p>
    <w:p>
      <w:pPr>
        <w:pStyle w:val="TextBody"/>
        <w:bidi w:val="0"/>
        <w:spacing w:before="120" w:after="0"/>
        <w:jc w:val="left"/>
        <w:rPr>
          <w:rFonts w:ascii="Times New Roman" w:hAnsi="Times New Roman"/>
          <w:sz w:val="20"/>
        </w:rPr>
      </w:pPr>
      <w:r>
        <w:rPr>
          <w:rFonts w:ascii="Times New Roman;serif" w:hAnsi="Times New Roman;serif"/>
          <w:b/>
          <w:sz w:val="20"/>
        </w:rPr>
        <w:t>(14)</w:t>
      </w:r>
      <w:r>
        <w:rPr>
          <w:rFonts w:ascii="Times New Roman" w:hAnsi="Times New Roman"/>
          <w:sz w:val="20"/>
        </w:rPr>
        <w:t xml:space="preserve"> </w:t>
      </w:r>
      <w:r>
        <w:rPr>
          <w:rFonts w:ascii="Times New Roman;serif" w:hAnsi="Times New Roman;serif"/>
          <w:b/>
          <w:sz w:val="20"/>
        </w:rPr>
        <w:t>Segments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Xometry is organized in two</w:t>
      </w:r>
      <w:r>
        <w:rPr>
          <w:rFonts w:ascii="Times New Roman" w:hAnsi="Times New Roman"/>
          <w:sz w:val="20"/>
        </w:rPr>
        <w:t xml:space="preserve"> </w:t>
      </w:r>
      <w:r>
        <w:rPr>
          <w:rFonts w:ascii="Times New Roman;serif" w:hAnsi="Times New Roman;serif"/>
          <w:b w:val="false"/>
          <w:sz w:val="20"/>
        </w:rPr>
        <w:t>segments referred to as: (1) the U.S. and (2) International. Xometry’s operating segments are also the Company’s reportable segments. Xometry’s reportable segments, whose products and offerings are generally the same, are managed separately based on geography. Xometry’s two</w:t>
      </w:r>
      <w:r>
        <w:rPr>
          <w:rFonts w:ascii="Times New Roman" w:hAnsi="Times New Roman"/>
          <w:sz w:val="20"/>
        </w:rPr>
        <w:t xml:space="preserve"> </w:t>
      </w:r>
      <w:r>
        <w:rPr>
          <w:rFonts w:ascii="Times New Roman;serif" w:hAnsi="Times New Roman;serif"/>
          <w:b w:val="false"/>
          <w:sz w:val="20"/>
        </w:rPr>
        <w:t>segments are defined based on the reporting and review process used by the chief operating decision maker (“CODM”), the Chief Executive Officer. The Company evaluates the performance of the operating segments primarily based on revenue and segment “profits/loss” which is largely the results of the segment before income taxes. The Company has not allocated certain general and administrative expenses to the International segment. The Company’s CODM monitors assets of the consolidated Company, but does not use assets by operating segment when assessing performance or making operating segment resource decisions.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tables reflect certain segment information for the three and six months ended June 30, 2023 and 2022 (in thousands):</w:t>
      </w:r>
      <w:r>
        <w:rPr>
          <w:rFonts w:ascii="Times New Roman" w:hAnsi="Times New Roman"/>
          <w:sz w:val="20"/>
        </w:rPr>
        <w:t xml:space="preserve"> </w:t>
      </w:r>
    </w:p>
    <w:p>
      <w:pPr>
        <w:pStyle w:val="TextBody"/>
        <w:bidi w:val="0"/>
        <w:spacing w:before="0" w:after="0"/>
        <w:jc w:val="left"/>
        <w:rPr/>
      </w:pPr>
      <w:r>
        <w:rPr/>
        <w:t> </w:t>
      </w:r>
    </w:p>
    <w:tbl>
      <w:tblPr>
        <w:tblW w:w="6760" w:type="dxa"/>
        <w:jc w:val="left"/>
        <w:tblInd w:w="0" w:type="dxa"/>
        <w:tblLayout w:type="fixed"/>
        <w:tblCellMar>
          <w:top w:w="28" w:type="dxa"/>
          <w:left w:w="28" w:type="dxa"/>
          <w:bottom w:w="28" w:type="dxa"/>
          <w:right w:w="28" w:type="dxa"/>
        </w:tblCellMar>
      </w:tblPr>
      <w:tblGrid>
        <w:gridCol w:w="1591"/>
        <w:gridCol w:w="146"/>
        <w:gridCol w:w="220"/>
        <w:gridCol w:w="815"/>
        <w:gridCol w:w="152"/>
        <w:gridCol w:w="152"/>
        <w:gridCol w:w="220"/>
        <w:gridCol w:w="705"/>
        <w:gridCol w:w="146"/>
        <w:gridCol w:w="146"/>
        <w:gridCol w:w="211"/>
        <w:gridCol w:w="781"/>
        <w:gridCol w:w="146"/>
        <w:gridCol w:w="146"/>
        <w:gridCol w:w="211"/>
        <w:gridCol w:w="781"/>
        <w:gridCol w:w="191"/>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left"/>
              <w:rPr/>
            </w:pPr>
            <w:r>
              <w:rPr/>
              <w:t> </w:t>
            </w:r>
          </w:p>
        </w:tc>
        <w:tc>
          <w:tcPr>
            <w:tcW w:w="9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Revenue</w:t>
            </w:r>
          </w:p>
        </w:tc>
        <w:tc>
          <w:tcPr>
            <w:tcW w:w="146" w:type="dxa"/>
            <w:tcBorders/>
            <w:vAlign w:val="center"/>
          </w:tcPr>
          <w:p>
            <w:pPr>
              <w:pStyle w:val="TableContents"/>
              <w:bidi w:val="0"/>
              <w:spacing w:before="0" w:after="0"/>
              <w:ind w:left="0" w:right="0" w:hanging="0"/>
              <w:jc w:val="left"/>
              <w:rPr/>
            </w:pPr>
            <w:r>
              <w:rPr/>
              <w:t> </w:t>
            </w:r>
          </w:p>
        </w:tc>
        <w:tc>
          <w:tcPr>
            <w:tcW w:w="1035" w:type="dxa"/>
            <w:gridSpan w:val="2"/>
            <w:tcBorders/>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center"/>
              <w:rPr/>
            </w:pPr>
            <w:r>
              <w:rPr/>
              <w:t> </w:t>
            </w:r>
          </w:p>
        </w:tc>
        <w:tc>
          <w:tcPr>
            <w:tcW w:w="925"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1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95,433</w:t>
            </w:r>
          </w:p>
        </w:tc>
        <w:tc>
          <w:tcPr>
            <w:tcW w:w="152"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87,675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189,336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163,724</w:t>
            </w:r>
          </w:p>
        </w:tc>
        <w:tc>
          <w:tcPr>
            <w:tcW w:w="191" w:type="dxa"/>
            <w:tcBorders/>
            <w:vAlign w:val="center"/>
          </w:tcPr>
          <w:p>
            <w:pPr>
              <w:pStyle w:val="TableContents"/>
              <w:bidi w:val="0"/>
              <w:spacing w:before="0" w:after="0"/>
              <w:ind w:left="0" w:right="0" w:hanging="0"/>
              <w:jc w:val="left"/>
              <w:rPr/>
            </w:pPr>
            <w:r>
              <w:rPr/>
              <w:t> </w:t>
            </w:r>
          </w:p>
        </w:tc>
      </w:tr>
      <w:tr>
        <w:trPr/>
        <w:tc>
          <w:tcPr>
            <w:tcW w:w="1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International</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15,575</w:t>
            </w:r>
          </w:p>
        </w:tc>
        <w:tc>
          <w:tcPr>
            <w:tcW w:w="1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26,998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15,562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111,008</w:t>
            </w:r>
          </w:p>
        </w:tc>
        <w:tc>
          <w:tcPr>
            <w:tcW w:w="1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95,615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216,334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179,286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6549" w:type="dxa"/>
        <w:jc w:val="left"/>
        <w:tblInd w:w="0" w:type="dxa"/>
        <w:tblLayout w:type="fixed"/>
        <w:tblCellMar>
          <w:top w:w="28" w:type="dxa"/>
          <w:left w:w="28" w:type="dxa"/>
          <w:bottom w:w="28" w:type="dxa"/>
          <w:right w:w="28" w:type="dxa"/>
        </w:tblCellMar>
      </w:tblPr>
      <w:tblGrid>
        <w:gridCol w:w="1411"/>
        <w:gridCol w:w="146"/>
        <w:gridCol w:w="216"/>
        <w:gridCol w:w="756"/>
        <w:gridCol w:w="170"/>
        <w:gridCol w:w="149"/>
        <w:gridCol w:w="216"/>
        <w:gridCol w:w="756"/>
        <w:gridCol w:w="166"/>
        <w:gridCol w:w="146"/>
        <w:gridCol w:w="211"/>
        <w:gridCol w:w="736"/>
        <w:gridCol w:w="166"/>
        <w:gridCol w:w="146"/>
        <w:gridCol w:w="211"/>
        <w:gridCol w:w="736"/>
        <w:gridCol w:w="21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9"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Losses</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center"/>
              <w:rPr/>
            </w:pPr>
            <w:r>
              <w:rPr/>
              <w:t> </w:t>
            </w:r>
          </w:p>
        </w:tc>
        <w:tc>
          <w:tcPr>
            <w:tcW w:w="170" w:type="dxa"/>
            <w:tcBorders/>
            <w:vAlign w:val="center"/>
          </w:tcPr>
          <w:p>
            <w:pPr>
              <w:pStyle w:val="TableContents"/>
              <w:bidi w:val="0"/>
              <w:spacing w:before="0" w:after="0"/>
              <w:ind w:left="0" w:right="0" w:hanging="0"/>
              <w:jc w:val="center"/>
              <w:rPr/>
            </w:pPr>
            <w:r>
              <w:rPr/>
              <w:t> </w:t>
            </w:r>
          </w:p>
        </w:tc>
        <w:tc>
          <w:tcPr>
            <w:tcW w:w="149"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(22,912</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(35,849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International</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(3,642</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(10,320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(26,554</w:t>
            </w:r>
          </w:p>
        </w:tc>
        <w:tc>
          <w:tcPr>
            <w:tcW w:w="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(16,553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(44,898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(36,565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(15) Goodwill and Intangible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tables summarize the Company’s intangible assets (dollars in thousands):</w:t>
      </w:r>
      <w:r>
        <w:rPr>
          <w:rFonts w:ascii="Times New Roman" w:hAnsi="Times New Roman"/>
          <w:sz w:val="20"/>
        </w:rPr>
        <w:t xml:space="preserve"> </w:t>
      </w:r>
    </w:p>
    <w:p>
      <w:pPr>
        <w:pStyle w:val="TextBody"/>
        <w:bidi w:val="0"/>
        <w:spacing w:before="0" w:after="0"/>
        <w:jc w:val="left"/>
        <w:rPr/>
      </w:pPr>
      <w:r>
        <w:rPr/>
        <w:t> </w:t>
      </w:r>
    </w:p>
    <w:tbl>
      <w:tblPr>
        <w:tblW w:w="8855" w:type="dxa"/>
        <w:jc w:val="left"/>
        <w:tblInd w:w="0" w:type="dxa"/>
        <w:tblLayout w:type="fixed"/>
        <w:tblCellMar>
          <w:top w:w="28" w:type="dxa"/>
          <w:left w:w="28" w:type="dxa"/>
          <w:bottom w:w="28" w:type="dxa"/>
          <w:right w:w="28" w:type="dxa"/>
        </w:tblCellMar>
      </w:tblPr>
      <w:tblGrid>
        <w:gridCol w:w="3166"/>
        <w:gridCol w:w="146"/>
        <w:gridCol w:w="332"/>
        <w:gridCol w:w="719"/>
        <w:gridCol w:w="146"/>
        <w:gridCol w:w="146"/>
        <w:gridCol w:w="211"/>
        <w:gridCol w:w="676"/>
        <w:gridCol w:w="146"/>
        <w:gridCol w:w="146"/>
        <w:gridCol w:w="283"/>
        <w:gridCol w:w="768"/>
        <w:gridCol w:w="146"/>
        <w:gridCol w:w="146"/>
        <w:gridCol w:w="211"/>
        <w:gridCol w:w="676"/>
        <w:gridCol w:w="7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752"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amortization</w:t>
              <w:br/>
              <w:t>period in</w:t>
              <w:br/>
              <w:t>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w:t>
              <w:br/>
              <w:t>carrying</w:t>
              <w:br/>
              <w:t>amount</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752" w:type="dxa"/>
            <w:gridSpan w:val="14"/>
            <w:tcBorders/>
            <w:vAlign w:val="center"/>
          </w:tcPr>
          <w:p>
            <w:pPr>
              <w:pStyle w:val="TableContents"/>
              <w:bidi w:val="0"/>
              <w:spacing w:before="0" w:after="0"/>
              <w:ind w:left="0" w:right="0" w:hanging="0"/>
              <w:jc w:val="center"/>
              <w:rPr/>
            </w:pPr>
            <w:r>
              <w:rPr/>
              <w:t> </w:t>
            </w:r>
          </w:p>
        </w:tc>
        <w:tc>
          <w:tcPr>
            <w:tcW w:w="791" w:type="dxa"/>
            <w:tcBorders/>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200"/>
              <w:jc w:val="right"/>
              <w:rPr/>
            </w:pPr>
            <w:r>
              <w:rPr/>
              <w:t> </w:t>
            </w:r>
          </w:p>
        </w:tc>
      </w:tr>
      <w:tr>
        <w:trPr/>
        <w:tc>
          <w:tcPr>
            <w:tcW w:w="31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Amortizing intangible assets:</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400"/>
              <w:jc w:val="right"/>
              <w:rPr/>
            </w:pPr>
            <w:r>
              <w:rPr/>
              <w:t> </w:t>
            </w:r>
          </w:p>
        </w:tc>
      </w:tr>
      <w:tr>
        <w:trPr/>
        <w:tc>
          <w:tcPr>
            <w:tcW w:w="31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Customer Relationships</w:t>
            </w:r>
          </w:p>
        </w:tc>
        <w:tc>
          <w:tcPr>
            <w:tcW w:w="14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32,789</w:t>
            </w:r>
          </w:p>
        </w:tc>
        <w:tc>
          <w:tcPr>
            <w:tcW w:w="791" w:type="dxa"/>
            <w:tcBorders/>
            <w:vAlign w:val="center"/>
          </w:tcPr>
          <w:p>
            <w:pPr>
              <w:pStyle w:val="TableContents"/>
              <w:bidi w:val="0"/>
              <w:spacing w:before="0" w:after="0"/>
              <w:ind w:left="0" w:right="0" w:firstLine="400"/>
              <w:jc w:val="left"/>
              <w:rPr/>
            </w:pPr>
            <w:r>
              <w:rPr/>
              <w:t> </w:t>
            </w:r>
          </w:p>
        </w:tc>
      </w:tr>
      <w:tr>
        <w:trPr/>
        <w:tc>
          <w:tcPr>
            <w:tcW w:w="31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Trade Names</w:t>
            </w:r>
          </w:p>
        </w:tc>
        <w:tc>
          <w:tcPr>
            <w:tcW w:w="14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675</w:t>
            </w:r>
          </w:p>
        </w:tc>
        <w:tc>
          <w:tcPr>
            <w:tcW w:w="791" w:type="dxa"/>
            <w:tcBorders/>
            <w:vAlign w:val="center"/>
          </w:tcPr>
          <w:p>
            <w:pPr>
              <w:pStyle w:val="TableContents"/>
              <w:bidi w:val="0"/>
              <w:spacing w:before="0" w:after="0"/>
              <w:ind w:left="0" w:right="0" w:firstLine="400"/>
              <w:jc w:val="left"/>
              <w:rPr/>
            </w:pPr>
            <w:r>
              <w:rPr/>
              <w:t> </w:t>
            </w:r>
          </w:p>
        </w:tc>
      </w:tr>
      <w:tr>
        <w:trPr/>
        <w:tc>
          <w:tcPr>
            <w:tcW w:w="31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Developed Technology</w:t>
            </w:r>
          </w:p>
        </w:tc>
        <w:tc>
          <w:tcPr>
            <w:tcW w:w="14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475</w:t>
            </w:r>
          </w:p>
        </w:tc>
        <w:tc>
          <w:tcPr>
            <w:tcW w:w="791" w:type="dxa"/>
            <w:tcBorders/>
            <w:vAlign w:val="center"/>
          </w:tcPr>
          <w:p>
            <w:pPr>
              <w:pStyle w:val="TableContents"/>
              <w:bidi w:val="0"/>
              <w:spacing w:before="0" w:after="0"/>
              <w:ind w:left="0" w:right="0" w:firstLine="400"/>
              <w:jc w:val="left"/>
              <w:rPr/>
            </w:pPr>
            <w:r>
              <w:rPr/>
              <w:t> </w:t>
            </w:r>
          </w:p>
        </w:tc>
      </w:tr>
      <w:tr>
        <w:trPr/>
        <w:tc>
          <w:tcPr>
            <w:tcW w:w="31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Vendor Relationships</w:t>
            </w:r>
          </w:p>
        </w:tc>
        <w:tc>
          <w:tcPr>
            <w:tcW w:w="14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987</w:t>
            </w:r>
          </w:p>
        </w:tc>
        <w:tc>
          <w:tcPr>
            <w:tcW w:w="791" w:type="dxa"/>
            <w:tcBorders/>
            <w:vAlign w:val="center"/>
          </w:tcPr>
          <w:p>
            <w:pPr>
              <w:pStyle w:val="TableContents"/>
              <w:bidi w:val="0"/>
              <w:spacing w:before="0" w:after="0"/>
              <w:ind w:left="0" w:right="0" w:firstLine="400"/>
              <w:jc w:val="left"/>
              <w:rPr/>
            </w:pPr>
            <w:r>
              <w:rPr/>
              <w:t> </w:t>
            </w:r>
          </w:p>
        </w:tc>
      </w:tr>
      <w:tr>
        <w:trPr/>
        <w:tc>
          <w:tcPr>
            <w:tcW w:w="31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Database</w:t>
            </w:r>
          </w:p>
        </w:tc>
        <w:tc>
          <w:tcPr>
            <w:tcW w:w="14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1,650</w:t>
            </w:r>
          </w:p>
        </w:tc>
        <w:tc>
          <w:tcPr>
            <w:tcW w:w="791" w:type="dxa"/>
            <w:tcBorders/>
            <w:vAlign w:val="center"/>
          </w:tcPr>
          <w:p>
            <w:pPr>
              <w:pStyle w:val="TableContents"/>
              <w:bidi w:val="0"/>
              <w:spacing w:before="0" w:after="0"/>
              <w:ind w:left="0" w:right="0" w:firstLine="400"/>
              <w:jc w:val="left"/>
              <w:rPr/>
            </w:pPr>
            <w:r>
              <w:rPr/>
              <w:t> </w:t>
            </w:r>
          </w:p>
        </w:tc>
      </w:tr>
      <w:tr>
        <w:trPr/>
        <w:tc>
          <w:tcPr>
            <w:tcW w:w="31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Patents</w:t>
            </w:r>
          </w:p>
        </w:tc>
        <w:tc>
          <w:tcPr>
            <w:tcW w:w="14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3166"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Subtotal intangible assets</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42,126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36,686</w:t>
            </w:r>
          </w:p>
        </w:tc>
        <w:tc>
          <w:tcPr>
            <w:tcW w:w="791" w:type="dxa"/>
            <w:tcBorders/>
            <w:vAlign w:val="center"/>
          </w:tcPr>
          <w:p>
            <w:pPr>
              <w:pStyle w:val="TableContents"/>
              <w:bidi w:val="0"/>
              <w:spacing w:before="0" w:after="0"/>
              <w:ind w:left="0" w:right="0" w:firstLine="400"/>
              <w:jc w:val="left"/>
              <w:rPr/>
            </w:pPr>
            <w:r>
              <w:rPr/>
              <w:t> </w:t>
            </w:r>
          </w:p>
        </w:tc>
      </w:tr>
      <w:tr>
        <w:trPr/>
        <w:tc>
          <w:tcPr>
            <w:tcW w:w="31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In-place Lease Intangible Asset</w:t>
            </w:r>
          </w:p>
        </w:tc>
        <w:tc>
          <w:tcPr>
            <w:tcW w:w="14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w:t>
            </w:r>
          </w:p>
        </w:tc>
        <w:tc>
          <w:tcPr>
            <w:tcW w:w="791" w:type="dxa"/>
            <w:tcBorders/>
            <w:vAlign w:val="center"/>
          </w:tcPr>
          <w:p>
            <w:pPr>
              <w:pStyle w:val="TableContents"/>
              <w:bidi w:val="0"/>
              <w:spacing w:before="0" w:after="0"/>
              <w:ind w:left="0" w:right="0" w:firstLine="400"/>
              <w:jc w:val="left"/>
              <w:rPr/>
            </w:pPr>
            <w:r>
              <w:rPr/>
              <w:t> </w:t>
            </w:r>
          </w:p>
        </w:tc>
      </w:tr>
      <w:tr>
        <w:trPr/>
        <w:tc>
          <w:tcPr>
            <w:tcW w:w="31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Above Market Lease Intangible Asset</w:t>
            </w:r>
          </w:p>
        </w:tc>
        <w:tc>
          <w:tcPr>
            <w:tcW w:w="14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3166"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intangible assets</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37,589</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tbl>
      <w:tblPr>
        <w:tblW w:w="8855" w:type="dxa"/>
        <w:jc w:val="left"/>
        <w:tblInd w:w="0" w:type="dxa"/>
        <w:tblLayout w:type="fixed"/>
        <w:tblCellMar>
          <w:top w:w="28" w:type="dxa"/>
          <w:left w:w="28" w:type="dxa"/>
          <w:bottom w:w="28" w:type="dxa"/>
          <w:right w:w="28" w:type="dxa"/>
        </w:tblCellMar>
      </w:tblPr>
      <w:tblGrid>
        <w:gridCol w:w="3166"/>
        <w:gridCol w:w="146"/>
        <w:gridCol w:w="332"/>
        <w:gridCol w:w="719"/>
        <w:gridCol w:w="146"/>
        <w:gridCol w:w="146"/>
        <w:gridCol w:w="211"/>
        <w:gridCol w:w="676"/>
        <w:gridCol w:w="146"/>
        <w:gridCol w:w="146"/>
        <w:gridCol w:w="283"/>
        <w:gridCol w:w="768"/>
        <w:gridCol w:w="146"/>
        <w:gridCol w:w="146"/>
        <w:gridCol w:w="211"/>
        <w:gridCol w:w="676"/>
        <w:gridCol w:w="7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752"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amortization</w:t>
              <w:br/>
              <w:t>period in</w:t>
              <w:br/>
              <w:t>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w:t>
              <w:br/>
              <w:t>carrying</w:t>
              <w:br/>
              <w:t>amount</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200"/>
              <w:jc w:val="right"/>
              <w:rPr/>
            </w:pPr>
            <w:r>
              <w:rPr/>
              <w:t> </w:t>
            </w:r>
          </w:p>
        </w:tc>
      </w:tr>
      <w:tr>
        <w:trPr/>
        <w:tc>
          <w:tcPr>
            <w:tcW w:w="31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Amortizing intangible assets:</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400"/>
              <w:jc w:val="right"/>
              <w:rPr/>
            </w:pPr>
            <w:r>
              <w:rPr/>
              <w:t> </w:t>
            </w:r>
          </w:p>
        </w:tc>
      </w:tr>
      <w:tr>
        <w:trPr/>
        <w:tc>
          <w:tcPr>
            <w:tcW w:w="31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Customer Relationships</w:t>
            </w:r>
          </w:p>
        </w:tc>
        <w:tc>
          <w:tcPr>
            <w:tcW w:w="14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34,014</w:t>
            </w:r>
          </w:p>
        </w:tc>
        <w:tc>
          <w:tcPr>
            <w:tcW w:w="791" w:type="dxa"/>
            <w:tcBorders/>
            <w:vAlign w:val="center"/>
          </w:tcPr>
          <w:p>
            <w:pPr>
              <w:pStyle w:val="TableContents"/>
              <w:bidi w:val="0"/>
              <w:spacing w:before="0" w:after="0"/>
              <w:ind w:left="0" w:right="0" w:firstLine="400"/>
              <w:jc w:val="left"/>
              <w:rPr/>
            </w:pPr>
            <w:r>
              <w:rPr/>
              <w:t> </w:t>
            </w:r>
          </w:p>
        </w:tc>
      </w:tr>
      <w:tr>
        <w:trPr/>
        <w:tc>
          <w:tcPr>
            <w:tcW w:w="31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Trade Names</w:t>
            </w:r>
          </w:p>
        </w:tc>
        <w:tc>
          <w:tcPr>
            <w:tcW w:w="14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744</w:t>
            </w:r>
          </w:p>
        </w:tc>
        <w:tc>
          <w:tcPr>
            <w:tcW w:w="791" w:type="dxa"/>
            <w:tcBorders/>
            <w:vAlign w:val="center"/>
          </w:tcPr>
          <w:p>
            <w:pPr>
              <w:pStyle w:val="TableContents"/>
              <w:bidi w:val="0"/>
              <w:spacing w:before="0" w:after="0"/>
              <w:ind w:left="0" w:right="0" w:firstLine="400"/>
              <w:jc w:val="left"/>
              <w:rPr/>
            </w:pPr>
            <w:r>
              <w:rPr/>
              <w:t> </w:t>
            </w:r>
          </w:p>
        </w:tc>
      </w:tr>
      <w:tr>
        <w:trPr/>
        <w:tc>
          <w:tcPr>
            <w:tcW w:w="31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Developed Technology</w:t>
            </w:r>
          </w:p>
        </w:tc>
        <w:tc>
          <w:tcPr>
            <w:tcW w:w="14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w:t>
            </w:r>
          </w:p>
        </w:tc>
        <w:tc>
          <w:tcPr>
            <w:tcW w:w="791" w:type="dxa"/>
            <w:tcBorders/>
            <w:vAlign w:val="center"/>
          </w:tcPr>
          <w:p>
            <w:pPr>
              <w:pStyle w:val="TableContents"/>
              <w:bidi w:val="0"/>
              <w:spacing w:before="0" w:after="0"/>
              <w:ind w:left="0" w:right="0" w:firstLine="400"/>
              <w:jc w:val="left"/>
              <w:rPr/>
            </w:pPr>
            <w:r>
              <w:rPr/>
              <w:t> </w:t>
            </w:r>
          </w:p>
        </w:tc>
      </w:tr>
      <w:tr>
        <w:trPr/>
        <w:tc>
          <w:tcPr>
            <w:tcW w:w="31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Vendor Relationships</w:t>
            </w:r>
          </w:p>
        </w:tc>
        <w:tc>
          <w:tcPr>
            <w:tcW w:w="14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968</w:t>
            </w:r>
          </w:p>
        </w:tc>
        <w:tc>
          <w:tcPr>
            <w:tcW w:w="791" w:type="dxa"/>
            <w:tcBorders/>
            <w:vAlign w:val="center"/>
          </w:tcPr>
          <w:p>
            <w:pPr>
              <w:pStyle w:val="TableContents"/>
              <w:bidi w:val="0"/>
              <w:spacing w:before="0" w:after="0"/>
              <w:ind w:left="0" w:right="0" w:firstLine="400"/>
              <w:jc w:val="left"/>
              <w:rPr/>
            </w:pPr>
            <w:r>
              <w:rPr/>
              <w:t> </w:t>
            </w:r>
          </w:p>
        </w:tc>
      </w:tr>
      <w:tr>
        <w:trPr/>
        <w:tc>
          <w:tcPr>
            <w:tcW w:w="31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Database</w:t>
            </w:r>
          </w:p>
        </w:tc>
        <w:tc>
          <w:tcPr>
            <w:tcW w:w="14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1,890</w:t>
            </w:r>
          </w:p>
        </w:tc>
        <w:tc>
          <w:tcPr>
            <w:tcW w:w="791" w:type="dxa"/>
            <w:tcBorders/>
            <w:vAlign w:val="center"/>
          </w:tcPr>
          <w:p>
            <w:pPr>
              <w:pStyle w:val="TableContents"/>
              <w:bidi w:val="0"/>
              <w:spacing w:before="0" w:after="0"/>
              <w:ind w:left="0" w:right="0" w:firstLine="400"/>
              <w:jc w:val="left"/>
              <w:rPr/>
            </w:pPr>
            <w:r>
              <w:rPr/>
              <w:t> </w:t>
            </w:r>
          </w:p>
        </w:tc>
      </w:tr>
      <w:tr>
        <w:trPr/>
        <w:tc>
          <w:tcPr>
            <w:tcW w:w="31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Patents</w:t>
            </w:r>
          </w:p>
        </w:tc>
        <w:tc>
          <w:tcPr>
            <w:tcW w:w="14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3166"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Subtotal intangible assets</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38,288</w:t>
            </w:r>
          </w:p>
        </w:tc>
        <w:tc>
          <w:tcPr>
            <w:tcW w:w="791" w:type="dxa"/>
            <w:tcBorders/>
            <w:vAlign w:val="center"/>
          </w:tcPr>
          <w:p>
            <w:pPr>
              <w:pStyle w:val="TableContents"/>
              <w:bidi w:val="0"/>
              <w:spacing w:before="0" w:after="0"/>
              <w:ind w:left="0" w:right="0" w:firstLine="400"/>
              <w:jc w:val="left"/>
              <w:rPr/>
            </w:pPr>
            <w:r>
              <w:rPr/>
              <w:t> </w:t>
            </w:r>
          </w:p>
        </w:tc>
      </w:tr>
      <w:tr>
        <w:trPr/>
        <w:tc>
          <w:tcPr>
            <w:tcW w:w="31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In-place Lease Intangible Asset</w:t>
            </w:r>
          </w:p>
        </w:tc>
        <w:tc>
          <w:tcPr>
            <w:tcW w:w="14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w:t>
            </w:r>
          </w:p>
        </w:tc>
        <w:tc>
          <w:tcPr>
            <w:tcW w:w="791" w:type="dxa"/>
            <w:tcBorders/>
            <w:vAlign w:val="center"/>
          </w:tcPr>
          <w:p>
            <w:pPr>
              <w:pStyle w:val="TableContents"/>
              <w:bidi w:val="0"/>
              <w:spacing w:before="0" w:after="0"/>
              <w:ind w:left="0" w:right="0" w:firstLine="400"/>
              <w:jc w:val="left"/>
              <w:rPr/>
            </w:pPr>
            <w:r>
              <w:rPr/>
              <w:t> </w:t>
            </w:r>
          </w:p>
        </w:tc>
      </w:tr>
      <w:tr>
        <w:trPr/>
        <w:tc>
          <w:tcPr>
            <w:tcW w:w="31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Above Market Lease Intangible Asset</w:t>
            </w:r>
          </w:p>
        </w:tc>
        <w:tc>
          <w:tcPr>
            <w:tcW w:w="14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658</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3166"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intangible assets</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39,351</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tables provides a roll forward of the carrying amount of goodwill (in thousands):</w:t>
      </w:r>
      <w:r>
        <w:rPr>
          <w:rFonts w:ascii="Times New Roman" w:hAnsi="Times New Roman"/>
          <w:sz w:val="20"/>
        </w:rPr>
        <w:t xml:space="preserve"> </w:t>
      </w:r>
    </w:p>
    <w:tbl>
      <w:tblPr>
        <w:tblW w:w="7654" w:type="dxa"/>
        <w:jc w:val="left"/>
        <w:tblInd w:w="0" w:type="dxa"/>
        <w:tblLayout w:type="fixed"/>
        <w:tblCellMar>
          <w:top w:w="28" w:type="dxa"/>
          <w:left w:w="28" w:type="dxa"/>
          <w:bottom w:w="28" w:type="dxa"/>
          <w:right w:w="28" w:type="dxa"/>
        </w:tblCellMar>
      </w:tblPr>
      <w:tblGrid>
        <w:gridCol w:w="4801"/>
        <w:gridCol w:w="146"/>
        <w:gridCol w:w="211"/>
        <w:gridCol w:w="781"/>
        <w:gridCol w:w="166"/>
        <w:gridCol w:w="146"/>
        <w:gridCol w:w="211"/>
        <w:gridCol w:w="781"/>
        <w:gridCol w:w="411"/>
      </w:tblGrid>
      <w:tr>
        <w:trPr/>
        <w:tc>
          <w:tcPr>
            <w:tcW w:w="4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8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center"/>
              <w:rPr/>
            </w:pPr>
            <w:r>
              <w:rPr/>
              <w:t> </w:t>
            </w:r>
          </w:p>
        </w:tc>
      </w:tr>
      <w:tr>
        <w:trPr/>
        <w:tc>
          <w:tcPr>
            <w:tcW w:w="48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January 1:</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48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goodwill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261,110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257,746</w:t>
            </w:r>
          </w:p>
        </w:tc>
        <w:tc>
          <w:tcPr>
            <w:tcW w:w="411" w:type="dxa"/>
            <w:tcBorders/>
            <w:vAlign w:val="center"/>
          </w:tcPr>
          <w:p>
            <w:pPr>
              <w:pStyle w:val="TableContents"/>
              <w:bidi w:val="0"/>
              <w:spacing w:before="0" w:after="0"/>
              <w:ind w:left="0" w:right="0" w:hanging="0"/>
              <w:jc w:val="left"/>
              <w:rPr/>
            </w:pPr>
            <w:r>
              <w:rPr/>
              <w:t> </w:t>
            </w:r>
          </w:p>
        </w:tc>
      </w:tr>
      <w:tr>
        <w:trPr/>
        <w:tc>
          <w:tcPr>
            <w:tcW w:w="48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impairments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8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goodwill as of January 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258,036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254,672</w:t>
            </w:r>
          </w:p>
        </w:tc>
        <w:tc>
          <w:tcPr>
            <w:tcW w:w="411" w:type="dxa"/>
            <w:tcBorders/>
            <w:vAlign w:val="center"/>
          </w:tcPr>
          <w:p>
            <w:pPr>
              <w:pStyle w:val="TableContents"/>
              <w:bidi w:val="0"/>
              <w:spacing w:before="0" w:after="0"/>
              <w:ind w:left="0" w:right="0" w:hanging="0"/>
              <w:jc w:val="left"/>
              <w:rPr/>
            </w:pPr>
            <w:r>
              <w:rPr/>
              <w:t> </w:t>
            </w:r>
          </w:p>
        </w:tc>
      </w:tr>
      <w:tr>
        <w:trPr/>
        <w:tc>
          <w:tcPr>
            <w:tcW w:w="480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Goodwill acquired during the year</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3,364</w:t>
            </w:r>
          </w:p>
        </w:tc>
        <w:tc>
          <w:tcPr>
            <w:tcW w:w="411" w:type="dxa"/>
            <w:tcBorders/>
            <w:vAlign w:val="center"/>
          </w:tcPr>
          <w:p>
            <w:pPr>
              <w:pStyle w:val="TableContents"/>
              <w:bidi w:val="0"/>
              <w:spacing w:before="0" w:after="0"/>
              <w:ind w:left="0" w:right="0" w:hanging="0"/>
              <w:jc w:val="left"/>
              <w:rPr/>
            </w:pPr>
            <w:r>
              <w:rPr/>
              <w:t> </w:t>
            </w:r>
          </w:p>
        </w:tc>
      </w:tr>
      <w:tr>
        <w:trPr/>
        <w:tc>
          <w:tcPr>
            <w:tcW w:w="48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Impact of foreign exchange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48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goodwill as of June 30, 2023, and 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263,002</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258,036</w:t>
            </w:r>
          </w:p>
        </w:tc>
        <w:tc>
          <w:tcPr>
            <w:tcW w:w="4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(1) See Note 7 - Acquisitions.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and December 31, 2022, Xometry had $263.0</w:t>
      </w:r>
      <w:r>
        <w:rPr>
          <w:rFonts w:ascii="Times New Roman" w:hAnsi="Times New Roman"/>
          <w:sz w:val="20"/>
        </w:rPr>
        <w:t xml:space="preserve"> </w:t>
      </w:r>
      <w:r>
        <w:rPr>
          <w:rFonts w:ascii="Times New Roman;serif" w:hAnsi="Times New Roman;serif"/>
          <w:b w:val="false"/>
          <w:sz w:val="20"/>
        </w:rPr>
        <w:t>million and $258.0</w:t>
      </w:r>
      <w:r>
        <w:rPr>
          <w:rFonts w:ascii="Times New Roman" w:hAnsi="Times New Roman"/>
          <w:sz w:val="20"/>
        </w:rPr>
        <w:t xml:space="preserve"> </w:t>
      </w:r>
      <w:r>
        <w:rPr>
          <w:rFonts w:ascii="Times New Roman;serif" w:hAnsi="Times New Roman;serif"/>
          <w:b w:val="false"/>
          <w:sz w:val="20"/>
        </w:rPr>
        <w:t>million, respectively of goodwill. As of June 30, 2023, $258.0</w:t>
      </w:r>
      <w:r>
        <w:rPr>
          <w:rFonts w:ascii="Times New Roman" w:hAnsi="Times New Roman"/>
          <w:sz w:val="20"/>
        </w:rPr>
        <w:t xml:space="preserve"> </w:t>
      </w:r>
      <w:r>
        <w:rPr>
          <w:rFonts w:ascii="Times New Roman;serif" w:hAnsi="Times New Roman;serif"/>
          <w:b w:val="false"/>
          <w:sz w:val="20"/>
        </w:rPr>
        <w:t>million is part of Xometry's U.S. operating segment and $5.0</w:t>
      </w:r>
      <w:r>
        <w:rPr>
          <w:rFonts w:ascii="Times New Roman" w:hAnsi="Times New Roman"/>
          <w:sz w:val="20"/>
        </w:rPr>
        <w:t xml:space="preserve"> </w:t>
      </w:r>
      <w:r>
        <w:rPr>
          <w:rFonts w:ascii="Times New Roman;serif" w:hAnsi="Times New Roman;serif"/>
          <w:b w:val="false"/>
          <w:sz w:val="20"/>
        </w:rPr>
        <w:t>million is part of Xometry's International operating segment. As of December 31, 2022, $258.0</w:t>
      </w:r>
      <w:r>
        <w:rPr>
          <w:rFonts w:ascii="Times New Roman" w:hAnsi="Times New Roman"/>
          <w:sz w:val="20"/>
        </w:rPr>
        <w:t xml:space="preserve"> </w:t>
      </w:r>
      <w:r>
        <w:rPr>
          <w:rFonts w:ascii="Times New Roman;serif" w:hAnsi="Times New Roman;serif"/>
          <w:b w:val="false"/>
          <w:sz w:val="20"/>
        </w:rPr>
        <w:t>million is part of Xometry's U.S. operating segment.</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estimated amortization expense for intangible assets for the remainder of 2023 and the next five years is: $1.8</w:t>
      </w:r>
      <w:r>
        <w:rPr>
          <w:rFonts w:ascii="Times New Roman" w:hAnsi="Times New Roman"/>
          <w:sz w:val="20"/>
        </w:rPr>
        <w:t xml:space="preserve"> </w:t>
      </w:r>
      <w:r>
        <w:rPr>
          <w:rFonts w:ascii="Times New Roman;serif" w:hAnsi="Times New Roman;serif"/>
          <w:b w:val="false"/>
          <w:sz w:val="20"/>
        </w:rPr>
        <w:t>million in 2023, $3.6</w:t>
      </w:r>
      <w:r>
        <w:rPr>
          <w:rFonts w:ascii="Times New Roman" w:hAnsi="Times New Roman"/>
          <w:sz w:val="20"/>
        </w:rPr>
        <w:t xml:space="preserve"> </w:t>
      </w:r>
      <w:r>
        <w:rPr>
          <w:rFonts w:ascii="Times New Roman;serif" w:hAnsi="Times New Roman;serif"/>
          <w:b w:val="false"/>
          <w:sz w:val="20"/>
        </w:rPr>
        <w:t>million in 2024, $3.6</w:t>
      </w:r>
      <w:r>
        <w:rPr>
          <w:rFonts w:ascii="Times New Roman" w:hAnsi="Times New Roman"/>
          <w:sz w:val="20"/>
        </w:rPr>
        <w:t xml:space="preserve"> </w:t>
      </w:r>
      <w:r>
        <w:rPr>
          <w:rFonts w:ascii="Times New Roman;serif" w:hAnsi="Times New Roman;serif"/>
          <w:b w:val="false"/>
          <w:sz w:val="20"/>
        </w:rPr>
        <w:t>million in 2025, $3.2</w:t>
      </w:r>
      <w:r>
        <w:rPr>
          <w:rFonts w:ascii="Times New Roman" w:hAnsi="Times New Roman"/>
          <w:sz w:val="20"/>
        </w:rPr>
        <w:t xml:space="preserve"> </w:t>
      </w:r>
      <w:r>
        <w:rPr>
          <w:rFonts w:ascii="Times New Roman;serif" w:hAnsi="Times New Roman;serif"/>
          <w:b w:val="false"/>
          <w:sz w:val="20"/>
        </w:rPr>
        <w:t>million in 2026, $2.6</w:t>
      </w:r>
      <w:r>
        <w:rPr>
          <w:rFonts w:ascii="Times New Roman" w:hAnsi="Times New Roman"/>
          <w:sz w:val="20"/>
        </w:rPr>
        <w:t xml:space="preserve"> </w:t>
      </w:r>
      <w:r>
        <w:rPr>
          <w:rFonts w:ascii="Times New Roman;serif" w:hAnsi="Times New Roman;serif"/>
          <w:b w:val="false"/>
          <w:sz w:val="20"/>
        </w:rPr>
        <w:t>million in 2027, $2.6</w:t>
      </w:r>
      <w:r>
        <w:rPr>
          <w:rFonts w:ascii="Times New Roman" w:hAnsi="Times New Roman"/>
          <w:sz w:val="20"/>
        </w:rPr>
        <w:t xml:space="preserve"> </w:t>
      </w:r>
      <w:r>
        <w:rPr>
          <w:rFonts w:ascii="Times New Roman;serif" w:hAnsi="Times New Roman;serif"/>
          <w:b w:val="false"/>
          <w:sz w:val="20"/>
        </w:rPr>
        <w:t>million in 2028 and $20.2</w:t>
      </w:r>
      <w:r>
        <w:rPr>
          <w:rFonts w:ascii="Times New Roman" w:hAnsi="Times New Roman"/>
          <w:sz w:val="20"/>
        </w:rPr>
        <w:t xml:space="preserve"> </w:t>
      </w:r>
      <w:r>
        <w:rPr>
          <w:rFonts w:ascii="Times New Roman;serif" w:hAnsi="Times New Roman;serif"/>
          <w:b w:val="false"/>
          <w:sz w:val="20"/>
        </w:rPr>
        <w:t>million thereafter.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Amortization expense for the three and six months ended June 30, 2023 and 2022 was as follows (in thousands):</w:t>
      </w:r>
      <w:r>
        <w:rPr>
          <w:rFonts w:ascii="Times New Roman" w:hAnsi="Times New Roman"/>
          <w:sz w:val="20"/>
        </w:rPr>
        <w:t xml:space="preserve"> </w:t>
      </w:r>
    </w:p>
    <w:tbl>
      <w:tblPr>
        <w:tblW w:w="7481" w:type="dxa"/>
        <w:jc w:val="left"/>
        <w:tblInd w:w="0" w:type="dxa"/>
        <w:tblLayout w:type="fixed"/>
        <w:tblCellMar>
          <w:top w:w="28" w:type="dxa"/>
          <w:left w:w="28" w:type="dxa"/>
          <w:bottom w:w="28" w:type="dxa"/>
          <w:right w:w="28" w:type="dxa"/>
        </w:tblCellMar>
      </w:tblPr>
      <w:tblGrid>
        <w:gridCol w:w="2521"/>
        <w:gridCol w:w="146"/>
        <w:gridCol w:w="280"/>
        <w:gridCol w:w="559"/>
        <w:gridCol w:w="193"/>
        <w:gridCol w:w="193"/>
        <w:gridCol w:w="280"/>
        <w:gridCol w:w="758"/>
        <w:gridCol w:w="146"/>
        <w:gridCol w:w="146"/>
        <w:gridCol w:w="235"/>
        <w:gridCol w:w="637"/>
        <w:gridCol w:w="162"/>
        <w:gridCol w:w="162"/>
        <w:gridCol w:w="235"/>
        <w:gridCol w:w="637"/>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3" w:type="dxa"/>
            <w:tcBorders/>
            <w:vAlign w:val="center"/>
          </w:tcPr>
          <w:p>
            <w:pPr>
              <w:pStyle w:val="TableContents"/>
              <w:bidi w:val="0"/>
              <w:spacing w:before="0" w:after="0"/>
              <w:ind w:left="0" w:right="0" w:hanging="0"/>
              <w:jc w:val="left"/>
              <w:rPr/>
            </w:pPr>
            <w:r>
              <w:rPr/>
              <w:t> </w:t>
            </w:r>
          </w:p>
        </w:tc>
        <w:tc>
          <w:tcPr>
            <w:tcW w:w="103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2"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789</w:t>
            </w:r>
          </w:p>
        </w:tc>
        <w:tc>
          <w:tcPr>
            <w:tcW w:w="193"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pPr>
            <w:r>
              <w:rPr/>
              <w:t> </w:t>
            </w:r>
          </w:p>
        </w:tc>
        <w:tc>
          <w:tcPr>
            <w:tcW w:w="7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1,580</w:t>
            </w:r>
          </w:p>
        </w:tc>
        <w:tc>
          <w:tcPr>
            <w:tcW w:w="162"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1,550</w:t>
            </w:r>
          </w:p>
        </w:tc>
        <w:tc>
          <w:tcPr>
            <w:tcW w:w="191"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development</w:t>
            </w:r>
          </w:p>
        </w:tc>
        <w:tc>
          <w:tcPr>
            <w:tcW w:w="146"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pPr>
            <w:r>
              <w:rPr/>
              <w:t> </w:t>
            </w:r>
          </w:p>
        </w:tc>
        <w:tc>
          <w:tcPr>
            <w:tcW w:w="5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93"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pPr>
            <w:r>
              <w:rPr/>
              <w:t> </w:t>
            </w:r>
          </w:p>
        </w:tc>
        <w:tc>
          <w:tcPr>
            <w:tcW w:w="7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162"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191"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General and administrative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2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841</w:t>
            </w:r>
          </w:p>
        </w:tc>
        <w:tc>
          <w:tcPr>
            <w:tcW w:w="1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2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1,677</w:t>
            </w:r>
          </w:p>
        </w:tc>
        <w:tc>
          <w:tcPr>
            <w:tcW w:w="1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(1) Amortization of the lease related intangible assets is recorded as operating lease expense in general and administrative.</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14" w:name="i_item2"/>
      <w:bookmarkEnd w:id="14"/>
      <w:r>
        <w:rPr>
          <w:rFonts w:ascii="Times New Roman;serif" w:hAnsi="Times New Roman;serif"/>
          <w:b/>
          <w:sz w:val="20"/>
        </w:rPr>
        <w:t>Item 2. Management’s Discussion and Analysis of Financial Condition and Results of Operations.</w:t>
      </w:r>
    </w:p>
    <w:p>
      <w:pPr>
        <w:pStyle w:val="TextBody"/>
        <w:bidi w:val="0"/>
        <w:spacing w:before="200" w:after="0"/>
        <w:jc w:val="left"/>
        <w:rPr>
          <w:rFonts w:ascii="Times New Roman" w:hAnsi="Times New Roman"/>
          <w:sz w:val="20"/>
        </w:rPr>
      </w:pPr>
      <w:r>
        <w:rPr>
          <w:rFonts w:ascii="Times New Roman;serif" w:hAnsi="Times New Roman;serif"/>
          <w:b w:val="false"/>
          <w:i/>
          <w:sz w:val="20"/>
        </w:rPr>
        <w:t>The following discussion and analysis should be read in conjunction with our unaudited condensed consolidated financial statements and the related notes thereto included elsewhere in this Quarterly Report on Form 10-Q. The discussion contains forward-looking statements that are based on the beliefs of management, as well as assumptions made by, and information currently available to, our management. Actual results could differ materially from those discussed in or implied by forward-looking statements as a result of various factors, including those discussed in Part II, Item 1A, "Risk Factors" in our Annual Report on Form 10-K for the year ended December 31, 2022. Our historical results are not necessarily indicative of the results that may be expected in the future and our current quarterly results are not necessarily indicative of the results expected for the full year or any other period.</w:t>
      </w:r>
      <w:r>
        <w:rPr>
          <w:rFonts w:ascii="Times New Roman" w:hAnsi="Times New Roman"/>
          <w:sz w:val="20"/>
        </w:rPr>
        <w:t xml:space="preserve"> </w:t>
      </w:r>
    </w:p>
    <w:p>
      <w:pPr>
        <w:pStyle w:val="TextBody"/>
        <w:bidi w:val="0"/>
        <w:spacing w:before="300" w:after="0"/>
        <w:jc w:val="center"/>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Xometry, Inc. (“Xometry”, “Company”, “our” or “we”) was incorporated in the State of Delaware in May 2013. Xometry is a global online marketplace connecting buyers with suppliers of manufacturing services, transforming one of the largest industries in the world. We use our proprietary technology to create a marketplace that enables buyers to efficiently source manufactured parts and assemblies, and empower suppliers of manufacturing services to grow their businesses. Xometry's corporate headquarters is located in North Bethesda, Maryland.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AI-enabled technology platform is powered by proprietary machine learning algorithms and a dataset, resulting in a sophisticated marketplace for manufacturing. As a result, buyers can procure the products they want on demand and suppliers can source new manufacturing opportunities that match their specific capabilities and capacity. Interactions on our platform provide rich data insights that allow us to continuously improve our AI models and create new products and services, fueling powerful network effects as we scale.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use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aftermarket parts for its buyers.</w:t>
      </w:r>
    </w:p>
    <w:p>
      <w:pPr>
        <w:pStyle w:val="TextBody"/>
        <w:bidi w:val="0"/>
        <w:spacing w:before="120" w:after="0"/>
        <w:jc w:val="left"/>
        <w:rPr>
          <w:rFonts w:ascii="Times New Roman" w:hAnsi="Times New Roman"/>
          <w:sz w:val="20"/>
        </w:rPr>
      </w:pPr>
      <w:r>
        <w:rPr>
          <w:rFonts w:ascii="Times New Roman;serif" w:hAnsi="Times New Roman;serif"/>
          <w:b w:val="false"/>
          <w:sz w:val="20"/>
        </w:rPr>
        <w:t>Our mission is to accelerate innovation by providing real time, equitable access to global manufacturing capacity and demand. Our vision is to drive efficiency, sustainability and innovation for industries worldwide by lowering the barriers to entry to the manufacturing ecosystem.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business benefits from a virtuous network liquidity effect, because adding buyers to our platform generates greater demand on our marketplace which in turn attracts more suppliers to the platform, allowing us to rapidly scale and increase the number of manufacturing processes offered on our platform. In order to continue to meet the needs of buyers and remain highly competitive, we expect to continue to add suppliers to our platform that have new and innovative manufacturing processes. Thus, our platform is unbounded by the in-house manufacturing capacity and processes of our current suppliers.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define “buyers” as individuals who have placed an order to purchase on-demand parts or assemblies on our marketplace.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“suppliers” as individuals or businesses who have been approved by us to either manufacture a product on our platform for a buyer or have utilized our supplier services, including our financial services or the purchase of supplies.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majority of our revenue is derived from the sale of part(s) and assemblies to our customers on our marketplace, which we refer to as marketplace revenue. The suppliers on our platform offer a diversified mix of manufacturing processes. These manufacturing processes include computer numerical control (“CNC”) manufacturing, sheet metal forming, sheet cutting, 3D printing (including fused deposition modeling, direct metal laser sintering, PolyJet, stereolithography, selective laser sintering, binder jetting, carbon digital light synthesis, multi jet fusion and lubricant sublayer photo-curing), die casting, stamping, injection molding, urethane casting, tube cutting, tube bending, as well as finishing services, rapid prototyping and high-volume production. We enable buyers to source these processes to meet complex and specific design and order needs across several industries, including Aerospace, Healthcare, Robotics, Industrial, Energy, Automotive, Defense, Government, Education and Consumer Goods.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empower suppliers to grow their manufacturing businesses and improve machine uptime by providing access to an extensive, diverse base of buyers. We also offer suppliers supporting products and services to meet their unique needs. Our suite of supplier services includes a cloud-based manufacturing execution system (“Workcenter”) to help suppliers optimize their productivity and financial service products to stabilize and enhance cash flow. In addition, we offer suppliers digital marketing and data solutions.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supplier services revenue primarily includes the sale of marketing services, which includes advertising, and to a lesser extent, financial service products that help our customers better manage cash flow at all stages of job production and supplies. Our financial services products, such as Xometry Pay, enable suppliers to stabilize and enhance their cash flows and resource management tools to optimize their businesses. In 2021, we acquired Thomas Publishing Company (“Thomas”) and Fusiform, Inc. (d/b/a</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FactoryFour) (“FactoryFour”), expanding our basket of supplier services to include marketing and advertising services and to a lesser extent a SaaS based solutions to help suppliers optimize their productivity. Our revenue from Thomas is primarily advertising revenue.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January 2, 2023, the Company acquired Tridi Teknoloj A.S. (“Tridi”) located in Istanbul, Türkiye pursuant to a Share Purchase Agreement. The acquisition of Tridi extends our marketplace capabilities in Europe and provides us access to the Turkish market.</w:t>
      </w:r>
    </w:p>
    <w:p>
      <w:pPr>
        <w:pStyle w:val="TextBody"/>
        <w:bidi w:val="0"/>
        <w:spacing w:before="120" w:after="0"/>
        <w:jc w:val="left"/>
        <w:rPr>
          <w:rFonts w:ascii="Times New Roman" w:hAnsi="Times New Roman"/>
          <w:sz w:val="20"/>
        </w:rPr>
      </w:pPr>
      <w:r>
        <w:rPr>
          <w:rFonts w:ascii="Times New Roman;serif" w:hAnsi="Times New Roman;serif"/>
          <w:b w:val="false"/>
          <w:sz w:val="20"/>
        </w:rPr>
        <w:t>In May 2023, the Company reduced its workforce by approximately 4% to help manage its operating expenses. During the three months ended June 30, 2023, the Company incurred $0.7 million for employee termination costs related to the May 2023 restructuring.</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shows the total restructuring costs incurred during the three months ended June 30, 2023 (in thousands):</w:t>
      </w:r>
    </w:p>
    <w:tbl>
      <w:tblPr>
        <w:tblW w:w="4913" w:type="dxa"/>
        <w:jc w:val="left"/>
        <w:tblInd w:w="0" w:type="dxa"/>
        <w:tblLayout w:type="fixed"/>
        <w:tblCellMar>
          <w:top w:w="28" w:type="dxa"/>
          <w:left w:w="28" w:type="dxa"/>
          <w:bottom w:w="28" w:type="dxa"/>
          <w:right w:w="28" w:type="dxa"/>
        </w:tblCellMar>
      </w:tblPr>
      <w:tblGrid>
        <w:gridCol w:w="2311"/>
        <w:gridCol w:w="146"/>
        <w:gridCol w:w="754"/>
        <w:gridCol w:w="151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Operations and support</w:t>
            </w:r>
          </w:p>
        </w:tc>
        <w:tc>
          <w:tcPr>
            <w:tcW w:w="146"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left"/>
              <w:rPr/>
            </w:pPr>
            <w:r>
              <w:rPr/>
              <w:t> </w:t>
            </w:r>
          </w:p>
        </w:tc>
        <w:tc>
          <w:tcPr>
            <w:tcW w:w="1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development</w:t>
            </w:r>
          </w:p>
        </w:tc>
        <w:tc>
          <w:tcPr>
            <w:tcW w:w="146"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left"/>
              <w:rPr/>
            </w:pPr>
            <w:r>
              <w:rPr/>
              <w:t> </w:t>
            </w:r>
          </w:p>
        </w:tc>
        <w:tc>
          <w:tcPr>
            <w:tcW w:w="1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restructure charge</w:t>
            </w:r>
          </w:p>
        </w:tc>
        <w:tc>
          <w:tcPr>
            <w:tcW w:w="146" w:type="dxa"/>
            <w:tcBorders/>
            <w:vAlign w:val="center"/>
          </w:tcPr>
          <w:p>
            <w:pPr>
              <w:pStyle w:val="TableContents"/>
              <w:bidi w:val="0"/>
              <w:spacing w:before="0" w:after="0"/>
              <w:ind w:left="0" w:right="0" w:hanging="0"/>
              <w:jc w:val="left"/>
              <w:rPr/>
            </w:pPr>
            <w:r>
              <w:rPr/>
              <w:t> </w:t>
            </w:r>
          </w:p>
        </w:tc>
        <w:tc>
          <w:tcPr>
            <w:tcW w:w="7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the Company previously provided suppliers with access to competitively priced tools, material and supplies in the U.S. As a result of exiting the supplies business during the second quarter of 2023, the Company recognized $0.6 million of costs associated with its closure, of which $0.2 million is recognized in cost of revenue and $0.4 million is recognized in operations and support on the Condensed Consolidated Statements of Operations and Comprehensive Loss.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Unfavorable conditions in the economy both in the United States and abroad may negatively affect the growth of our business and our results of operations. For example, macroeconomic events, including changes in inflation, the U.S. Federal Reserve raising interest rates, disruptions in access to bank deposits or lending commitments due to bank failures, the Russia-Ukraine war and the COVID-19 pandemic, have led to economic uncertainty globally. Historically, during periods of economic uncertainty and downturns, businesses may slow spending on information technology and manufacturing, which may impact our business and our customers’ businesses.</w:t>
      </w:r>
    </w:p>
    <w:p>
      <w:pPr>
        <w:pStyle w:val="TextBody"/>
        <w:bidi w:val="0"/>
        <w:spacing w:before="120" w:after="0"/>
        <w:jc w:val="left"/>
        <w:rPr>
          <w:rFonts w:ascii="Times New Roman" w:hAnsi="Times New Roman"/>
          <w:sz w:val="20"/>
        </w:rPr>
      </w:pPr>
      <w:r>
        <w:rPr>
          <w:rFonts w:ascii="Times New Roman;serif" w:hAnsi="Times New Roman;serif"/>
          <w:b w:val="false"/>
          <w:sz w:val="20"/>
        </w:rPr>
        <w:t>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center"/>
        <w:rPr>
          <w:rFonts w:ascii="Times New Roman" w:hAnsi="Times New Roman"/>
          <w:sz w:val="20"/>
        </w:rPr>
      </w:pPr>
      <w:r>
        <w:rPr>
          <w:rFonts w:ascii="Times New Roman;serif" w:hAnsi="Times New Roman;serif"/>
          <w:b/>
          <w:sz w:val="20"/>
        </w:rPr>
        <w:t>Key Marketplace Operational and Business Metrics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to the measures presented in our condensed consolidated financial statements included elsewhere in this Quarterly Report on Form 10-Q, we use the following key operational and business metrics to help us evaluate our marketplace business, measure our performance, identify trends affecting our business, formulate business plans and develop forecasts, and make strategic decisions: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Active Buyers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define Active Buyers as the number of</w:t>
      </w:r>
      <w:r>
        <w:rPr>
          <w:rFonts w:ascii="Times New Roman" w:hAnsi="Times New Roman"/>
          <w:sz w:val="20"/>
        </w:rPr>
        <w:t xml:space="preserve"> </w:t>
      </w:r>
      <w:r>
        <w:rPr>
          <w:rFonts w:ascii="Times New Roman;serif" w:hAnsi="Times New Roman;serif"/>
          <w:b w:val="false"/>
          <w:sz w:val="20"/>
        </w:rPr>
        <w:t>buyers who have made at least one purchase on our marketplace during the last twelve months. An increase or decrease in the number of Active Buyers is a key indicator of our ability to attract, retain and engage buyers on our platform.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Active Buyers has consistently grown over time. The number of Active Buyers on our platform reached 48,294 as of June 30, 2023, up 44% from 33,491 as of June 30, 2022. The key drivers of Active Buyer growth are continued account and buyer engagement and the success of our strategy to attract new buyers.</w:t>
      </w:r>
      <w:r>
        <w:rPr>
          <w:rFonts w:ascii="Times New Roman" w:hAnsi="Times New Roman"/>
          <w:sz w:val="20"/>
        </w:rPr>
        <w:t xml:space="preserve"> </w:t>
      </w:r>
    </w:p>
    <w:p>
      <w:pPr>
        <w:pStyle w:val="TextBody"/>
        <w:bidi w:val="0"/>
        <w:spacing w:before="0" w:after="0"/>
        <w:jc w:val="center"/>
        <w:rPr/>
      </w:pPr>
      <w:r>
        <w:rPr/>
        <w:drawing>
          <wp:inline distT="0" distB="0" distL="0" distR="0">
            <wp:extent cx="4000500" cy="4791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00500" cy="4791075"/>
                    </a:xfrm>
                    <a:prstGeom prst="rect">
                      <a:avLst/>
                    </a:prstGeom>
                  </pic:spPr>
                </pic:pic>
              </a:graphicData>
            </a:graphic>
          </wp:inline>
        </w:drawing>
      </w:r>
      <w:r>
        <w:rPr/>
        <w:t> </w:t>
      </w:r>
    </w:p>
    <w:p>
      <w:pPr>
        <w:pStyle w:val="TextBody"/>
        <w:bidi w:val="0"/>
        <w:spacing w:before="0" w:after="0"/>
        <w:jc w:val="center"/>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Percentage of Revenue from Existing Accounts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define an existing account as an account where at least one buyer has made a purchase on our marketplace. We believe the efficiency and transparency of our business model leads to increasing account stickiness and spend over time. Buyers can utilize our marketplace for both one-off and 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stickiness with an account.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For the quarter ended June 30, 2023, 96% of our revenue was generated from existing accounts. We believe the repeat purchase activity from existing accounts reflects the underlying strength of our business and provides us with substantial revenue visibility and predictability.</w:t>
      </w:r>
      <w:r>
        <w:rPr>
          <w:rFonts w:ascii="Times New Roman" w:hAnsi="Times New Roman"/>
          <w:sz w:val="20"/>
        </w:rPr>
        <w:t xml:space="preserve"> </w:t>
      </w:r>
    </w:p>
    <w:p>
      <w:pPr>
        <w:pStyle w:val="TextBody"/>
        <w:bidi w:val="0"/>
        <w:spacing w:before="0" w:after="0"/>
        <w:jc w:val="center"/>
        <w:rPr/>
      </w:pPr>
      <w:r>
        <w:rPr/>
        <w:drawing>
          <wp:inline distT="0" distB="0" distL="0" distR="0">
            <wp:extent cx="6858000" cy="3705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3705225"/>
                    </a:xfrm>
                    <a:prstGeom prst="rect">
                      <a:avLst/>
                    </a:prstGeom>
                  </pic:spPr>
                </pic:pic>
              </a:graphicData>
            </a:graphic>
          </wp:inline>
        </w:drawing>
      </w:r>
      <w:r>
        <w:rPr/>
        <w:t> </w:t>
      </w:r>
    </w:p>
    <w:p>
      <w:pPr>
        <w:pStyle w:val="TextBody"/>
        <w:bidi w:val="0"/>
        <w:spacing w:before="360" w:after="0"/>
        <w:jc w:val="left"/>
        <w:rPr>
          <w:rFonts w:ascii="Times New Roman" w:hAnsi="Times New Roman"/>
          <w:sz w:val="20"/>
        </w:rPr>
      </w:pPr>
      <w:r>
        <w:rPr>
          <w:rFonts w:ascii="Times New Roman;serif" w:hAnsi="Times New Roman;serif"/>
          <w:b/>
          <w:i/>
          <w:sz w:val="20"/>
        </w:rPr>
        <w:t>Accounts with Last Twelve-Month Spend of At Least $50,000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1,159 as of June 30, 2023, up 30%</w:t>
      </w:r>
      <w:r>
        <w:rPr>
          <w:rFonts w:ascii="Times New Roman" w:hAnsi="Times New Roman"/>
          <w:sz w:val="20"/>
        </w:rPr>
        <w:t xml:space="preserve"> </w:t>
      </w:r>
      <w:r>
        <w:rPr>
          <w:rFonts w:ascii="Times New Roman;serif" w:hAnsi="Times New Roman;serif"/>
          <w:b w:val="false"/>
          <w:sz w:val="20"/>
        </w:rPr>
        <w:t>from 894 as of June 30, 2022.</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4191000" cy="5219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191000" cy="5219700"/>
                    </a:xfrm>
                    <a:prstGeom prst="rect">
                      <a:avLst/>
                    </a:prstGeom>
                  </pic:spPr>
                </pic:pic>
              </a:graphicData>
            </a:graphic>
          </wp:inline>
        </w:drawing>
      </w:r>
    </w:p>
    <w:p>
      <w:pPr>
        <w:pStyle w:val="TextBody"/>
        <w:bidi w:val="0"/>
        <w:spacing w:before="0" w:after="0"/>
        <w:jc w:val="center"/>
        <w:rPr/>
      </w:pPr>
      <w:r>
        <w:rPr/>
        <w:t>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Active Paying Suppliers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define Active Paying Suppliers as individuals or businesses who have purchased one or more of our supplier services, including digital marketing services, data services, financial services or supplies on our platforms during the last twelve months. An increase or decrease in the number of Active Paying Suppliers is a key indicator of our ability to engage suppliers on our platform.</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Active Paying Suppliers has consistently grown over time. The number of Active Paying Suppliers on our platform reached 7,553 as of June 30, 2023, up 5% from 7,202 as of June 30, 2022. The key drivers of Active Paying Suppliers are continued supplier engagement and the success of our strategy to attract new suppliers.</w:t>
      </w:r>
    </w:p>
    <w:p>
      <w:pPr>
        <w:pStyle w:val="TextBody"/>
        <w:bidi w:val="0"/>
        <w:spacing w:before="360" w:after="0"/>
        <w:jc w:val="left"/>
        <w:rPr>
          <w:rFonts w:ascii="Times New Roman" w:hAnsi="Times New Roman"/>
          <w:sz w:val="20"/>
        </w:rPr>
      </w:pPr>
      <w:r>
        <w:rPr>
          <w:rFonts w:ascii="Times New Roman;serif" w:hAnsi="Times New Roman;serif"/>
          <w:b/>
          <w:i/>
          <w:sz w:val="20"/>
        </w:rPr>
        <w:t>Adjusted EBITDA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define Adjusted EBITDA as net loss, adjusted for interest expense, interest and dividend income and other expenses, income tax provision (benefit), and certain other non-cash or non-recurring items impacting net loss from time to time, principally comprised of depreciation and amortization, amortization of lease intangible, stock-based compensation, charitable contributions of common stock, income from an unconsolidated joint venture, impairment of assets, lease abandonment, restructuring charges, costs to exit the supplies business and acquisition and other adjustments not reflective of the Company's ongoing business, such as adjustments related to purchase accounting, the revaluation of contingent consideration and transaction costs. Adjusted EBITDA is a performance measure that we use to assess our operating performance and the operating leverage in our business. Adjusted EBITDA Margin is calculated by dividing Adjusted EBITDA for a period by revenue for the same period.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the three months ended June 30, 2023, Adjusted EBITDA loss increased to $(8.7) million, as compared to Adjusted EBITDA loss of $(8.3) million for the same quarter in 2022. For the quarter ended June 30, 2023, Adjusted EBITDA Margin</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decreased to (8)% of revenue, as compared to (9)% of revenue for the same quarter in 2022, driven primarily by increased operating efficiencies as we continue to grow our revenue and margins faster than our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the six months ended June 30, 2023, Adjusted EBITDA loss increased to $(20.4) million, as compared to Adjusted EBITDA loss of $(21.0) million for the same period in 2022. For the six months ended June 30, 2023, Adjusted EBITDA Margin decreased to (9)% of revenue, as compared to (12)% of revenue for the same period in 2022, driven primarily by increased operating efficiencies as we continue to grow our revenue and margins faster than our expenses.</w:t>
      </w:r>
    </w:p>
    <w:p>
      <w:pPr>
        <w:pStyle w:val="TextBody"/>
        <w:bidi w:val="0"/>
        <w:spacing w:before="240" w:after="0"/>
        <w:jc w:val="left"/>
        <w:rPr/>
      </w:pPr>
      <w:r>
        <w:rPr/>
        <w:t> </w:t>
      </w:r>
    </w:p>
    <w:tbl>
      <w:tblPr>
        <w:tblW w:w="10205" w:type="dxa"/>
        <w:jc w:val="left"/>
        <w:tblInd w:w="0" w:type="dxa"/>
        <w:tblLayout w:type="fixed"/>
        <w:tblCellMar>
          <w:top w:w="28" w:type="dxa"/>
          <w:left w:w="28" w:type="dxa"/>
          <w:bottom w:w="28" w:type="dxa"/>
          <w:right w:w="28" w:type="dxa"/>
        </w:tblCellMar>
      </w:tblPr>
      <w:tblGrid>
        <w:gridCol w:w="5072"/>
        <w:gridCol w:w="146"/>
        <w:gridCol w:w="215"/>
        <w:gridCol w:w="754"/>
        <w:gridCol w:w="169"/>
        <w:gridCol w:w="148"/>
        <w:gridCol w:w="215"/>
        <w:gridCol w:w="754"/>
        <w:gridCol w:w="166"/>
        <w:gridCol w:w="146"/>
        <w:gridCol w:w="211"/>
        <w:gridCol w:w="736"/>
        <w:gridCol w:w="166"/>
        <w:gridCol w:w="146"/>
        <w:gridCol w:w="211"/>
        <w:gridCol w:w="736"/>
        <w:gridCol w:w="214"/>
      </w:tblGrid>
      <w:tr>
        <w:trPr/>
        <w:tc>
          <w:tcPr>
            <w:tcW w:w="5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07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5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7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8" w:type="dxa"/>
            <w:tcBorders/>
            <w:vAlign w:val="center"/>
          </w:tcPr>
          <w:p>
            <w:pPr>
              <w:pStyle w:val="TableContents"/>
              <w:bidi w:val="0"/>
              <w:spacing w:before="0" w:after="0"/>
              <w:ind w:left="0" w:right="0" w:hanging="0"/>
              <w:jc w:val="left"/>
              <w:rPr/>
            </w:pPr>
            <w:r>
              <w:rPr/>
              <w:t> </w:t>
            </w:r>
          </w:p>
        </w:tc>
        <w:tc>
          <w:tcPr>
            <w:tcW w:w="96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(26,559</w:t>
            </w:r>
          </w:p>
        </w:tc>
        <w:tc>
          <w:tcPr>
            <w:tcW w:w="1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(16,549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(44,902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(36,544</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 (deduct)</w:t>
            </w:r>
          </w:p>
        </w:tc>
        <w:tc>
          <w:tcPr>
            <w:tcW w:w="146" w:type="dxa"/>
            <w:tcBorders/>
            <w:vAlign w:val="center"/>
          </w:tcPr>
          <w:p>
            <w:pPr>
              <w:pStyle w:val="TableContents"/>
              <w:bidi w:val="0"/>
              <w:spacing w:before="0" w:after="0"/>
              <w:ind w:left="0" w:right="0" w:hanging="0"/>
              <w:jc w:val="left"/>
              <w:rPr/>
            </w:pPr>
            <w:r>
              <w:rPr/>
              <w:t> </w:t>
            </w:r>
          </w:p>
        </w:tc>
        <w:tc>
          <w:tcPr>
            <w:tcW w:w="969" w:type="dxa"/>
            <w:gridSpan w:val="2"/>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right"/>
              <w:rPr/>
            </w:pPr>
            <w:r>
              <w:rPr/>
              <w:t> </w:t>
            </w:r>
          </w:p>
        </w:tc>
        <w:tc>
          <w:tcPr>
            <w:tcW w:w="148" w:type="dxa"/>
            <w:tcBorders/>
            <w:vAlign w:val="center"/>
          </w:tcPr>
          <w:p>
            <w:pPr>
              <w:pStyle w:val="TableContents"/>
              <w:bidi w:val="0"/>
              <w:spacing w:before="0" w:after="0"/>
              <w:ind w:left="0" w:right="0" w:hanging="0"/>
              <w:jc w:val="left"/>
              <w:rPr/>
            </w:pPr>
            <w:r>
              <w:rPr/>
              <w:t> </w:t>
            </w:r>
          </w:p>
        </w:tc>
        <w:tc>
          <w:tcPr>
            <w:tcW w:w="96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14" w:type="dxa"/>
            <w:tcBorders/>
            <w:vAlign w:val="center"/>
          </w:tcPr>
          <w:p>
            <w:pPr>
              <w:pStyle w:val="TableContents"/>
              <w:bidi w:val="0"/>
              <w:spacing w:before="0" w:after="0"/>
              <w:ind w:left="0" w:right="0" w:hanging="0"/>
              <w:jc w:val="right"/>
              <w:rPr/>
            </w:pPr>
            <w:r>
              <w:rPr/>
              <w:t> </w:t>
            </w:r>
          </w:p>
        </w:tc>
      </w:tr>
      <w:tr>
        <w:trPr/>
        <w:tc>
          <w:tcPr>
            <w:tcW w:w="50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interest and dividend income and other expenses</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(1,190</w:t>
            </w:r>
          </w:p>
        </w:tc>
        <w:tc>
          <w:tcPr>
            <w:tcW w:w="1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2,852</w:t>
            </w:r>
          </w:p>
        </w:tc>
        <w:tc>
          <w:tcPr>
            <w:tcW w:w="214" w:type="dxa"/>
            <w:tcBorders/>
            <w:vAlign w:val="center"/>
          </w:tcPr>
          <w:p>
            <w:pPr>
              <w:pStyle w:val="TableContents"/>
              <w:bidi w:val="0"/>
              <w:spacing w:before="0" w:after="0"/>
              <w:ind w:left="0" w:right="0" w:hanging="0"/>
              <w:jc w:val="left"/>
              <w:rPr/>
            </w:pPr>
            <w:r>
              <w:rPr/>
              <w:t> </w:t>
            </w:r>
          </w:p>
        </w:tc>
      </w:tr>
      <w:tr>
        <w:trPr/>
        <w:tc>
          <w:tcPr>
            <w:tcW w:w="50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2,895</w:t>
            </w:r>
          </w:p>
        </w:tc>
        <w:tc>
          <w:tcPr>
            <w:tcW w:w="169"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3,807</w:t>
            </w:r>
          </w:p>
        </w:tc>
        <w:tc>
          <w:tcPr>
            <w:tcW w:w="214" w:type="dxa"/>
            <w:tcBorders/>
            <w:vAlign w:val="center"/>
          </w:tcPr>
          <w:p>
            <w:pPr>
              <w:pStyle w:val="TableContents"/>
              <w:bidi w:val="0"/>
              <w:spacing w:before="0" w:after="0"/>
              <w:ind w:left="0" w:right="0" w:hanging="0"/>
              <w:jc w:val="left"/>
              <w:rPr/>
            </w:pPr>
            <w:r>
              <w:rPr/>
              <w:t> </w:t>
            </w:r>
          </w:p>
        </w:tc>
      </w:tr>
      <w:tr>
        <w:trPr/>
        <w:tc>
          <w:tcPr>
            <w:tcW w:w="50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lease intangible</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w:t>
            </w:r>
          </w:p>
        </w:tc>
        <w:tc>
          <w:tcPr>
            <w:tcW w:w="169"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w:t>
            </w:r>
          </w:p>
        </w:tc>
        <w:tc>
          <w:tcPr>
            <w:tcW w:w="214" w:type="dxa"/>
            <w:tcBorders/>
            <w:vAlign w:val="center"/>
          </w:tcPr>
          <w:p>
            <w:pPr>
              <w:pStyle w:val="TableContents"/>
              <w:bidi w:val="0"/>
              <w:spacing w:before="0" w:after="0"/>
              <w:ind w:left="0" w:right="0" w:hanging="0"/>
              <w:jc w:val="left"/>
              <w:rPr/>
            </w:pPr>
            <w:r>
              <w:rPr/>
              <w:t> </w:t>
            </w:r>
          </w:p>
        </w:tc>
      </w:tr>
      <w:tr>
        <w:trPr/>
        <w:tc>
          <w:tcPr>
            <w:tcW w:w="50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(Benefit) provision for income taxes</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1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(559</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 based compensation</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5,798</w:t>
            </w:r>
          </w:p>
        </w:tc>
        <w:tc>
          <w:tcPr>
            <w:tcW w:w="169"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8,935</w:t>
            </w:r>
          </w:p>
        </w:tc>
        <w:tc>
          <w:tcPr>
            <w:tcW w:w="214" w:type="dxa"/>
            <w:tcBorders/>
            <w:vAlign w:val="center"/>
          </w:tcPr>
          <w:p>
            <w:pPr>
              <w:pStyle w:val="TableContents"/>
              <w:bidi w:val="0"/>
              <w:spacing w:before="0" w:after="0"/>
              <w:ind w:left="0" w:right="0" w:hanging="0"/>
              <w:jc w:val="left"/>
              <w:rPr/>
            </w:pPr>
            <w:r>
              <w:rPr/>
              <w:t> </w:t>
            </w:r>
          </w:p>
        </w:tc>
      </w:tr>
      <w:tr>
        <w:trPr/>
        <w:tc>
          <w:tcPr>
            <w:tcW w:w="50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 abandonment</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8,706</w:t>
            </w:r>
          </w:p>
        </w:tc>
        <w:tc>
          <w:tcPr>
            <w:tcW w:w="169"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214" w:type="dxa"/>
            <w:tcBorders/>
            <w:vAlign w:val="center"/>
          </w:tcPr>
          <w:p>
            <w:pPr>
              <w:pStyle w:val="TableContents"/>
              <w:bidi w:val="0"/>
              <w:spacing w:before="0" w:after="0"/>
              <w:ind w:left="0" w:right="0" w:hanging="0"/>
              <w:jc w:val="left"/>
              <w:rPr/>
            </w:pPr>
            <w:r>
              <w:rPr/>
              <w:t> </w:t>
            </w:r>
          </w:p>
        </w:tc>
      </w:tr>
      <w:tr>
        <w:trPr/>
        <w:tc>
          <w:tcPr>
            <w:tcW w:w="50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Acquisition and other</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w:t>
            </w:r>
          </w:p>
        </w:tc>
        <w:tc>
          <w:tcPr>
            <w:tcW w:w="169"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(1,284</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Charitable contribution of common stock</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pPr>
            <w:r>
              <w:rPr/>
              <w:t>—</w:t>
            </w:r>
          </w:p>
        </w:tc>
        <w:tc>
          <w:tcPr>
            <w:tcW w:w="169"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1,285</w:t>
            </w:r>
          </w:p>
        </w:tc>
        <w:tc>
          <w:tcPr>
            <w:tcW w:w="214" w:type="dxa"/>
            <w:tcBorders/>
            <w:vAlign w:val="center"/>
          </w:tcPr>
          <w:p>
            <w:pPr>
              <w:pStyle w:val="TableContents"/>
              <w:bidi w:val="0"/>
              <w:spacing w:before="0" w:after="0"/>
              <w:ind w:left="0" w:right="0" w:hanging="0"/>
              <w:jc w:val="left"/>
              <w:rPr/>
            </w:pPr>
            <w:r>
              <w:rPr/>
              <w:t> </w:t>
            </w:r>
          </w:p>
        </w:tc>
      </w:tr>
      <w:tr>
        <w:trPr/>
        <w:tc>
          <w:tcPr>
            <w:tcW w:w="50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from unconsolidated joint venture</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w:t>
            </w:r>
          </w:p>
        </w:tc>
        <w:tc>
          <w:tcPr>
            <w:tcW w:w="1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Impairment of assets</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w:t>
            </w:r>
          </w:p>
        </w:tc>
        <w:tc>
          <w:tcPr>
            <w:tcW w:w="169"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214" w:type="dxa"/>
            <w:tcBorders/>
            <w:vAlign w:val="center"/>
          </w:tcPr>
          <w:p>
            <w:pPr>
              <w:pStyle w:val="TableContents"/>
              <w:bidi w:val="0"/>
              <w:spacing w:before="0" w:after="0"/>
              <w:ind w:left="0" w:right="0" w:hanging="0"/>
              <w:jc w:val="left"/>
              <w:rPr/>
            </w:pPr>
            <w:r>
              <w:rPr/>
              <w:t> </w:t>
            </w:r>
          </w:p>
        </w:tc>
      </w:tr>
      <w:tr>
        <w:trPr/>
        <w:tc>
          <w:tcPr>
            <w:tcW w:w="50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Restructuring charge</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738</w:t>
            </w:r>
          </w:p>
        </w:tc>
        <w:tc>
          <w:tcPr>
            <w:tcW w:w="169"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214" w:type="dxa"/>
            <w:tcBorders/>
            <w:vAlign w:val="center"/>
          </w:tcPr>
          <w:p>
            <w:pPr>
              <w:pStyle w:val="TableContents"/>
              <w:bidi w:val="0"/>
              <w:spacing w:before="0" w:after="0"/>
              <w:ind w:left="0" w:right="0" w:hanging="0"/>
              <w:jc w:val="left"/>
              <w:rPr/>
            </w:pPr>
            <w:r>
              <w:rPr/>
              <w:t> </w:t>
            </w:r>
          </w:p>
        </w:tc>
      </w:tr>
      <w:tr>
        <w:trPr/>
        <w:tc>
          <w:tcPr>
            <w:tcW w:w="50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Costs to exit the supplies business</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(8,658</w:t>
            </w:r>
          </w:p>
        </w:tc>
        <w:tc>
          <w:tcPr>
            <w:tcW w:w="1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 w:type="dxa"/>
            <w:tcBorders/>
            <w:vAlign w:val="center"/>
          </w:tcPr>
          <w:p>
            <w:pPr>
              <w:pStyle w:val="TableContents"/>
              <w:bidi w:val="0"/>
              <w:spacing w:before="0" w:after="0"/>
              <w:ind w:left="0" w:right="0" w:hanging="0"/>
              <w:jc w:val="left"/>
              <w:rPr/>
            </w:pPr>
            <w:r>
              <w:rPr/>
              <w:t> </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(20,425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(21,026</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360" w:after="0"/>
        <w:jc w:val="left"/>
        <w:rPr>
          <w:rFonts w:ascii="Times New Roman" w:hAnsi="Times New Roman"/>
          <w:sz w:val="20"/>
        </w:rPr>
      </w:pPr>
      <w:r>
        <w:rPr>
          <w:rFonts w:ascii="Times New Roman;serif" w:hAnsi="Times New Roman;serif"/>
          <w:b/>
          <w:i/>
          <w:sz w:val="20"/>
        </w:rPr>
        <w:t>Non-GAAP Net Loss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define Non-GAAP net loss, as net loss adjusted for depreciation and amortization, stock-based compensation expense, amortization of lease intangible, amortization of deferred costs on convertible notes, losses on marketable securities, loss on sale of property and equipment, charitable contributions of common stock, impairment of assets, lease abandonment and termination, restructuring charges, costs to exit the supplies business and acquisition and other adjustments not reflective of the Company's ongoing business, such as adjustments related to purchase accounting, the revaluation of contingent consideration and transaction costs.</w:t>
      </w:r>
      <w:r>
        <w:rPr>
          <w:rFonts w:ascii="Times New Roman" w:hAnsi="Times New Roman"/>
          <w:sz w:val="20"/>
        </w:rPr>
        <w:t xml:space="preserve"> </w:t>
      </w:r>
    </w:p>
    <w:tbl>
      <w:tblPr>
        <w:tblW w:w="9357" w:type="dxa"/>
        <w:jc w:val="left"/>
        <w:tblInd w:w="0" w:type="dxa"/>
        <w:tblLayout w:type="fixed"/>
        <w:tblCellMar>
          <w:top w:w="28" w:type="dxa"/>
          <w:left w:w="28" w:type="dxa"/>
          <w:bottom w:w="28" w:type="dxa"/>
          <w:right w:w="28" w:type="dxa"/>
        </w:tblCellMar>
      </w:tblPr>
      <w:tblGrid>
        <w:gridCol w:w="4276"/>
        <w:gridCol w:w="146"/>
        <w:gridCol w:w="211"/>
        <w:gridCol w:w="736"/>
        <w:gridCol w:w="166"/>
        <w:gridCol w:w="146"/>
        <w:gridCol w:w="211"/>
        <w:gridCol w:w="736"/>
        <w:gridCol w:w="166"/>
        <w:gridCol w:w="146"/>
        <w:gridCol w:w="211"/>
        <w:gridCol w:w="736"/>
        <w:gridCol w:w="166"/>
        <w:gridCol w:w="146"/>
        <w:gridCol w:w="211"/>
        <w:gridCol w:w="736"/>
        <w:gridCol w:w="21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Three Months</w:t>
              <w:br/>
              <w:t>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w:t>
              <w:br/>
              <w:t>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Non-GAAP Net Loss: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(26,559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(16,549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(44,902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(36,544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 (deduct):</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3,807</w:t>
            </w:r>
          </w:p>
        </w:tc>
        <w:tc>
          <w:tcPr>
            <w:tcW w:w="211" w:type="dxa"/>
            <w:tcBorders/>
            <w:vAlign w:val="center"/>
          </w:tcPr>
          <w:p>
            <w:pPr>
              <w:pStyle w:val="TableContents"/>
              <w:bidi w:val="0"/>
              <w:spacing w:before="0" w:after="0"/>
              <w:ind w:left="0" w:right="0" w:hanging="0"/>
              <w:jc w:val="left"/>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8,935</w:t>
            </w:r>
          </w:p>
        </w:tc>
        <w:tc>
          <w:tcPr>
            <w:tcW w:w="211" w:type="dxa"/>
            <w:tcBorders/>
            <w:vAlign w:val="center"/>
          </w:tcPr>
          <w:p>
            <w:pPr>
              <w:pStyle w:val="TableContents"/>
              <w:bidi w:val="0"/>
              <w:spacing w:before="0" w:after="0"/>
              <w:ind w:left="0" w:right="0" w:hanging="0"/>
              <w:jc w:val="left"/>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lease intangible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w:t>
            </w:r>
          </w:p>
        </w:tc>
        <w:tc>
          <w:tcPr>
            <w:tcW w:w="211" w:type="dxa"/>
            <w:tcBorders/>
            <w:vAlign w:val="center"/>
          </w:tcPr>
          <w:p>
            <w:pPr>
              <w:pStyle w:val="TableContents"/>
              <w:bidi w:val="0"/>
              <w:spacing w:before="0" w:after="0"/>
              <w:ind w:left="0" w:right="0" w:hanging="0"/>
              <w:jc w:val="left"/>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deferred costs on convertible notes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781</w:t>
            </w:r>
          </w:p>
        </w:tc>
        <w:tc>
          <w:tcPr>
            <w:tcW w:w="211" w:type="dxa"/>
            <w:tcBorders/>
            <w:vAlign w:val="center"/>
          </w:tcPr>
          <w:p>
            <w:pPr>
              <w:pStyle w:val="TableContents"/>
              <w:bidi w:val="0"/>
              <w:spacing w:before="0" w:after="0"/>
              <w:ind w:left="0" w:right="0" w:hanging="0"/>
              <w:jc w:val="left"/>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1,190</w:t>
            </w:r>
          </w:p>
        </w:tc>
        <w:tc>
          <w:tcPr>
            <w:tcW w:w="211" w:type="dxa"/>
            <w:tcBorders/>
            <w:vAlign w:val="center"/>
          </w:tcPr>
          <w:p>
            <w:pPr>
              <w:pStyle w:val="TableContents"/>
              <w:bidi w:val="0"/>
              <w:spacing w:before="0" w:after="0"/>
              <w:ind w:left="0" w:right="0" w:hanging="0"/>
              <w:jc w:val="left"/>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Acquisition and other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sale of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211" w:type="dxa"/>
            <w:tcBorders/>
            <w:vAlign w:val="center"/>
          </w:tcPr>
          <w:p>
            <w:pPr>
              <w:pStyle w:val="TableContents"/>
              <w:bidi w:val="0"/>
              <w:spacing w:before="0" w:after="0"/>
              <w:ind w:left="0" w:right="0" w:hanging="0"/>
              <w:jc w:val="left"/>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Charitable contribution of common stock</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1,285</w:t>
            </w:r>
          </w:p>
        </w:tc>
        <w:tc>
          <w:tcPr>
            <w:tcW w:w="211" w:type="dxa"/>
            <w:tcBorders/>
            <w:vAlign w:val="center"/>
          </w:tcPr>
          <w:p>
            <w:pPr>
              <w:pStyle w:val="TableContents"/>
              <w:bidi w:val="0"/>
              <w:spacing w:before="0" w:after="0"/>
              <w:ind w:left="0" w:right="0" w:hanging="0"/>
              <w:jc w:val="left"/>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 abandonment and termination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Impairment of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211" w:type="dxa"/>
            <w:tcBorders/>
            <w:vAlign w:val="center"/>
          </w:tcPr>
          <w:p>
            <w:pPr>
              <w:pStyle w:val="TableContents"/>
              <w:bidi w:val="0"/>
              <w:spacing w:before="0" w:after="0"/>
              <w:ind w:left="0" w:right="0" w:hanging="0"/>
              <w:jc w:val="left"/>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Restructuring charge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Costs to exit the supplies business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Non-GAAP 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(6,627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(8,447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(20,974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For the three months ended June 30, 2023, Non-GAAP net loss decreased to $(6.6) million, as compared to Non-GAAP net loss of $(8.4) million for the same quarter in 2022. For the quarter ended June 30, 2023, Non-GAAP net loss decreased to (6)% of revenue, as compared to (9)% of revenue for the same quarter in 2022.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For the six months ended June 30, 2023, Non-GAAP net loss decreased to $(16.4) million, as compared to Non-GAAP net loss of $(21.0) million for the same period in 2022. For the six months ended June 30, 2023, Non-GAAP net loss decreased to (8)% of revenue, as compared to (12)% of revenue for the same period in 2022.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Adjusted EBITDA and Non-GAAP net loss are non-GAAP financial measures that we use, in addition to our GAAP financial measures, to evaluate our business. We have included Adjusted EBITDA and Non-GAAP net loss in this filing because they are key measures used by our management to evaluate our operating performance. Accordingly, we believe that Adjusted EBITDA and Non-GAAP net loss provide useful information to investors and others in understanding and evaluating our operating results in the same manner as our management team and board of directors. Our calculation of Adjusted EBITDA and Non-GAAP net loss may differ from similarly titled non-GAAP measures, if any, reported by our peer companies and therefore may not serve as an accurate basis of comparison among companies. Adjusted EBITDA and Non-GAAP net loss should not be considered in isolation from, or as a substitute for, financial information prepared in accordance with GAAP.</w:t>
      </w:r>
      <w:r>
        <w:rPr>
          <w:rFonts w:ascii="Times New Roman" w:hAnsi="Times New Roman"/>
          <w:sz w:val="20"/>
        </w:rPr>
        <w:t xml:space="preserve"> </w:t>
      </w:r>
    </w:p>
    <w:p>
      <w:pPr>
        <w:pStyle w:val="TextBody"/>
        <w:bidi w:val="0"/>
        <w:spacing w:before="360" w:after="0"/>
        <w:jc w:val="center"/>
        <w:rPr>
          <w:rFonts w:ascii="Times New Roman" w:hAnsi="Times New Roman"/>
          <w:sz w:val="20"/>
        </w:rPr>
      </w:pPr>
      <w:r>
        <w:rPr>
          <w:rFonts w:ascii="Times New Roman;serif" w:hAnsi="Times New Roman;serif"/>
          <w:b/>
          <w:sz w:val="20"/>
        </w:rPr>
        <w:t>Components of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marketplace revenue is primarily comprised of sales to customers through our platform. Buyers purchase specialized CNC manufacturing, sheet metal manufacturing, 3D printing, injection molding, urethane casting, tube cutting, tube bending and finishing services. Customer purchases range from rapid prototyping of single parts to high-volume production on our marketplace. These products are primarily manufactured by our network of suppliers.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Supplier services revenue includes the sale of marketing and advertising services, and to a lesser extent financial service products, SaaS-based solutions and the sale of supplies.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Cost of 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Marketplace cost of revenue primarily consists of the cost to us of the products that are manufactured or produced by us or our suppliers for delivery to buyers on our platform, internal and external production costs, shipping costs and certain internal depreciation. We expect cost of revenue to increase in absolute dollars to the extent our revenue increases and transaction volume increases. As we grow and add suppliers to our platform, we are able to improve our pricing efficiency, we expect cost of revenue to decline as a percentage of revenue over time.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 of revenue for supplier services primarily consists of internal and external production costs and website hosting.</w:t>
      </w:r>
    </w:p>
    <w:p>
      <w:pPr>
        <w:pStyle w:val="TextBody"/>
        <w:bidi w:val="0"/>
        <w:spacing w:before="120" w:after="0"/>
        <w:jc w:val="left"/>
        <w:rPr>
          <w:rFonts w:ascii="Times New Roman" w:hAnsi="Times New Roman"/>
          <w:sz w:val="20"/>
        </w:rPr>
      </w:pPr>
      <w:r>
        <w:rPr>
          <w:rFonts w:ascii="Times New Roman;serif" w:hAnsi="Times New Roman;serif"/>
          <w:b/>
          <w:i/>
          <w:sz w:val="20"/>
        </w:rPr>
        <w:t>Gross Profit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Gross profit, or revenue less cost of revenue, is primarily affected by the growth of our revenue. Our gross profit margin is primarily affected by liquidity of our suppliers’ network and the efficiency of our pricing and will be benefited by increasing the use of existing supplier services and the variety of supplier services offerings over time.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operating expenses consist of sales and marketing, operations and support, product development and general and administrative functions.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Sales and Marketing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Sales and marketing expenses are expensed as incurred and include the costs of our digital marketing strategies, branding costs and other advertising costs, certain depreciation and amortization expense, contract acquisition costs and compensation expenses, including stock-based compensation, to our sales and marketing employees. We intend to continue to invest in our sales and marketing capabilities in the future to continue to increase our brand awareness, add new accounts and further penetrate existing accounts. We expect sales and marketing expense to increase in absolute dollars in the future as we grow our business, though in the near-term sales and marketing expenses may fluctuate from period-to-period based on the timing of our investments in our sales and marketing functions as these investments may vary in scope and scale over future periods.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Operations and Support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Operations and support expenses are the costs we incur in support of the buyers and suppliers on our platform which are provided by phone, email and chat for purposes of resolving buyer and suppliers related matters. These costs primarily consist of compensation expenses of the support staff, including stock-based compensation, certain depreciation and amortization expense and software costs used in delivering buyer and suppliers services. We expect operations and support expense to increase in absolute</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dollars in the future, though in the near-term operations and support expenses may fluctuate from period-to-period based on total revenue levels and the timing of our investments in our operations and support functions as these investments may vary in scope and scale over future periods.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Product Development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Product development costs which are not eligible for capitalization are expensed as incurred. This account also includes compensation expenses, including stock-based compensation expenses to our employees performing these functions and certain depreciation and amortization expense. We expect product development expense to increase in absolute dollars in the future, though in the near-term product development expenses may fluctuate from period-to-period based on total revenue levels and the timing of our investments in our product development functions as these investments may vary in scope and scale over future periods.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General and Administrative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General and administrative expenses primarily consist of compensation expenses, including stock-based compensation expenses, for executive, finance, legal and other administrative personnel, professional service fees and certain depreciation and amortization expense. We expect our general and administrative expenses to increase. We expect to incur additional general and administrative expenses as a result of operating as a public company, including as a result of increased legal, accounting, and other professional services.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Other (Expenses) Income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Interest Expense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Interest expense consists of interest incurred on our outstanding borrowings under our outstanding convertible notes or other borrowings.</w:t>
      </w:r>
      <w:r>
        <w:rPr>
          <w:rFonts w:ascii="Times New Roman" w:hAnsi="Times New Roman"/>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Interest and Dividend Income</w:t>
      </w:r>
    </w:p>
    <w:p>
      <w:pPr>
        <w:pStyle w:val="TextBody"/>
        <w:bidi w:val="0"/>
        <w:spacing w:before="120" w:after="0"/>
        <w:jc w:val="left"/>
        <w:rPr>
          <w:rFonts w:ascii="Times New Roman" w:hAnsi="Times New Roman"/>
          <w:sz w:val="20"/>
        </w:rPr>
      </w:pPr>
      <w:r>
        <w:rPr>
          <w:rFonts w:ascii="Times New Roman;serif" w:hAnsi="Times New Roman;serif"/>
          <w:b w:val="false"/>
          <w:sz w:val="20"/>
        </w:rPr>
        <w:t>Interest and dividend income consists of interest and dividends on our cash, cash equivalents and marketable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Other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Other expenses consist primarily of realized and/or unrealized losses and other expenses.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Income from Unconsolidated Joint Venture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Income from unconsolidated joint venture consists of our share of the joint venture's income.</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Comparison of the Three Months Ended June 30, 2023 and 2022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following table sets forth our unaudited statements of operations data for the periods indicated:</w:t>
      </w:r>
      <w:r>
        <w:rPr>
          <w:rFonts w:ascii="Times New Roman" w:hAnsi="Times New Roman"/>
          <w:sz w:val="20"/>
        </w:rPr>
        <w:t xml:space="preserve"> </w:t>
      </w:r>
    </w:p>
    <w:tbl>
      <w:tblPr>
        <w:tblW w:w="7671" w:type="dxa"/>
        <w:jc w:val="left"/>
        <w:tblInd w:w="0" w:type="dxa"/>
        <w:tblLayout w:type="fixed"/>
        <w:tblCellMar>
          <w:top w:w="28" w:type="dxa"/>
          <w:left w:w="28" w:type="dxa"/>
          <w:bottom w:w="28" w:type="dxa"/>
          <w:right w:w="28" w:type="dxa"/>
        </w:tblCellMar>
      </w:tblPr>
      <w:tblGrid>
        <w:gridCol w:w="4651"/>
        <w:gridCol w:w="146"/>
        <w:gridCol w:w="212"/>
        <w:gridCol w:w="786"/>
        <w:gridCol w:w="167"/>
        <w:gridCol w:w="146"/>
        <w:gridCol w:w="212"/>
        <w:gridCol w:w="740"/>
        <w:gridCol w:w="61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6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3"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611" w:type="dxa"/>
            <w:tcBorders/>
            <w:vAlign w:val="center"/>
          </w:tcPr>
          <w:p>
            <w:pPr>
              <w:pStyle w:val="TableContents"/>
              <w:bidi w:val="0"/>
              <w:spacing w:before="0" w:after="0"/>
              <w:ind w:left="0" w:right="0" w:hanging="0"/>
              <w:jc w:val="center"/>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111,008</w:t>
            </w:r>
          </w:p>
        </w:tc>
        <w:tc>
          <w:tcPr>
            <w:tcW w:w="16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95,615</w:t>
            </w:r>
          </w:p>
        </w:tc>
        <w:tc>
          <w:tcPr>
            <w:tcW w:w="611" w:type="dxa"/>
            <w:tcBorders/>
            <w:vAlign w:val="center"/>
          </w:tcPr>
          <w:p>
            <w:pPr>
              <w:pStyle w:val="TableContents"/>
              <w:bidi w:val="0"/>
              <w:spacing w:before="0" w:after="0"/>
              <w:ind w:left="0" w:right="0" w:hanging="0"/>
              <w:jc w:val="lef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67,452</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57,919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43,556</w:t>
            </w:r>
          </w:p>
        </w:tc>
        <w:tc>
          <w:tcPr>
            <w:tcW w:w="16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37,696</w:t>
            </w:r>
          </w:p>
        </w:tc>
        <w:tc>
          <w:tcPr>
            <w:tcW w:w="611" w:type="dxa"/>
            <w:tcBorders/>
            <w:vAlign w:val="center"/>
          </w:tcPr>
          <w:p>
            <w:pPr>
              <w:pStyle w:val="TableContents"/>
              <w:bidi w:val="0"/>
              <w:spacing w:before="0" w:after="0"/>
              <w:ind w:left="0" w:right="0" w:hanging="0"/>
              <w:jc w:val="lef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98" w:type="dxa"/>
            <w:gridSpan w:val="2"/>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5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22,666</w:t>
            </w:r>
          </w:p>
        </w:tc>
        <w:tc>
          <w:tcPr>
            <w:tcW w:w="16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18,145</w:t>
            </w:r>
          </w:p>
        </w:tc>
        <w:tc>
          <w:tcPr>
            <w:tcW w:w="611" w:type="dxa"/>
            <w:tcBorders/>
            <w:vAlign w:val="center"/>
          </w:tcPr>
          <w:p>
            <w:pPr>
              <w:pStyle w:val="TableContents"/>
              <w:bidi w:val="0"/>
              <w:spacing w:before="0" w:after="0"/>
              <w:ind w:left="0" w:right="0" w:firstLine="200"/>
              <w:jc w:val="lef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Operations and support</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14,220</w:t>
            </w:r>
          </w:p>
        </w:tc>
        <w:tc>
          <w:tcPr>
            <w:tcW w:w="16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12,180</w:t>
            </w:r>
          </w:p>
        </w:tc>
        <w:tc>
          <w:tcPr>
            <w:tcW w:w="611" w:type="dxa"/>
            <w:tcBorders/>
            <w:vAlign w:val="center"/>
          </w:tcPr>
          <w:p>
            <w:pPr>
              <w:pStyle w:val="TableContents"/>
              <w:bidi w:val="0"/>
              <w:spacing w:before="0" w:after="0"/>
              <w:ind w:left="0" w:right="0" w:firstLine="200"/>
              <w:jc w:val="lef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Product development</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8,922</w:t>
            </w:r>
          </w:p>
        </w:tc>
        <w:tc>
          <w:tcPr>
            <w:tcW w:w="16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7,796</w:t>
            </w:r>
          </w:p>
        </w:tc>
        <w:tc>
          <w:tcPr>
            <w:tcW w:w="611" w:type="dxa"/>
            <w:tcBorders/>
            <w:vAlign w:val="center"/>
          </w:tcPr>
          <w:p>
            <w:pPr>
              <w:pStyle w:val="TableContents"/>
              <w:bidi w:val="0"/>
              <w:spacing w:before="0" w:after="0"/>
              <w:ind w:left="0" w:right="0" w:firstLine="200"/>
              <w:jc w:val="lef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25,582</w:t>
            </w:r>
          </w:p>
        </w:tc>
        <w:tc>
          <w:tcPr>
            <w:tcW w:w="16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15,057</w:t>
            </w:r>
          </w:p>
        </w:tc>
        <w:tc>
          <w:tcPr>
            <w:tcW w:w="611" w:type="dxa"/>
            <w:tcBorders/>
            <w:vAlign w:val="center"/>
          </w:tcPr>
          <w:p>
            <w:pPr>
              <w:pStyle w:val="TableContents"/>
              <w:bidi w:val="0"/>
              <w:spacing w:before="0" w:after="0"/>
              <w:ind w:left="0" w:right="0" w:firstLine="200"/>
              <w:jc w:val="lef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Impairment of assets</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6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71,609</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53,297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(28,053</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(15,601</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(expenses):</w:t>
            </w:r>
          </w:p>
        </w:tc>
        <w:tc>
          <w:tcPr>
            <w:tcW w:w="146" w:type="dxa"/>
            <w:tcBorders/>
            <w:vAlign w:val="center"/>
          </w:tcPr>
          <w:p>
            <w:pPr>
              <w:pStyle w:val="TableContents"/>
              <w:bidi w:val="0"/>
              <w:spacing w:before="0" w:after="0"/>
              <w:ind w:left="0" w:right="0" w:hanging="0"/>
              <w:jc w:val="left"/>
              <w:rPr/>
            </w:pPr>
            <w:r>
              <w:rPr/>
              <w:t> </w:t>
            </w:r>
          </w:p>
        </w:tc>
        <w:tc>
          <w:tcPr>
            <w:tcW w:w="998" w:type="dxa"/>
            <w:gridSpan w:val="2"/>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5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(1,193</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2"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(1,209</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and dividend income</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2,959</w:t>
            </w:r>
          </w:p>
        </w:tc>
        <w:tc>
          <w:tcPr>
            <w:tcW w:w="16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2"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w:t>
            </w:r>
          </w:p>
        </w:tc>
        <w:tc>
          <w:tcPr>
            <w:tcW w:w="611" w:type="dxa"/>
            <w:tcBorders/>
            <w:vAlign w:val="center"/>
          </w:tcPr>
          <w:p>
            <w:pPr>
              <w:pStyle w:val="TableContents"/>
              <w:bidi w:val="0"/>
              <w:spacing w:before="0" w:after="0"/>
              <w:ind w:left="0" w:right="0" w:firstLine="200"/>
              <w:jc w:val="lef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expenses</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(576</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2"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from unconsolidated joint venture</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6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income (expenses)</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1,427</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(948</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(26,626</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(16,549</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Benefit for income taxes</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(26,559</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(16,549</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 income attributable to noncontrolling interest</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common stockholders</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(26,554</w:t>
            </w:r>
          </w:p>
        </w:tc>
        <w:tc>
          <w:tcPr>
            <w:tcW w:w="1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(16,553</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following table sets forth our unaudited statements of operations data expressed as a percentage of total revenue for the periods indicated:</w:t>
      </w:r>
      <w:r>
        <w:rPr>
          <w:rFonts w:ascii="Times New Roman" w:hAnsi="Times New Roman"/>
          <w:sz w:val="20"/>
        </w:rPr>
        <w:t xml:space="preserve"> </w:t>
      </w:r>
    </w:p>
    <w:tbl>
      <w:tblPr>
        <w:tblW w:w="7838" w:type="dxa"/>
        <w:jc w:val="left"/>
        <w:tblInd w:w="0" w:type="dxa"/>
        <w:tblLayout w:type="fixed"/>
        <w:tblCellMar>
          <w:top w:w="28" w:type="dxa"/>
          <w:left w:w="28" w:type="dxa"/>
          <w:bottom w:w="28" w:type="dxa"/>
          <w:right w:w="28" w:type="dxa"/>
        </w:tblCellMar>
      </w:tblPr>
      <w:tblGrid>
        <w:gridCol w:w="4651"/>
        <w:gridCol w:w="146"/>
        <w:gridCol w:w="173"/>
        <w:gridCol w:w="677"/>
        <w:gridCol w:w="392"/>
        <w:gridCol w:w="173"/>
        <w:gridCol w:w="173"/>
        <w:gridCol w:w="677"/>
        <w:gridCol w:w="776"/>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46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3" w:type="dxa"/>
            <w:tcBorders/>
            <w:vAlign w:val="center"/>
          </w:tcPr>
          <w:p>
            <w:pPr>
              <w:pStyle w:val="TableContents"/>
              <w:bidi w:val="0"/>
              <w:spacing w:before="0" w:after="0"/>
              <w:ind w:left="0" w:right="0" w:hanging="0"/>
              <w:jc w:val="left"/>
              <w:rPr/>
            </w:pPr>
            <w:r>
              <w:rPr/>
              <w:t> </w:t>
            </w:r>
          </w:p>
        </w:tc>
        <w:tc>
          <w:tcPr>
            <w:tcW w:w="8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0" w:type="dxa"/>
            <w:gridSpan w:val="2"/>
            <w:tcBorders/>
            <w:vAlign w:val="center"/>
          </w:tcPr>
          <w:p>
            <w:pPr>
              <w:pStyle w:val="TableContents"/>
              <w:bidi w:val="0"/>
              <w:spacing w:before="0" w:after="0"/>
              <w:ind w:left="0" w:right="0" w:hanging="0"/>
              <w:jc w:val="center"/>
              <w:rPr/>
            </w:pPr>
            <w:r>
              <w:rPr/>
              <w:t> </w:t>
            </w:r>
          </w:p>
        </w:tc>
        <w:tc>
          <w:tcPr>
            <w:tcW w:w="392" w:type="dxa"/>
            <w:tcBorders/>
            <w:vAlign w:val="center"/>
          </w:tcPr>
          <w:p>
            <w:pPr>
              <w:pStyle w:val="TableContents"/>
              <w:bidi w:val="0"/>
              <w:spacing w:before="0" w:after="0"/>
              <w:ind w:left="0" w:right="0" w:hanging="0"/>
              <w:jc w:val="center"/>
              <w:rPr/>
            </w:pPr>
            <w:r>
              <w:rPr/>
              <w:t> </w:t>
            </w:r>
          </w:p>
        </w:tc>
        <w:tc>
          <w:tcPr>
            <w:tcW w:w="173" w:type="dxa"/>
            <w:tcBorders/>
            <w:vAlign w:val="center"/>
          </w:tcPr>
          <w:p>
            <w:pPr>
              <w:pStyle w:val="TableContents"/>
              <w:bidi w:val="0"/>
              <w:spacing w:before="0" w:after="0"/>
              <w:ind w:left="0" w:right="0" w:hanging="0"/>
              <w:jc w:val="left"/>
              <w:rPr/>
            </w:pPr>
            <w:r>
              <w:rPr/>
              <w:t> </w:t>
            </w:r>
          </w:p>
        </w:tc>
        <w:tc>
          <w:tcPr>
            <w:tcW w:w="850" w:type="dxa"/>
            <w:gridSpan w:val="2"/>
            <w:tcBorders/>
            <w:vAlign w:val="center"/>
          </w:tcPr>
          <w:p>
            <w:pPr>
              <w:pStyle w:val="TableContents"/>
              <w:bidi w:val="0"/>
              <w:spacing w:before="0" w:after="0"/>
              <w:ind w:left="0" w:right="0" w:hanging="0"/>
              <w:jc w:val="center"/>
              <w:rPr/>
            </w:pPr>
            <w:r>
              <w:rPr/>
              <w:t> </w:t>
            </w:r>
          </w:p>
        </w:tc>
        <w:tc>
          <w:tcPr>
            <w:tcW w:w="776" w:type="dxa"/>
            <w:tcBorders/>
            <w:vAlign w:val="center"/>
          </w:tcPr>
          <w:p>
            <w:pPr>
              <w:pStyle w:val="TableContents"/>
              <w:bidi w:val="0"/>
              <w:spacing w:before="0" w:after="0"/>
              <w:ind w:left="0" w:right="0" w:hanging="0"/>
              <w:jc w:val="center"/>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60.8</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60.6</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850" w:type="dxa"/>
            <w:gridSpan w:val="2"/>
            <w:tcBorders/>
            <w:vAlign w:val="center"/>
          </w:tcPr>
          <w:p>
            <w:pPr>
              <w:pStyle w:val="TableContents"/>
              <w:bidi w:val="0"/>
              <w:spacing w:before="0" w:after="0"/>
              <w:ind w:left="0" w:right="0" w:hanging="0"/>
              <w:jc w:val="right"/>
              <w:rPr/>
            </w:pPr>
            <w:r>
              <w:rPr/>
              <w:t> </w:t>
            </w:r>
          </w:p>
        </w:tc>
        <w:tc>
          <w:tcPr>
            <w:tcW w:w="392" w:type="dxa"/>
            <w:tcBorders/>
            <w:vAlign w:val="center"/>
          </w:tcPr>
          <w:p>
            <w:pPr>
              <w:pStyle w:val="TableContents"/>
              <w:bidi w:val="0"/>
              <w:spacing w:before="0" w:after="0"/>
              <w:ind w:left="0" w:right="0" w:hanging="0"/>
              <w:jc w:val="right"/>
              <w:rPr/>
            </w:pPr>
            <w:r>
              <w:rPr/>
              <w:t> </w:t>
            </w:r>
          </w:p>
        </w:tc>
        <w:tc>
          <w:tcPr>
            <w:tcW w:w="173" w:type="dxa"/>
            <w:tcBorders/>
            <w:vAlign w:val="center"/>
          </w:tcPr>
          <w:p>
            <w:pPr>
              <w:pStyle w:val="TableContents"/>
              <w:bidi w:val="0"/>
              <w:spacing w:before="0" w:after="0"/>
              <w:ind w:left="0" w:right="0" w:hanging="0"/>
              <w:jc w:val="left"/>
              <w:rPr/>
            </w:pPr>
            <w:r>
              <w:rPr/>
              <w:t> </w:t>
            </w:r>
          </w:p>
        </w:tc>
        <w:tc>
          <w:tcPr>
            <w:tcW w:w="850" w:type="dxa"/>
            <w:gridSpan w:val="2"/>
            <w:tcBorders/>
            <w:vAlign w:val="center"/>
          </w:tcPr>
          <w:p>
            <w:pPr>
              <w:pStyle w:val="TableContents"/>
              <w:bidi w:val="0"/>
              <w:spacing w:before="0" w:after="0"/>
              <w:ind w:left="0" w:right="0" w:hanging="0"/>
              <w:jc w:val="right"/>
              <w:rPr/>
            </w:pPr>
            <w:r>
              <w:rPr/>
              <w:t> </w:t>
            </w:r>
          </w:p>
        </w:tc>
        <w:tc>
          <w:tcPr>
            <w:tcW w:w="776" w:type="dxa"/>
            <w:tcBorders/>
            <w:vAlign w:val="center"/>
          </w:tcPr>
          <w:p>
            <w:pPr>
              <w:pStyle w:val="TableContents"/>
              <w:bidi w:val="0"/>
              <w:spacing w:before="0" w:after="0"/>
              <w:ind w:left="0" w:right="0" w:firstLine="200"/>
              <w:jc w:val="righ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w:t>
            </w:r>
          </w:p>
        </w:tc>
        <w:tc>
          <w:tcPr>
            <w:tcW w:w="3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w:t>
            </w:r>
          </w:p>
        </w:tc>
        <w:tc>
          <w:tcPr>
            <w:tcW w:w="7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Operations and support</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w:t>
            </w:r>
          </w:p>
        </w:tc>
        <w:tc>
          <w:tcPr>
            <w:tcW w:w="3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7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Product development</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3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7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w:t>
            </w:r>
          </w:p>
        </w:tc>
        <w:tc>
          <w:tcPr>
            <w:tcW w:w="3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7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Impairment of assets</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w:t>
            </w:r>
          </w:p>
        </w:tc>
        <w:tc>
          <w:tcPr>
            <w:tcW w:w="3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(expenses):</w:t>
            </w:r>
          </w:p>
        </w:tc>
        <w:tc>
          <w:tcPr>
            <w:tcW w:w="146" w:type="dxa"/>
            <w:tcBorders/>
            <w:vAlign w:val="center"/>
          </w:tcPr>
          <w:p>
            <w:pPr>
              <w:pStyle w:val="TableContents"/>
              <w:bidi w:val="0"/>
              <w:spacing w:before="0" w:after="0"/>
              <w:ind w:left="0" w:right="0" w:hanging="0"/>
              <w:jc w:val="left"/>
              <w:rPr/>
            </w:pPr>
            <w:r>
              <w:rPr/>
              <w:t> </w:t>
            </w:r>
          </w:p>
        </w:tc>
        <w:tc>
          <w:tcPr>
            <w:tcW w:w="850" w:type="dxa"/>
            <w:gridSpan w:val="2"/>
            <w:tcBorders/>
            <w:vAlign w:val="center"/>
          </w:tcPr>
          <w:p>
            <w:pPr>
              <w:pStyle w:val="TableContents"/>
              <w:bidi w:val="0"/>
              <w:spacing w:before="0" w:after="0"/>
              <w:ind w:left="0" w:right="0" w:hanging="0"/>
              <w:jc w:val="right"/>
              <w:rPr/>
            </w:pPr>
            <w:r>
              <w:rPr/>
              <w:t> </w:t>
            </w:r>
          </w:p>
        </w:tc>
        <w:tc>
          <w:tcPr>
            <w:tcW w:w="392" w:type="dxa"/>
            <w:tcBorders/>
            <w:vAlign w:val="center"/>
          </w:tcPr>
          <w:p>
            <w:pPr>
              <w:pStyle w:val="TableContents"/>
              <w:bidi w:val="0"/>
              <w:spacing w:before="0" w:after="0"/>
              <w:ind w:left="0" w:right="0" w:hanging="0"/>
              <w:jc w:val="right"/>
              <w:rPr/>
            </w:pPr>
            <w:r>
              <w:rPr/>
              <w:t> </w:t>
            </w:r>
          </w:p>
        </w:tc>
        <w:tc>
          <w:tcPr>
            <w:tcW w:w="173" w:type="dxa"/>
            <w:tcBorders/>
            <w:vAlign w:val="center"/>
          </w:tcPr>
          <w:p>
            <w:pPr>
              <w:pStyle w:val="TableContents"/>
              <w:bidi w:val="0"/>
              <w:spacing w:before="0" w:after="0"/>
              <w:ind w:left="0" w:right="0" w:hanging="0"/>
              <w:jc w:val="left"/>
              <w:rPr/>
            </w:pPr>
            <w:r>
              <w:rPr/>
              <w:t> </w:t>
            </w:r>
          </w:p>
        </w:tc>
        <w:tc>
          <w:tcPr>
            <w:tcW w:w="850" w:type="dxa"/>
            <w:gridSpan w:val="2"/>
            <w:tcBorders/>
            <w:vAlign w:val="center"/>
          </w:tcPr>
          <w:p>
            <w:pPr>
              <w:pStyle w:val="TableContents"/>
              <w:bidi w:val="0"/>
              <w:spacing w:before="0" w:after="0"/>
              <w:ind w:left="0" w:right="0" w:hanging="0"/>
              <w:jc w:val="right"/>
              <w:rPr/>
            </w:pPr>
            <w:r>
              <w:rPr/>
              <w:t> </w:t>
            </w:r>
          </w:p>
        </w:tc>
        <w:tc>
          <w:tcPr>
            <w:tcW w:w="776" w:type="dxa"/>
            <w:tcBorders/>
            <w:vAlign w:val="center"/>
          </w:tcPr>
          <w:p>
            <w:pPr>
              <w:pStyle w:val="TableContents"/>
              <w:bidi w:val="0"/>
              <w:spacing w:before="0" w:after="0"/>
              <w:ind w:left="0" w:right="0" w:firstLine="200"/>
              <w:jc w:val="righ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3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7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and dividend income</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3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7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expenses</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3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7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from unconsolidated joint venture</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income (expenses)</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w:t>
            </w:r>
          </w:p>
        </w:tc>
        <w:tc>
          <w:tcPr>
            <w:tcW w:w="3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w:t>
            </w:r>
          </w:p>
        </w:tc>
        <w:tc>
          <w:tcPr>
            <w:tcW w:w="776"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Benefit for income taxes</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common stockholders</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w:t>
            </w:r>
          </w:p>
        </w:tc>
        <w:tc>
          <w:tcPr>
            <w:tcW w:w="3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w:t>
            </w:r>
          </w:p>
        </w:tc>
        <w:tc>
          <w:tcPr>
            <w:tcW w:w="7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 income attributable to noncontrolling interest</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common stockholders</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w:t>
            </w:r>
          </w:p>
        </w:tc>
        <w:tc>
          <w:tcPr>
            <w:tcW w:w="3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1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w:t>
            </w:r>
          </w:p>
        </w:tc>
        <w:tc>
          <w:tcPr>
            <w:tcW w:w="7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tables present our disaggregated revenue and cost of revenue. Revenue from our marketplace primarily reflects the sales of parts and assemblies on our platform. Revenue from supplier services primarily includes the sale of advertising and to a lesser extent financial service products, SaaS products and supplies.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Revenue and cost of revenue is presented in the following tables for the three months ended June 30, 2023 and 2022 (in thousands):</w:t>
      </w:r>
    </w:p>
    <w:tbl>
      <w:tblPr>
        <w:tblW w:w="4214" w:type="dxa"/>
        <w:jc w:val="left"/>
        <w:tblInd w:w="0" w:type="dxa"/>
        <w:tblLayout w:type="fixed"/>
        <w:tblCellMar>
          <w:top w:w="28" w:type="dxa"/>
          <w:left w:w="28" w:type="dxa"/>
          <w:bottom w:w="28" w:type="dxa"/>
          <w:right w:w="28" w:type="dxa"/>
        </w:tblCellMar>
      </w:tblPr>
      <w:tblGrid>
        <w:gridCol w:w="1561"/>
        <w:gridCol w:w="146"/>
        <w:gridCol w:w="211"/>
        <w:gridCol w:w="676"/>
        <w:gridCol w:w="271"/>
        <w:gridCol w:w="146"/>
        <w:gridCol w:w="211"/>
        <w:gridCol w:w="676"/>
        <w:gridCol w:w="316"/>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1"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Three Months</w:t>
              <w:br/>
              <w:t>Ended June 30,</w:t>
            </w:r>
          </w:p>
        </w:tc>
        <w:tc>
          <w:tcPr>
            <w:tcW w:w="316" w:type="dxa"/>
            <w:tcBorders/>
            <w:vAlign w:val="center"/>
          </w:tcPr>
          <w:p>
            <w:pPr>
              <w:pStyle w:val="TableContents"/>
              <w:bidi w:val="0"/>
              <w:spacing w:before="0" w:after="0"/>
              <w:ind w:left="0" w:right="0" w:hanging="0"/>
              <w:jc w:val="center"/>
              <w:rPr/>
            </w:pPr>
            <w:r>
              <w:rPr/>
              <w:t> </w:t>
            </w:r>
          </w:p>
        </w:tc>
      </w:tr>
      <w:tr>
        <w:trPr/>
        <w:tc>
          <w:tcPr>
            <w:tcW w:w="15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6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Marketplace</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15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93,511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75,598</w:t>
            </w:r>
          </w:p>
        </w:tc>
        <w:tc>
          <w:tcPr>
            <w:tcW w:w="316" w:type="dxa"/>
            <w:tcBorders/>
            <w:vAlign w:val="center"/>
          </w:tcPr>
          <w:p>
            <w:pPr>
              <w:pStyle w:val="TableContents"/>
              <w:bidi w:val="0"/>
              <w:spacing w:before="0" w:after="0"/>
              <w:ind w:left="0" w:right="0" w:hanging="0"/>
              <w:jc w:val="left"/>
              <w:rPr/>
            </w:pPr>
            <w:r>
              <w:rPr/>
              <w:t> </w:t>
            </w:r>
          </w:p>
        </w:tc>
      </w:tr>
      <w:tr>
        <w:trPr/>
        <w:tc>
          <w:tcPr>
            <w:tcW w:w="15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63,914</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53,492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29,597</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22,106</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Margin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156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Supplier services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15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17,497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20,017</w:t>
            </w:r>
          </w:p>
        </w:tc>
        <w:tc>
          <w:tcPr>
            <w:tcW w:w="316" w:type="dxa"/>
            <w:tcBorders/>
            <w:vAlign w:val="center"/>
          </w:tcPr>
          <w:p>
            <w:pPr>
              <w:pStyle w:val="TableContents"/>
              <w:bidi w:val="0"/>
              <w:spacing w:before="0" w:after="0"/>
              <w:ind w:left="0" w:right="0" w:hanging="0"/>
              <w:jc w:val="left"/>
              <w:rPr/>
            </w:pPr>
            <w:r>
              <w:rPr/>
              <w:t> </w:t>
            </w:r>
          </w:p>
        </w:tc>
      </w:tr>
      <w:tr>
        <w:trPr/>
        <w:tc>
          <w:tcPr>
            <w:tcW w:w="15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3,538</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4,427</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13,959</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15,590</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Margin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77.9</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Total revenue increased $15.4 million, or 16%, from $95.6 million for the three months ended June 30, 2022 to $111.0 million for the three months ended June 30, 2023. This growth was a result of an increase in marketplace revenue, partially offset by a decrease in supplier services revenue. Total revenue from marketplace and supplier services for the three months ended June 30, 2023 was $93.5 million and $17.5 million, respectively, as compared to $75.6 million and $20.0 million, respectively, for the three months ended June 30, 2022. Marketplace revenue increased $17.9 million, or 24% from $75.6 million for the three months ended June 30,</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2022 to $93.5 million for the three months ended June 30, 2023. The increase in marketplace revenue was primarily due increased buyer activity on the platform for the three months ended June 30, 2023, as compared to the prior year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Supplier services revenue decreased $2.5 million, or 13% from $20.0 million for the three months ended June 30, 2022 to $17.5 million for the three months ended June 30, 2023. The decrease in revenue was primarily due to our exit from the supplies business in the U.S. during the second quarter of 2023.</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Total revenue for the three months ended June 30, 2023 and 2022, was $95.4 million and $87.7 million, respectively, for the U.S. operating segment, and $15.6 million and $7.9 million, respectively, for the International operating segment.</w:t>
      </w:r>
    </w:p>
    <w:p>
      <w:pPr>
        <w:pStyle w:val="TextBody"/>
        <w:bidi w:val="0"/>
        <w:spacing w:before="120" w:after="0"/>
        <w:jc w:val="left"/>
        <w:rPr>
          <w:rFonts w:ascii="Times New Roman" w:hAnsi="Times New Roman"/>
          <w:sz w:val="20"/>
        </w:rPr>
      </w:pPr>
      <w:r>
        <w:rPr>
          <w:rFonts w:ascii="Times New Roman;serif" w:hAnsi="Times New Roman;serif"/>
          <w:b/>
          <w:i/>
          <w:sz w:val="20"/>
        </w:rPr>
        <w:t>Cost of Revenue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Total cost of revenue increased $9.5 million, or 16%, from $57.9 million for the three months ended June 30, 2022 to $67.5 million for the three months ended June 30, 2023. This increase was primarily the result of an increase in marketplace cost of revenue offset by a decrease in supplier services costs of revenue. Total cost of revenue from marketplace and supplier services for the three months ended June 30, 2023 was $63.9 million and $3.5 million, respectively, as compared to $53.5 million and $4.4 million, respectively for the three months ended June 30, 2022.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Marketplace cost of revenue was driven by increased payments to suppliers on our platform due to order growth and increased activity on our marketplace.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Gross Profit and Margin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Gross profit increased $5.9 million, or 16%, from $37.7 million for the three months ended June 30, 2022 to $43.6 million for the three months ended June 30, 2023. The increase in gross profit was primarily due to increases in revenue from marketplace and improved marketplace gross margins as compared to the prior year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Gross margin for marketplace was 31.7% for the three months ended June 30, 2023, as compared to 29.2% for the three months ended June 30, 2022. The improvement over the prior year period was due in part to our AI-driven platform and increasing supplier selection. Pricing has become more efficient due to the increased number of orders over time, improving the data set and thus making our pricing decisions more accurate. Additionally, we continue to grow our active suppliers resulting in more competition for buyers’ orders and therefore a lower cost of revenue. Gross margin for our supplier services was 79.8% for the three months ended June 30, 2023, as compared to 77.9% for the three months ended June 30, 2022. The increase in gross margin for supplier services is primarily due to a higher mix of marketing services revenue and the exit from the lower margin supplies business. As marketplace revenue continues to grow, our aggregate gross margin will 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Sales and Marketing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Sales and marketing expense increased $4.5 million, or 25%, from $18.1 million for the three months ended June 30, 2022 to $22.7 million for the three months ended June 30, 2023, primarily due to sales commissions resulting from sales growth combined with a measurement period benefit recognized during the second quarter of 2022. As a percent of total revenue, sales and marketing expenses increased to 20.4% for the three months ended June 30, 2023 from 19.0% for the three months ended June 30, 2022.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Operations and Support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Operations and support expense increased $2.0 million, or 17%, from $12.2 million for the three months ended June 30, 2022 to $14.2 million for the three months ended June 30, 2023, due to hiring of additional operations and support employees and their compensation costs including stock-based compensation and expenses incurred as part of our restructuring and exit from the supplies business. As a percent of total revenue, operations and support expenses increased slightly to 12.8% for the three months ended June 30, 2023 from 12.7% for the three months ended June 30, 2022.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Product Development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Product development expense increased $1.1 million, or 14%, from $7.8 million for the three months ended June 30, 2022 to $8.9 million for the three months ended June 30, 2023, primarily as result of increases in depreciation expense related to developed software assets, hiring additional product development employees and their compensation, including stock-based compensation and additional software costs. As a percent of total revenue, product development expenses decreased to 8.0% for the three months ended June 30, 2023 from 8.2% for the three months ended June 30, 2022.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General and Administrative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General and administrative expense increased $10.5 million, or 70%, from $15.1 million for the three months ended June 30, 2022 to $25.6 million for the three months ended June 30, 2023. The primary driver of the increase was due to the abandonment</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several leases resulting in a one-time $8.7 million increase in operating lease expense. In addition, we incurred higher professional fees related to accounting and legal services, software and maintenance costs, and payroll and benefits. These increases were partially offset by a reduction in charitable contributions of Class A common stock. As a percent of total revenue, general and administrative expenses increased to 23.0% for the for the three months ended June 30, 2023 from 15.7% for the three months ended June 30, 2022.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Impairment of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Impairment expense increased $0.1 million, or 84%, from $0.1 million for the three months ended June 30, 2022 to $0.2 million for the three months ended June 30, 2023. As a percent of total revenue, impairment expense increased to 0.2% for the for the three months ended June 30, 2023 from 0.1% for the three months ended June 30, 2022.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Other (Expenses) Income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Interest Expense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Interest expense remained flat from $1.2 million for the three months ended June 30, 2022 to $1.2 million for the three months ended June 30, 2023. Interest expense is primarily due to the interest on the 2027 convertible notes issued in February 2022.</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Interest and Dividend Income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Interest and dividend income increased by $2.5 million, or 524%, from $0.5 million for the three months ended June 30, 2022 to $3.0 million for the three months ended June 30, 2023, primarily due to dividend income from our marketable securities.</w:t>
      </w:r>
    </w:p>
    <w:p>
      <w:pPr>
        <w:pStyle w:val="TextBody"/>
        <w:bidi w:val="0"/>
        <w:spacing w:before="120" w:after="0"/>
        <w:jc w:val="left"/>
        <w:rPr>
          <w:rFonts w:ascii="Times New Roman" w:hAnsi="Times New Roman"/>
          <w:sz w:val="20"/>
        </w:rPr>
      </w:pPr>
      <w:r>
        <w:rPr>
          <w:rFonts w:ascii="Times New Roman;serif" w:hAnsi="Times New Roman;serif"/>
          <w:b w:val="false"/>
          <w:i/>
          <w:sz w:val="20"/>
        </w:rPr>
        <w:t>Other Expenses</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Other expenses increased by $0.1 million, or 20%, from $0.5 million for the three months ended June 30, 2022 to $0.6 for the three months ended June 30, 2023.</w:t>
      </w:r>
    </w:p>
    <w:p>
      <w:pPr>
        <w:pStyle w:val="TextBody"/>
        <w:bidi w:val="0"/>
        <w:spacing w:before="0" w:after="0"/>
        <w:jc w:val="left"/>
        <w:rPr>
          <w:rFonts w:ascii="Times New Roman" w:hAnsi="Times New Roman"/>
          <w:sz w:val="20"/>
        </w:rPr>
      </w:pPr>
      <w:r>
        <w:rPr>
          <w:rFonts w:ascii="Times New Roman;serif" w:hAnsi="Times New Roman;serif"/>
          <w:b w:val="false"/>
          <w:i/>
          <w:sz w:val="20"/>
        </w:rPr>
        <w:t>Income from Unconsolidated Joint Venture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Income from unconsolidated joint venture decreased $32,000 for the three months ended June 30, 2023 due to a decrease in income from our 50% interest in Industrial Media, LLC.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Additional Segment Considerations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Total segment loss from our U.S. operating segment for the three months ended June 30, 2023 and 2022, was $22.9 million and $11.2 million, respectively. Total segment loss from our International operating segment for the three months ended June 30, 2023 and 2022, was $3.6 million and $5.3 million, respectively.</w:t>
      </w:r>
    </w:p>
    <w:p>
      <w:pPr>
        <w:pStyle w:val="TextBody"/>
        <w:bidi w:val="0"/>
        <w:spacing w:before="12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Comparison of the Six Months Ended June 30, 2023 and 2022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following table sets forth our unaudited statements of operations data for the periods indicated:</w:t>
      </w:r>
      <w:r>
        <w:rPr>
          <w:rFonts w:ascii="Times New Roman" w:hAnsi="Times New Roman"/>
          <w:sz w:val="20"/>
        </w:rPr>
        <w:t xml:space="preserve"> </w:t>
      </w:r>
    </w:p>
    <w:p>
      <w:pPr>
        <w:pStyle w:val="TextBody"/>
        <w:bidi w:val="0"/>
        <w:spacing w:before="0" w:after="0"/>
        <w:jc w:val="left"/>
        <w:rPr/>
      </w:pPr>
      <w:r>
        <w:rPr/>
        <w:t> </w:t>
      </w:r>
    </w:p>
    <w:tbl>
      <w:tblPr>
        <w:tblW w:w="7704" w:type="dxa"/>
        <w:jc w:val="left"/>
        <w:tblInd w:w="0" w:type="dxa"/>
        <w:tblLayout w:type="fixed"/>
        <w:tblCellMar>
          <w:top w:w="28" w:type="dxa"/>
          <w:left w:w="28" w:type="dxa"/>
          <w:bottom w:w="28" w:type="dxa"/>
          <w:right w:w="28" w:type="dxa"/>
        </w:tblCellMar>
      </w:tblPr>
      <w:tblGrid>
        <w:gridCol w:w="4651"/>
        <w:gridCol w:w="146"/>
        <w:gridCol w:w="211"/>
        <w:gridCol w:w="781"/>
        <w:gridCol w:w="166"/>
        <w:gridCol w:w="146"/>
        <w:gridCol w:w="211"/>
        <w:gridCol w:w="781"/>
        <w:gridCol w:w="61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6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611" w:type="dxa"/>
            <w:tcBorders/>
            <w:vAlign w:val="center"/>
          </w:tcPr>
          <w:p>
            <w:pPr>
              <w:pStyle w:val="TableContents"/>
              <w:bidi w:val="0"/>
              <w:spacing w:before="0" w:after="0"/>
              <w:ind w:left="0" w:right="0" w:hanging="0"/>
              <w:jc w:val="center"/>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216,334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179,286</w:t>
            </w:r>
          </w:p>
        </w:tc>
        <w:tc>
          <w:tcPr>
            <w:tcW w:w="611" w:type="dxa"/>
            <w:tcBorders/>
            <w:vAlign w:val="center"/>
          </w:tcPr>
          <w:p>
            <w:pPr>
              <w:pStyle w:val="TableContents"/>
              <w:bidi w:val="0"/>
              <w:spacing w:before="0" w:after="0"/>
              <w:ind w:left="0" w:right="0" w:hanging="0"/>
              <w:jc w:val="lef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133,409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108,651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82,925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70,635</w:t>
            </w:r>
          </w:p>
        </w:tc>
        <w:tc>
          <w:tcPr>
            <w:tcW w:w="611" w:type="dxa"/>
            <w:tcBorders/>
            <w:vAlign w:val="center"/>
          </w:tcPr>
          <w:p>
            <w:pPr>
              <w:pStyle w:val="TableContents"/>
              <w:bidi w:val="0"/>
              <w:spacing w:before="0" w:after="0"/>
              <w:ind w:left="0" w:right="0" w:hanging="0"/>
              <w:jc w:val="lef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37,430</w:t>
            </w:r>
          </w:p>
        </w:tc>
        <w:tc>
          <w:tcPr>
            <w:tcW w:w="611" w:type="dxa"/>
            <w:tcBorders/>
            <w:vAlign w:val="center"/>
          </w:tcPr>
          <w:p>
            <w:pPr>
              <w:pStyle w:val="TableContents"/>
              <w:bidi w:val="0"/>
              <w:spacing w:before="0" w:after="0"/>
              <w:ind w:left="0" w:right="0" w:firstLine="200"/>
              <w:jc w:val="lef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Operations and support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24,538</w:t>
            </w:r>
          </w:p>
        </w:tc>
        <w:tc>
          <w:tcPr>
            <w:tcW w:w="611" w:type="dxa"/>
            <w:tcBorders/>
            <w:vAlign w:val="center"/>
          </w:tcPr>
          <w:p>
            <w:pPr>
              <w:pStyle w:val="TableContents"/>
              <w:bidi w:val="0"/>
              <w:spacing w:before="0" w:after="0"/>
              <w:ind w:left="0" w:right="0" w:firstLine="200"/>
              <w:jc w:val="lef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Product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15,085</w:t>
            </w:r>
          </w:p>
        </w:tc>
        <w:tc>
          <w:tcPr>
            <w:tcW w:w="611" w:type="dxa"/>
            <w:tcBorders/>
            <w:vAlign w:val="center"/>
          </w:tcPr>
          <w:p>
            <w:pPr>
              <w:pStyle w:val="TableContents"/>
              <w:bidi w:val="0"/>
              <w:spacing w:before="0" w:after="0"/>
              <w:ind w:left="0" w:right="0" w:firstLine="200"/>
              <w:jc w:val="lef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41,539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28,017</w:t>
            </w:r>
          </w:p>
        </w:tc>
        <w:tc>
          <w:tcPr>
            <w:tcW w:w="611" w:type="dxa"/>
            <w:tcBorders/>
            <w:vAlign w:val="center"/>
          </w:tcPr>
          <w:p>
            <w:pPr>
              <w:pStyle w:val="TableContents"/>
              <w:bidi w:val="0"/>
              <w:spacing w:before="0" w:after="0"/>
              <w:ind w:left="0" w:right="0" w:firstLine="200"/>
              <w:jc w:val="lef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Impairment of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6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130,765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105,189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(47,840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(34,554</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(1,978</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and dividend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w:t>
            </w:r>
          </w:p>
        </w:tc>
        <w:tc>
          <w:tcPr>
            <w:tcW w:w="611" w:type="dxa"/>
            <w:tcBorders/>
            <w:vAlign w:val="center"/>
          </w:tcPr>
          <w:p>
            <w:pPr>
              <w:pStyle w:val="TableContents"/>
              <w:bidi w:val="0"/>
              <w:spacing w:before="0" w:after="0"/>
              <w:ind w:left="0" w:right="0" w:firstLine="200"/>
              <w:jc w:val="lef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(1,444</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from unconsolidated joint venture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6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income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(44,833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(37,103</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(Provision) benefit for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(44,902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(36,544</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 income attributable to noncontrolling interest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common stockholders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(44,898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(36,565</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sets forth our unaudited statements of operations data expressed as a percentage of total revenue for the periods indicated:</w:t>
      </w:r>
    </w:p>
    <w:tbl>
      <w:tblPr>
        <w:tblW w:w="7641" w:type="dxa"/>
        <w:jc w:val="left"/>
        <w:tblInd w:w="0" w:type="dxa"/>
        <w:tblLayout w:type="fixed"/>
        <w:tblCellMar>
          <w:top w:w="28" w:type="dxa"/>
          <w:left w:w="28" w:type="dxa"/>
          <w:bottom w:w="28" w:type="dxa"/>
          <w:right w:w="28" w:type="dxa"/>
        </w:tblCellMar>
      </w:tblPr>
      <w:tblGrid>
        <w:gridCol w:w="4651"/>
        <w:gridCol w:w="146"/>
        <w:gridCol w:w="158"/>
        <w:gridCol w:w="618"/>
        <w:gridCol w:w="358"/>
        <w:gridCol w:w="158"/>
        <w:gridCol w:w="158"/>
        <w:gridCol w:w="618"/>
        <w:gridCol w:w="776"/>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46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8" w:type="dxa"/>
            <w:tcBorders/>
            <w:vAlign w:val="center"/>
          </w:tcPr>
          <w:p>
            <w:pPr>
              <w:pStyle w:val="TableContents"/>
              <w:bidi w:val="0"/>
              <w:spacing w:before="0" w:after="0"/>
              <w:ind w:left="0" w:right="0" w:hanging="0"/>
              <w:jc w:val="left"/>
              <w:rPr/>
            </w:pPr>
            <w:r>
              <w:rPr/>
              <w:t> </w:t>
            </w:r>
          </w:p>
        </w:tc>
        <w:tc>
          <w:tcPr>
            <w:tcW w:w="7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vAlign w:val="center"/>
          </w:tcPr>
          <w:p>
            <w:pPr>
              <w:pStyle w:val="TableContents"/>
              <w:bidi w:val="0"/>
              <w:spacing w:before="0" w:after="0"/>
              <w:ind w:left="0" w:right="0" w:hanging="0"/>
              <w:jc w:val="center"/>
              <w:rPr/>
            </w:pPr>
            <w:r>
              <w:rPr/>
              <w:t> </w:t>
            </w:r>
          </w:p>
        </w:tc>
        <w:tc>
          <w:tcPr>
            <w:tcW w:w="776" w:type="dxa"/>
            <w:tcBorders/>
            <w:vAlign w:val="center"/>
          </w:tcPr>
          <w:p>
            <w:pPr>
              <w:pStyle w:val="TableContents"/>
              <w:bidi w:val="0"/>
              <w:spacing w:before="0" w:after="0"/>
              <w:ind w:left="0" w:right="0" w:hanging="0"/>
              <w:jc w:val="center"/>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1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61.7</w:t>
            </w:r>
          </w:p>
        </w:tc>
        <w:tc>
          <w:tcPr>
            <w:tcW w:w="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1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60.6</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1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w:t>
            </w:r>
          </w:p>
        </w:tc>
        <w:tc>
          <w:tcPr>
            <w:tcW w:w="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1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776" w:type="dxa"/>
            <w:gridSpan w:val="2"/>
            <w:tcBorders/>
            <w:vAlign w:val="center"/>
          </w:tcPr>
          <w:p>
            <w:pPr>
              <w:pStyle w:val="TableContents"/>
              <w:bidi w:val="0"/>
              <w:spacing w:before="0" w:after="0"/>
              <w:ind w:left="0" w:right="0" w:hanging="0"/>
              <w:jc w:val="right"/>
              <w:rPr/>
            </w:pPr>
            <w:r>
              <w:rPr/>
              <w:t> </w:t>
            </w:r>
          </w:p>
        </w:tc>
        <w:tc>
          <w:tcPr>
            <w:tcW w:w="358" w:type="dxa"/>
            <w:tcBorders/>
            <w:vAlign w:val="center"/>
          </w:tcPr>
          <w:p>
            <w:pPr>
              <w:pStyle w:val="TableContents"/>
              <w:bidi w:val="0"/>
              <w:spacing w:before="0" w:after="0"/>
              <w:ind w:left="0" w:right="0" w:hanging="0"/>
              <w:jc w:val="right"/>
              <w:rPr/>
            </w:pPr>
            <w:r>
              <w:rPr/>
              <w:t> </w:t>
            </w:r>
          </w:p>
        </w:tc>
        <w:tc>
          <w:tcPr>
            <w:tcW w:w="158" w:type="dxa"/>
            <w:tcBorders/>
            <w:vAlign w:val="center"/>
          </w:tcPr>
          <w:p>
            <w:pPr>
              <w:pStyle w:val="TableContents"/>
              <w:bidi w:val="0"/>
              <w:spacing w:before="0" w:after="0"/>
              <w:ind w:left="0" w:right="0" w:hanging="0"/>
              <w:jc w:val="left"/>
              <w:rPr/>
            </w:pPr>
            <w:r>
              <w:rPr/>
              <w:t> </w:t>
            </w:r>
          </w:p>
        </w:tc>
        <w:tc>
          <w:tcPr>
            <w:tcW w:w="776" w:type="dxa"/>
            <w:gridSpan w:val="2"/>
            <w:tcBorders/>
            <w:vAlign w:val="center"/>
          </w:tcPr>
          <w:p>
            <w:pPr>
              <w:pStyle w:val="TableContents"/>
              <w:bidi w:val="0"/>
              <w:spacing w:before="0" w:after="0"/>
              <w:ind w:left="0" w:right="0" w:hanging="0"/>
              <w:jc w:val="right"/>
              <w:rPr/>
            </w:pPr>
            <w:r>
              <w:rPr/>
              <w:t> </w:t>
            </w:r>
          </w:p>
        </w:tc>
        <w:tc>
          <w:tcPr>
            <w:tcW w:w="776" w:type="dxa"/>
            <w:tcBorders/>
            <w:vAlign w:val="center"/>
          </w:tcPr>
          <w:p>
            <w:pPr>
              <w:pStyle w:val="TableContents"/>
              <w:bidi w:val="0"/>
              <w:spacing w:before="0" w:after="0"/>
              <w:ind w:left="0" w:right="0" w:firstLine="200"/>
              <w:jc w:val="righ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w:t>
            </w:r>
          </w:p>
        </w:tc>
        <w:tc>
          <w:tcPr>
            <w:tcW w:w="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w:t>
            </w:r>
          </w:p>
        </w:tc>
        <w:tc>
          <w:tcPr>
            <w:tcW w:w="7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Operations and support</w:t>
            </w:r>
          </w:p>
        </w:tc>
        <w:tc>
          <w:tcPr>
            <w:tcW w:w="146"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w:t>
            </w:r>
          </w:p>
        </w:tc>
        <w:tc>
          <w:tcPr>
            <w:tcW w:w="7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Product development</w:t>
            </w:r>
          </w:p>
        </w:tc>
        <w:tc>
          <w:tcPr>
            <w:tcW w:w="146"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7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w:t>
            </w:r>
          </w:p>
        </w:tc>
        <w:tc>
          <w:tcPr>
            <w:tcW w:w="7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Impairment of assets</w:t>
            </w:r>
          </w:p>
        </w:tc>
        <w:tc>
          <w:tcPr>
            <w:tcW w:w="146" w:type="dxa"/>
            <w:tcBorders/>
            <w:vAlign w:val="center"/>
          </w:tcPr>
          <w:p>
            <w:pPr>
              <w:pStyle w:val="TableContents"/>
              <w:bidi w:val="0"/>
              <w:spacing w:before="0" w:after="0"/>
              <w:ind w:left="0" w:right="0" w:hanging="0"/>
              <w:jc w:val="left"/>
              <w:rPr/>
            </w:pPr>
            <w:r>
              <w:rPr/>
              <w:t> </w:t>
            </w:r>
          </w:p>
        </w:tc>
        <w:tc>
          <w:tcPr>
            <w:tcW w:w="1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1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1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w:t>
            </w:r>
          </w:p>
        </w:tc>
        <w:tc>
          <w:tcPr>
            <w:tcW w:w="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1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(expenses):</w:t>
            </w:r>
          </w:p>
        </w:tc>
        <w:tc>
          <w:tcPr>
            <w:tcW w:w="146" w:type="dxa"/>
            <w:tcBorders/>
            <w:vAlign w:val="center"/>
          </w:tcPr>
          <w:p>
            <w:pPr>
              <w:pStyle w:val="TableContents"/>
              <w:bidi w:val="0"/>
              <w:spacing w:before="0" w:after="0"/>
              <w:ind w:left="0" w:right="0" w:hanging="0"/>
              <w:jc w:val="left"/>
              <w:rPr/>
            </w:pPr>
            <w:r>
              <w:rPr/>
              <w:t> </w:t>
            </w:r>
          </w:p>
        </w:tc>
        <w:tc>
          <w:tcPr>
            <w:tcW w:w="776" w:type="dxa"/>
            <w:gridSpan w:val="2"/>
            <w:tcBorders/>
            <w:vAlign w:val="center"/>
          </w:tcPr>
          <w:p>
            <w:pPr>
              <w:pStyle w:val="TableContents"/>
              <w:bidi w:val="0"/>
              <w:spacing w:before="0" w:after="0"/>
              <w:ind w:left="0" w:right="0" w:hanging="0"/>
              <w:jc w:val="right"/>
              <w:rPr/>
            </w:pPr>
            <w:r>
              <w:rPr/>
              <w:t> </w:t>
            </w:r>
          </w:p>
        </w:tc>
        <w:tc>
          <w:tcPr>
            <w:tcW w:w="358" w:type="dxa"/>
            <w:tcBorders/>
            <w:vAlign w:val="center"/>
          </w:tcPr>
          <w:p>
            <w:pPr>
              <w:pStyle w:val="TableContents"/>
              <w:bidi w:val="0"/>
              <w:spacing w:before="0" w:after="0"/>
              <w:ind w:left="0" w:right="0" w:hanging="0"/>
              <w:jc w:val="right"/>
              <w:rPr/>
            </w:pPr>
            <w:r>
              <w:rPr/>
              <w:t> </w:t>
            </w:r>
          </w:p>
        </w:tc>
        <w:tc>
          <w:tcPr>
            <w:tcW w:w="158" w:type="dxa"/>
            <w:tcBorders/>
            <w:vAlign w:val="center"/>
          </w:tcPr>
          <w:p>
            <w:pPr>
              <w:pStyle w:val="TableContents"/>
              <w:bidi w:val="0"/>
              <w:spacing w:before="0" w:after="0"/>
              <w:ind w:left="0" w:right="0" w:hanging="0"/>
              <w:jc w:val="left"/>
              <w:rPr/>
            </w:pPr>
            <w:r>
              <w:rPr/>
              <w:t> </w:t>
            </w:r>
          </w:p>
        </w:tc>
        <w:tc>
          <w:tcPr>
            <w:tcW w:w="776" w:type="dxa"/>
            <w:gridSpan w:val="2"/>
            <w:tcBorders/>
            <w:vAlign w:val="center"/>
          </w:tcPr>
          <w:p>
            <w:pPr>
              <w:pStyle w:val="TableContents"/>
              <w:bidi w:val="0"/>
              <w:spacing w:before="0" w:after="0"/>
              <w:ind w:left="0" w:right="0" w:hanging="0"/>
              <w:jc w:val="right"/>
              <w:rPr/>
            </w:pPr>
            <w:r>
              <w:rPr/>
              <w:t> </w:t>
            </w:r>
          </w:p>
        </w:tc>
        <w:tc>
          <w:tcPr>
            <w:tcW w:w="776" w:type="dxa"/>
            <w:tcBorders/>
            <w:vAlign w:val="center"/>
          </w:tcPr>
          <w:p>
            <w:pPr>
              <w:pStyle w:val="TableContents"/>
              <w:bidi w:val="0"/>
              <w:spacing w:before="0" w:after="0"/>
              <w:ind w:left="0" w:right="0" w:firstLine="200"/>
              <w:jc w:val="righ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7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and dividend income</w:t>
            </w:r>
          </w:p>
        </w:tc>
        <w:tc>
          <w:tcPr>
            <w:tcW w:w="146"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7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expenses</w:t>
            </w:r>
          </w:p>
        </w:tc>
        <w:tc>
          <w:tcPr>
            <w:tcW w:w="146"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7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from unconsolidated joint venture</w:t>
            </w:r>
          </w:p>
        </w:tc>
        <w:tc>
          <w:tcPr>
            <w:tcW w:w="146" w:type="dxa"/>
            <w:tcBorders/>
            <w:vAlign w:val="center"/>
          </w:tcPr>
          <w:p>
            <w:pPr>
              <w:pStyle w:val="TableContents"/>
              <w:bidi w:val="0"/>
              <w:spacing w:before="0" w:after="0"/>
              <w:ind w:left="0" w:right="0" w:hanging="0"/>
              <w:jc w:val="left"/>
              <w:rPr/>
            </w:pPr>
            <w:r>
              <w:rPr/>
              <w:t> </w:t>
            </w:r>
          </w:p>
        </w:tc>
        <w:tc>
          <w:tcPr>
            <w:tcW w:w="1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1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income (expenses)</w:t>
            </w:r>
          </w:p>
        </w:tc>
        <w:tc>
          <w:tcPr>
            <w:tcW w:w="146" w:type="dxa"/>
            <w:tcBorders/>
            <w:vAlign w:val="center"/>
          </w:tcPr>
          <w:p>
            <w:pPr>
              <w:pStyle w:val="TableContents"/>
              <w:bidi w:val="0"/>
              <w:spacing w:before="0" w:after="0"/>
              <w:ind w:left="0" w:right="0" w:hanging="0"/>
              <w:jc w:val="left"/>
              <w:rPr/>
            </w:pPr>
            <w:r>
              <w:rPr/>
              <w:t> </w:t>
            </w:r>
          </w:p>
        </w:tc>
        <w:tc>
          <w:tcPr>
            <w:tcW w:w="1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1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w:t>
            </w:r>
          </w:p>
        </w:tc>
        <w:tc>
          <w:tcPr>
            <w:tcW w:w="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w:t>
            </w:r>
          </w:p>
        </w:tc>
        <w:tc>
          <w:tcPr>
            <w:tcW w:w="776"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(Provision) benefit for income taxes</w:t>
            </w:r>
          </w:p>
        </w:tc>
        <w:tc>
          <w:tcPr>
            <w:tcW w:w="146" w:type="dxa"/>
            <w:tcBorders/>
            <w:vAlign w:val="center"/>
          </w:tcPr>
          <w:p>
            <w:pPr>
              <w:pStyle w:val="TableContents"/>
              <w:bidi w:val="0"/>
              <w:spacing w:before="0" w:after="0"/>
              <w:ind w:left="0" w:right="0" w:hanging="0"/>
              <w:jc w:val="left"/>
              <w:rPr/>
            </w:pPr>
            <w:r>
              <w:rPr/>
              <w:t> </w:t>
            </w:r>
          </w:p>
        </w:tc>
        <w:tc>
          <w:tcPr>
            <w:tcW w:w="1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1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w:t>
            </w:r>
          </w:p>
        </w:tc>
        <w:tc>
          <w:tcPr>
            <w:tcW w:w="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w:t>
            </w:r>
          </w:p>
        </w:tc>
        <w:tc>
          <w:tcPr>
            <w:tcW w:w="7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 income attributable to noncontrolling interest</w:t>
            </w:r>
          </w:p>
        </w:tc>
        <w:tc>
          <w:tcPr>
            <w:tcW w:w="146" w:type="dxa"/>
            <w:tcBorders/>
            <w:vAlign w:val="center"/>
          </w:tcPr>
          <w:p>
            <w:pPr>
              <w:pStyle w:val="TableContents"/>
              <w:bidi w:val="0"/>
              <w:spacing w:before="0" w:after="0"/>
              <w:ind w:left="0" w:right="0" w:hanging="0"/>
              <w:jc w:val="left"/>
              <w:rPr/>
            </w:pPr>
            <w:r>
              <w:rPr/>
              <w:t> </w:t>
            </w:r>
          </w:p>
        </w:tc>
        <w:tc>
          <w:tcPr>
            <w:tcW w:w="1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1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common stockholders</w:t>
            </w:r>
          </w:p>
        </w:tc>
        <w:tc>
          <w:tcPr>
            <w:tcW w:w="146" w:type="dxa"/>
            <w:tcBorders/>
            <w:vAlign w:val="center"/>
          </w:tcPr>
          <w:p>
            <w:pPr>
              <w:pStyle w:val="TableContents"/>
              <w:bidi w:val="0"/>
              <w:spacing w:before="0" w:after="0"/>
              <w:ind w:left="0" w:right="0" w:hanging="0"/>
              <w:jc w:val="left"/>
              <w:rPr/>
            </w:pPr>
            <w:r>
              <w:rPr/>
              <w:t> </w:t>
            </w:r>
          </w:p>
        </w:tc>
        <w:tc>
          <w:tcPr>
            <w:tcW w:w="1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w:t>
            </w:r>
          </w:p>
        </w:tc>
        <w:tc>
          <w:tcPr>
            <w:tcW w:w="3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1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w:t>
            </w:r>
          </w:p>
        </w:tc>
        <w:tc>
          <w:tcPr>
            <w:tcW w:w="7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tables present our disaggregated revenue and cost of revenue. Revenue from our marketplace primarily reflects the sales of parts and assemblies on our platform. Revenue from supplier services primarily includes the sale of advertising and to a lesser extent financial service products, SaaS products and supplies.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Revenue and cost of revenue is presented in the following tables for the six months ended June 30, 2023 and 2022 (in thousands):</w:t>
      </w:r>
    </w:p>
    <w:tbl>
      <w:tblPr>
        <w:tblW w:w="4424" w:type="dxa"/>
        <w:jc w:val="left"/>
        <w:tblInd w:w="0" w:type="dxa"/>
        <w:tblLayout w:type="fixed"/>
        <w:tblCellMar>
          <w:top w:w="28" w:type="dxa"/>
          <w:left w:w="28" w:type="dxa"/>
          <w:bottom w:w="28" w:type="dxa"/>
          <w:right w:w="28" w:type="dxa"/>
        </w:tblCellMar>
      </w:tblPr>
      <w:tblGrid>
        <w:gridCol w:w="1561"/>
        <w:gridCol w:w="146"/>
        <w:gridCol w:w="211"/>
        <w:gridCol w:w="781"/>
        <w:gridCol w:w="271"/>
        <w:gridCol w:w="146"/>
        <w:gridCol w:w="211"/>
        <w:gridCol w:w="781"/>
        <w:gridCol w:w="316"/>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w:t>
              <w:br/>
              <w:t>Ended 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6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Marketplace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15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180,191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140,013</w:t>
            </w:r>
          </w:p>
        </w:tc>
        <w:tc>
          <w:tcPr>
            <w:tcW w:w="316" w:type="dxa"/>
            <w:tcBorders/>
            <w:vAlign w:val="center"/>
          </w:tcPr>
          <w:p>
            <w:pPr>
              <w:pStyle w:val="TableContents"/>
              <w:bidi w:val="0"/>
              <w:spacing w:before="0" w:after="0"/>
              <w:ind w:left="0" w:right="0" w:hanging="0"/>
              <w:jc w:val="left"/>
              <w:rPr/>
            </w:pPr>
            <w:r>
              <w:rPr/>
              <w:t> </w:t>
            </w:r>
          </w:p>
        </w:tc>
      </w:tr>
      <w:tr>
        <w:trPr/>
        <w:tc>
          <w:tcPr>
            <w:tcW w:w="15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125,661</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100,233</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54,530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39,780</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Margin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156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Supplier services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15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36,143</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39,273</w:t>
            </w:r>
          </w:p>
        </w:tc>
        <w:tc>
          <w:tcPr>
            <w:tcW w:w="316" w:type="dxa"/>
            <w:tcBorders/>
            <w:vAlign w:val="center"/>
          </w:tcPr>
          <w:p>
            <w:pPr>
              <w:pStyle w:val="TableContents"/>
              <w:bidi w:val="0"/>
              <w:spacing w:before="0" w:after="0"/>
              <w:ind w:left="0" w:right="0" w:hanging="0"/>
              <w:jc w:val="left"/>
              <w:rPr/>
            </w:pPr>
            <w:r>
              <w:rPr/>
              <w:t> </w:t>
            </w:r>
          </w:p>
        </w:tc>
      </w:tr>
      <w:tr>
        <w:trPr/>
        <w:tc>
          <w:tcPr>
            <w:tcW w:w="15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7,748</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8,418</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28,395</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30,855</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Margin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78.6</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Total revenue increased $37.0 million, or 21%, from $179.3 million for the six months ended June 30, 2022 to $216.3 million for the six months ended June 30, 2023. This growth was a result of an increase in marketplace revenue, partially offset by a decrease in supplier services revenue. Marketplace revenue increased $40.2 million, or 29% from $140.0 million for the six months ended June 30, 2022 to $180.2 million for the six months ended June 30, 2023. The increase in marketplace revenue was primarily due increased buyers activity on the platform for the six months ended June 30, 2023, as compared to the prior year period.</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Supplier services revenue decreased $3.1 million, or 8% from $39.3 million for the six months ended June 30, 2022 to $36.1 million for the six months ended June 30, 2023. The decrease in revenue was primarily due to our exit from the supplies business in the U.S. during the second quarter of 2023.</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Total revenue for the six months ended June 30, 2023 and 2022, was $189.3 million and $163.7 million, respectively, for the U.S. operating segment, and $27.0 million and $15.6 million, respectively, for the International operating segment.</w:t>
      </w:r>
    </w:p>
    <w:p>
      <w:pPr>
        <w:pStyle w:val="TextBody"/>
        <w:bidi w:val="0"/>
        <w:spacing w:before="120" w:after="0"/>
        <w:jc w:val="left"/>
        <w:rPr>
          <w:rFonts w:ascii="Times New Roman" w:hAnsi="Times New Roman"/>
          <w:sz w:val="20"/>
        </w:rPr>
      </w:pPr>
      <w:r>
        <w:rPr>
          <w:rFonts w:ascii="Times New Roman;serif" w:hAnsi="Times New Roman;serif"/>
          <w:b/>
          <w:i/>
          <w:sz w:val="20"/>
        </w:rPr>
        <w:t>Cost of Revenue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Total cost of revenue increased $24.8 million, or 23%, from $108.7 million for the six months ended June 30, 2022 to $133.4 million for the six months ended June 30, 2023. This increase was primarily the result of an increase in marketplace cost of revenue offset by a decrease in supplier services costs of revenue. Total cost of revenue from marketplace and supplier services for the six months ended June 30, 2023 was $125.7 million and $7.7 million, respectively, as compared to $100.2 million and $8.4 million, respectively for the six months ended June 30, 2022.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Marketplace cost of revenue was driven by increased payments to suppliers on our platform due to order growth and increased activity on our marketplace.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Gross Profit and Margin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Gross profit increased $12.3 million, or 17%, from $70.6 million for the six months ended June 30, 2022 to $82.9 million for the six months ended June 30, 2023. The increase in gross profit was primarily due to increases in revenue from marketplace and improved marketplace gross margins as compared to the prior year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Gross margin for marketplace was 30.3% for the six months ended June 30, 2023, as compared to 28.4% for the six months ended June 30, 2022. The improvement over the prior year period was due in part to our AI-driven platform and increasing supplier selection. Pricing has become more efficient due to the increased number of orders over time, improving the data set and thus making our pricing decisions more accurate. Additionally, we continue to grow our active suppliers resulting in more competition for buyers’ orders and therefore a lower cost of revenue. Gross margin for our supplier services was constant at 78.6% for the six months ended June 30, 2023 and June 30, 2022. As marketplace revenue continues to grow, our aggregate gross margin will 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Sales and Marketing</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Sales and marketing expense increased $7.7 million, or 21%, from $37.4 million for the six months ended June 30, 2022 to $45.1 million for the six months ended June 30, 2023, primarily due to sales commissions resulting from sales growth combined with a measurement period benefit recognized during the second quarter of 2022. In addition, the increase was due to additional sales employees and compensation costs including stock-based compensation and increases in marketing and advertising spend. As a percent of total revenue, sales and marketing expenses decreased to 20.8% for the six months ended June 30, 2023 from 20.9% for the six months ended June 30, 2022.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Operations and Support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Operations and support expense increased $2.3 million, or 9%, from $24.5 million for the six months ended June 30, 2022 to $26.8 million for the six months ended June 30, 2023, primarily due to hiring of additional operations and support employees and their compensation costs including stock-based compensation and expenses incurred as part of the Company's restructuring and exit from the supplies business. As a percent of total revenue, operations and support expenses decreased to 12.4% for the six months ended June 30, 2023 from 13.7% for the six months ended June 30, 2022.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Product Development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Product development expense increased $2.0 million, or 13%, from $15.1 million for the six months ended June 30, 2022 to $17.0 million for the six months ended June 30, 2023, primarily as result of increases in depreciation expense related to developed software assets, hiring additional product development employees and their compensation, including stock-based compensation and additional software costs. As a percent of total revenue, product development expenses decreased to 7.9% for the six months ended June 30, 2023 from 8.4% for the six months ended June 30, 2022.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General and Administrative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General and administrative expense increased $13.5 million, or 48%, from $28.0 million for the six months ended June 30, 2022 to $41.5 million for the six months ended June 30, 2023. The primary driver of the increase was due to the abandonment of multiple company leases resulting in a one-time $8.7 million increase in operating lease expense. In addition, there were higher professional fees related to accounting and legal services, higher software and maintenance costs, additional administrative employees and their compensations costs including stock-based compensations and consulting expenses. These increases were partially offset by</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 reduction in non-cash charitable contributions of Class A common stock and insurance costs. As a percent of total revenue, general and administrative expenses increased to 19.2% for the six months ended June 30, 2023 from 15.6% for the six months ended June 30, 2022.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Impairment of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Impairment expense increased $0.1 million, or 107%, from $0.1 million for the six months ended June 30, 2022 to $0.2 million for the six months ended June 30, 2023. As a percent of total revenue, impairments expense remained flat at 0.1% for the for the six months ended June 30, 2023 and June 30, 2022.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Other (Expenses) Income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Interest Expense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Interest expense increased by $0.4 million, or 21%, from $2.0 million for the six months ended June 30, 2022 to $2.4 million for the six months ended June 30, 2023, primarily due to the interest on the 2027 convertible notes issued in February 2022.</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Interest and Dividend Income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Interest and dividend income increased by $5.1 million, or 892%, from $0.6 million for the six months ended June 30, 2022 to $5.7 million for the six months ended June 30, 2023, primarily due to dividend income from our marketable securities.</w:t>
      </w:r>
    </w:p>
    <w:p>
      <w:pPr>
        <w:pStyle w:val="TextBody"/>
        <w:bidi w:val="0"/>
        <w:spacing w:before="120" w:after="0"/>
        <w:jc w:val="left"/>
        <w:rPr>
          <w:rFonts w:ascii="Times New Roman" w:hAnsi="Times New Roman"/>
          <w:sz w:val="20"/>
        </w:rPr>
      </w:pPr>
      <w:r>
        <w:rPr>
          <w:rFonts w:ascii="Times New Roman;serif" w:hAnsi="Times New Roman;serif"/>
          <w:b w:val="false"/>
          <w:i/>
          <w:sz w:val="20"/>
        </w:rPr>
        <w:t>Other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expenses decreased by $0.9 million, or 61%, from $1.4 million for the six months ended June 30, 2022 to $0.6 million for the six months ended June 30, 2023, primarily as a result of decreased losses on our marketable securities.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Income from Unconsolidated Joint Venture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Income from unconsolidated joint venture was flat at $0.3 million due to no material change in income from our 50% interest in Industrial Media, LLC.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Additional Segment Considerations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Total segment loss from our U.S. operating segment for the six months ended June 30, 2023 and 2022, was $35.8 million and $26.2 million, respectively. Total segment loss from our International operating segment for the six months ended June 30, 2023 and 2022, was $9.1 million and $10.3 million, respectively.</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General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financed our operations primarily through sales of our equity securities and borrowings under our convertible notes. As of June 30, 2023, our cash and cash equivalents and marketable securities totaled $286.1 million. We believe our existing cash and cash equivalents and marketable securities will be sufficient to support our working capital and capital expenditure requirements for at least the next twelve months and over the long-term. We believe we will meet our longer-term expected future cash requirements primarily from a combination of cash flow from operating activities and available cash and cash equivalents and marketable securities. We may also engage in equity or debt financings to secure additional funds. Our future capital requirements will depend on many factors, including our revenue growth rate, receivable and payable cycles, the timing and extent of investments in product development, sales and marketing, operations and support and general and administrative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capital expenditures consist primarily of internal-use software costs, manufacturing equipment, computers and peripheral equipment, furniture and fixtures and leasehold improvements and patents.</w:t>
      </w:r>
      <w:r>
        <w:rPr>
          <w:rFonts w:ascii="Times New Roman" w:hAnsi="Times New Roman"/>
          <w:sz w:val="20"/>
        </w:rPr>
        <w:t xml:space="preserve"> </w:t>
      </w:r>
    </w:p>
    <w:p>
      <w:pPr>
        <w:pStyle w:val="TextBody"/>
        <w:bidi w:val="0"/>
        <w:spacing w:before="12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Convertible Notes due 2027</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February 2022, we entered into a purchase agreement with certain counterparties for the sale of an aggregate of $287.5 million principal amount of convertible senior notes due in 2027 (the “2027 Notes”) in a private offering to qualified institutional buyers pursuant to Rule 144A under the Securities Act of 1933, as amended (the “Securities Act”). The 2027 Notes consisted of a $250 million initial placement and an over-allotment option that provided the initial purchasers of the 2027 Notes with the option to purchase an additional $37.5 million aggregate principal amount of the 2027 Notes, which was fully exercised. The 2027 Notes were issued pursuant to an indenture dated February 4, 2022. The net proceeds from the issuance of the 2027 Notes were $278.2 million, net of debt issuance costs. The debt issuance costs are amortized to interest expense using the effective interest rate method.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2027 Notes are unsecured obligations which bear regular interest at 1% per annum and for which the principal balance will not accrete. Interest payment are due on February 1 and August 1 of each year the Notes remain outstanding. The 2027 Notes will mature on February 1, 2027 unless repurchased, redeemed, or converted in accordance with their terms prior to such date.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redeem for cash all or any portion of the 2027 Notes, at our option, on or after February 5, 2025 if the last reported sale price of our Class A common stock has been at least 130% of the conversion price then in effect for at least 20 trading days at a redemption price equal to 100% of the principal amount of the 2027 Notes to be redeemed, plus accrued and unpaid interest or additional interest, if any.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Holders of the 2027 Notes may convert all or a portion of their 2027 Notes at their option prior to November 1, 2026, in multiples of $1,000 principal amounts, only under the following circumstances: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five-business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 Notes;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on the occurrence of specified corporate events.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or after November 1, 2026, the 2027 Notes are convertible at any time until the close of business on the second scheduled trading day immediately preceding the maturity date.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Holders of the 2027 Notes who convert the 2027 Notes in connection with a make-whole fundamental change, as defined in the indenture governing the 2027 Notes, or in connection with a redemption are entitled to an increase in the conversion rate. Additionally, in the event of a fundamental change, holders of the 2027 Notes may require us to repurchase all or a portion of the 2027 Notes at a price equal to 100% of the principal amount of 2027 Notes, plus any accrued and unpaid special interest, if any.</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accounted for the issuance of the 2027 Notes as a single liability measured at its amortized cost, as no other embedded features require bifurcation and recognition as derivatives.</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the 2027 Notes have a carrying value of $280.8 million with an effective annual interest rate of 1.6%.</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presents a summary of our cash flows from operating, investing, and financing activities for the six months ended June 30, 2023 and 2022.</w:t>
      </w:r>
      <w:r>
        <w:rPr>
          <w:rFonts w:ascii="Times New Roman" w:hAnsi="Times New Roman"/>
          <w:sz w:val="20"/>
        </w:rPr>
        <w:t xml:space="preserve"> </w:t>
      </w:r>
    </w:p>
    <w:tbl>
      <w:tblPr>
        <w:tblW w:w="6869" w:type="dxa"/>
        <w:jc w:val="left"/>
        <w:tblInd w:w="0" w:type="dxa"/>
        <w:tblLayout w:type="fixed"/>
        <w:tblCellMar>
          <w:top w:w="28" w:type="dxa"/>
          <w:left w:w="28" w:type="dxa"/>
          <w:bottom w:w="28" w:type="dxa"/>
          <w:right w:w="28" w:type="dxa"/>
        </w:tblCellMar>
      </w:tblPr>
      <w:tblGrid>
        <w:gridCol w:w="4201"/>
        <w:gridCol w:w="146"/>
        <w:gridCol w:w="211"/>
        <w:gridCol w:w="736"/>
        <w:gridCol w:w="166"/>
        <w:gridCol w:w="146"/>
        <w:gridCol w:w="211"/>
        <w:gridCol w:w="841"/>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1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(22,607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(34,196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(285,826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280,659</w:t>
            </w:r>
          </w:p>
        </w:tc>
        <w:tc>
          <w:tcPr>
            <w:tcW w:w="21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i/>
          <w:sz w:val="20"/>
        </w:rPr>
        <w:t>Operating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the six months ended June 30, 2023, net cash used in operating activities was $22.6 million, primarily due to a net loss of $(44.9) million adjusted for non-cash charges of $29.9 million and a net decrease in our operating assets and liabilities of $(7.6) million. The non-cash adjustments primarily relate to $12.2 million of reduction to our right of use lease assets, stock-based compensation of $10.5 million, and depreciation and amortization of $5.5 million. The net decrease in operating assets and liabilities is primarily driven by an increase in accounts receivable of $8.3 million, an increase in other assets of $2.5 million, and a decrease in lease liabilities of $2.4 million. These decreases were offset by an increase in accrued expenses of $2.7 million and contract liabilities of $1.5 million.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Cash used in operating activities was $34.2 million during the six months ended June 30, 2022, primarily due to a net loss of $(36.5) million adjusted for non-cash charges of $19.5 million and a net decrease in our operating assets and liabilities of $(17.2) million. The non-cash adjustments primarily relate to stock-based compensation of $8.9 million, depreciation and amortization of $3.8 million, $1.2 million unrealized loss on marketable securities, $1.3 million donation of common stock and $3.5 million of reduction to our right of use lease assets. The net decrease in operating assets and liabilities is primarily driven by an increase in accounts receivable of $11.8 million primarily due to our continued revenue growth, and increase in other assets of $3.9 million, an increase in prepaid expenses of $1.6 million, a $1.9 million increase in accounts payable and increased contract liabilities of $2.9 million. These increases were offset by a decrease in lease liabilities of $2.8 million and a decrease in accrued expenses of $2.0 million.</w:t>
      </w:r>
    </w:p>
    <w:p>
      <w:pPr>
        <w:pStyle w:val="TextBody"/>
        <w:bidi w:val="0"/>
        <w:spacing w:before="120" w:after="0"/>
        <w:jc w:val="left"/>
        <w:rPr>
          <w:rFonts w:ascii="Times New Roman" w:hAnsi="Times New Roman"/>
          <w:sz w:val="20"/>
        </w:rPr>
      </w:pPr>
      <w:r>
        <w:rPr>
          <w:rFonts w:ascii="Times New Roman;serif" w:hAnsi="Times New Roman;serif"/>
          <w:b/>
          <w:i/>
          <w:sz w:val="20"/>
        </w:rPr>
        <w:t>Investing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the six months ended June 30, 2023, net cash provided by investing activities was $12.7 million, primarily due to the proceeds from the sale of marketable securities of $30.0 million offset by the purchase of property and equipment (which includes internal-use software development costs) of $8.5 million, $5.6 million for the purchase of marketable securities, and $3.3 million for the acquisition of Tridi.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Cash used in investing activities was $285.8 million during the six months ended June 30, 2022, primarily due to the purchase of marketable securities of $280.6 million and $5.4 million for purchases of property and equipment (which includes internal-use software development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Financing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the six months ended June 30, 2023, net cash provided by financing activities was $1.1 million, all relating to proceeds from the exercise of stock options.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Cash provided by financing activities was $280.7 million during the six months ended June 30, 2022, reflecting $287.5 million of proceeds from the issuance of the 2027 convertible senior notes. These inflows were offset by $9.3 million of convertible note costs incurred in connection with these notes.</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Critical Accounting Estimates</w:t>
      </w:r>
    </w:p>
    <w:p>
      <w:pPr>
        <w:pStyle w:val="TextBody"/>
        <w:bidi w:val="0"/>
        <w:spacing w:before="120" w:after="0"/>
        <w:jc w:val="left"/>
        <w:rPr/>
      </w:pPr>
      <w:r>
        <w:rPr>
          <w:rFonts w:ascii="Times New Roman;serif" w:hAnsi="Times New Roman;serif"/>
          <w:b w:val="false"/>
          <w:sz w:val="20"/>
        </w:rPr>
        <w:t xml:space="preserve">Our condensed consolidated financial statements and accompanying notes have been prepared in accordance with GAAP. The preparation of these condensed consolidated financial statements requires us to make estimates and assumptions that affect the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 For additional information about our critical accounting policies and estimates, see the disclosure included in our </w:t>
      </w:r>
      <w:hyperlink r:id="rId5">
        <w:r>
          <w:rPr>
            <w:rStyle w:val="InternetLink"/>
            <w:rFonts w:ascii="Times New Roman;serif" w:hAnsi="Times New Roman;serif"/>
            <w:b w:val="false"/>
            <w:sz w:val="20"/>
            <w:u w:val="single"/>
          </w:rPr>
          <w:t>Annual Report on Form 10-K</w:t>
        </w:r>
      </w:hyperlink>
      <w:r>
        <w:rPr>
          <w:rFonts w:ascii="Times New Roman" w:hAnsi="Times New Roman"/>
          <w:sz w:val="20"/>
        </w:rPr>
        <w:t xml:space="preserve"> </w:t>
      </w:r>
      <w:r>
        <w:rPr>
          <w:rFonts w:ascii="Times New Roman;serif" w:hAnsi="Times New Roman;serif"/>
          <w:b w:val="false"/>
          <w:sz w:val="20"/>
        </w:rPr>
        <w:t>as well as Note 2 – Basis of</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Presentation and Summary of Significant Accounting Policies in the notes to the condensed consolidated financial statements included in Part I, Item 1, of this Quarterly Report on Form 10-Q.</w:t>
      </w:r>
    </w:p>
    <w:p>
      <w:pPr>
        <w:pStyle w:val="TextBody"/>
        <w:bidi w:val="0"/>
        <w:spacing w:before="120" w:after="0"/>
        <w:jc w:val="center"/>
        <w:rPr>
          <w:rFonts w:ascii="Times New Roman" w:hAnsi="Times New Roman"/>
          <w:sz w:val="20"/>
        </w:rPr>
      </w:pPr>
      <w:r>
        <w:rPr>
          <w:rFonts w:ascii="Times New Roman;serif" w:hAnsi="Times New Roman;serif"/>
          <w:b/>
          <w:sz w:val="20"/>
        </w:rPr>
        <w:t>Recent Accounting Pronouncements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a description of our recently adopted accounting pronouncements and recently issued accounting standards not yet adopted, see Note 2 – Basis of Presentation and Summary of Significant Accounting Policies in the notes to the condensed consolidated financial statements included in Part I, Item 1, of this Quarterly Report on Form 10-Q.</w:t>
      </w:r>
    </w:p>
    <w:p>
      <w:pPr>
        <w:pStyle w:val="TextBody"/>
        <w:bidi w:val="0"/>
        <w:spacing w:before="240" w:after="0"/>
        <w:jc w:val="left"/>
        <w:rPr>
          <w:rFonts w:ascii="Times New Roman;serif" w:hAnsi="Times New Roman;serif"/>
          <w:b/>
          <w:sz w:val="20"/>
        </w:rPr>
      </w:pPr>
      <w:bookmarkStart w:id="15" w:name="i_item3"/>
      <w:bookmarkEnd w:id="15"/>
      <w:r>
        <w:rPr>
          <w:rFonts w:ascii="Times New Roman;serif" w:hAnsi="Times New Roman;serif"/>
          <w:b/>
          <w:sz w:val="20"/>
        </w:rPr>
        <w:t>Item 3. Quantitative and Qualitative Disclosures About Market Risk.</w:t>
      </w:r>
    </w:p>
    <w:p>
      <w:pPr>
        <w:pStyle w:val="TextBody"/>
        <w:bidi w:val="0"/>
        <w:spacing w:before="240" w:after="0"/>
        <w:jc w:val="left"/>
        <w:rPr>
          <w:rFonts w:ascii="Times New Roman" w:hAnsi="Times New Roman"/>
          <w:sz w:val="20"/>
        </w:rPr>
      </w:pPr>
      <w:r>
        <w:rPr>
          <w:rFonts w:ascii="Times New Roman;serif" w:hAnsi="Times New Roman;serif"/>
          <w:b w:val="false"/>
          <w:sz w:val="20"/>
        </w:rPr>
        <w:t>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Foreign Currency Exchange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U.S. revenue and costs are principally denominated in U.S. dollars and are not subject to foreign currency exchange risk. Our International operating segment generates revenue outside of the United States that is denominated in currencies other than the U.S. dollar. Our results of operations are impacted by changes in exchange rates.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Inflation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do not believe that inflation has had a material effect on our business, results of operations, or financial condition. If our costs were to become subject to significant inflationary pressures such as those caused by the conflict in Ukraine, we may not be able to fully offset such higher costs through price increases. Our inability or failure to do so could harm our business, results of operations and financial condition.</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bookmarkStart w:id="16" w:name="i_item4"/>
      <w:bookmarkEnd w:id="16"/>
      <w:r>
        <w:rPr>
          <w:rFonts w:ascii="Times New Roman;serif" w:hAnsi="Times New Roman;serif"/>
          <w:b/>
          <w:sz w:val="20"/>
        </w:rPr>
        <w:t>Item 4. Controls and Procedures.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Evaluation of Disclosure Controls and Procedures</w:t>
      </w:r>
    </w:p>
    <w:p>
      <w:pPr>
        <w:pStyle w:val="TextBody"/>
        <w:bidi w:val="0"/>
        <w:spacing w:before="120" w:after="0"/>
        <w:jc w:val="left"/>
        <w:rPr>
          <w:rFonts w:ascii="Times New Roman" w:hAnsi="Times New Roman"/>
          <w:sz w:val="20"/>
        </w:rPr>
      </w:pPr>
      <w:r>
        <w:rPr>
          <w:rFonts w:ascii="Times New Roman;serif" w:hAnsi="Times New Roman;serif"/>
          <w:b w:val="false"/>
          <w:sz w:val="20"/>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Pursuant to Rules 13a-15(e) and 15d-15(e) under the Exchange Act, our management, with the participation of our principal executive officer and principal financial officer, performed an evaluation of the effectiveness of our disclosure controls and procedures as of June 30, 2023. Based on such evaluation, our principal executive officer and principal financial officer concluded that our disclosure controls and procedures were not effective at a reasonable assurance level as a result of a material weakness that existed in our internal control over financial reporting as described below. While the Company has implemented remediation steps, the material weakness cannot be considered fully remediated until the controls have been in place and operate for a sufficient period of time.</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Material Weakness in Internal Control Over Financial Reporting</w:t>
      </w:r>
    </w:p>
    <w:p>
      <w:pPr>
        <w:pStyle w:val="TextBody"/>
        <w:bidi w:val="0"/>
        <w:spacing w:before="120" w:after="0"/>
        <w:jc w:val="left"/>
        <w:rPr>
          <w:rFonts w:ascii="Times New Roman" w:hAnsi="Times New Roman"/>
          <w:sz w:val="20"/>
        </w:rPr>
      </w:pPr>
      <w:r>
        <w:rPr>
          <w:rFonts w:ascii="Times New Roman;serif" w:hAnsi="Times New Roman;serif"/>
          <w:b w:val="false"/>
          <w:sz w:val="20"/>
        </w:rPr>
        <w:t>In connection with the audit of our financial statements as of and for the fiscal year ended December 31, 2022, during our implementation of internal control over financial reporting (Sarbanes-Oxley Act of 2002, or “SOX”), we identified a material weakness in our internal control over financial reporting that existed as of December 31, 2022.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December 9, 2021, we completed our acquisition of Thomas Publishing, Inc. (“Thomas”). The additional workload on our resources to integrate Thomas contributed to our inability to timely perform an effective risk assessment related to the achievement of its control objectives in certain processes, primarily revenue and costs of revenue. As a result, we were unable to design and operate effective process-level controls as of December 31, 2022.</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Management’s Plan to Remediate the Material Weakness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first half of 2023, management implemented remediation steps to address the material weakness and to improve our internal control over financial reporting. Specifically, now that Thomas has been fully integrated, we have improved our review processes over risk assessment, which also includes the documentation to support the operating effectiveness of our controls. While we implemented remediation steps, the material weakness cannot be considered fully remediated until the improved controls have been in place and operate for a sufficient period of time. However, our management, including our principal executive officer and principal financial officer, has concluded that, notwithstanding the identified material weakness in our internal control over financial reporting, the financial statements in this filing fairly present, in all material respects, our financial condition, results of operations and cash flows for the periods presented in conformity with U.S. GAAP.</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remainder of fiscal year 2023, management will test and evaluate the related internal controls to ascertain whether they are designed and operating effectively to provide reasonable assurance that they will prevent or detect a material error in the financial statements.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Changes in Internal Control over Financial Reporting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than as discussed above under “Management’s Plan to Remediate the Material Weakness”, there were no changes to our internal control over financial reporting that occurred during the quarter ended June 30, 2023, that have materially affected, or are reasonably likely to materially affect, our internal control over financial reporting.</w:t>
      </w:r>
    </w:p>
    <w:p>
      <w:pPr>
        <w:pStyle w:val="TextBody"/>
        <w:bidi w:val="0"/>
        <w:spacing w:before="12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Inherent Limitations on Effectiveness of Controls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120" w:after="0"/>
        <w:jc w:val="left"/>
        <w:rPr/>
      </w:pPr>
      <w:r>
        <w:rPr/>
        <w:t> </w:t>
      </w:r>
    </w:p>
    <w:p>
      <w:pPr>
        <w:pStyle w:val="TextBody"/>
        <w:bidi w:val="0"/>
        <w:spacing w:before="360" w:after="0"/>
        <w:jc w:val="center"/>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center"/>
        <w:rPr>
          <w:rFonts w:ascii="Times New Roman;serif" w:hAnsi="Times New Roman;serif"/>
          <w:b/>
          <w:sz w:val="20"/>
        </w:rPr>
      </w:pPr>
      <w:bookmarkStart w:id="17" w:name="part_ii"/>
      <w:bookmarkEnd w:id="17"/>
      <w:r>
        <w:rPr>
          <w:rFonts w:ascii="Times New Roman;serif" w:hAnsi="Times New Roman;serif"/>
          <w:b/>
          <w:sz w:val="20"/>
        </w:rPr>
        <w:t>PART II—OTHER INFORMATION</w:t>
      </w:r>
    </w:p>
    <w:p>
      <w:pPr>
        <w:pStyle w:val="TextBody"/>
        <w:bidi w:val="0"/>
        <w:spacing w:before="120" w:after="0"/>
        <w:jc w:val="left"/>
        <w:rPr>
          <w:rFonts w:ascii="Times New Roman;serif" w:hAnsi="Times New Roman;serif"/>
          <w:b/>
          <w:sz w:val="20"/>
        </w:rPr>
      </w:pPr>
      <w:bookmarkStart w:id="18" w:name="ii_item1"/>
      <w:bookmarkEnd w:id="18"/>
      <w:r>
        <w:rPr>
          <w:rFonts w:ascii="Times New Roman;serif" w:hAnsi="Times New Roman;serif"/>
          <w:b/>
          <w:sz w:val="20"/>
        </w:rPr>
        <w:t>Item 1. Legal Proceedings.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For the period ending June 30, 2023, there were no material legal proceedings brought against us nor were there any material developments to any ongoing legal proceedings which constituted reportable events.</w:t>
      </w:r>
    </w:p>
    <w:p>
      <w:pPr>
        <w:pStyle w:val="TextBody"/>
        <w:bidi w:val="0"/>
        <w:spacing w:before="360" w:after="0"/>
        <w:jc w:val="left"/>
        <w:rPr>
          <w:rFonts w:ascii="Times New Roman;serif" w:hAnsi="Times New Roman;serif"/>
          <w:b/>
          <w:sz w:val="20"/>
        </w:rPr>
      </w:pPr>
      <w:bookmarkStart w:id="19" w:name="ii_item1a"/>
      <w:bookmarkEnd w:id="19"/>
      <w:r>
        <w:rPr>
          <w:rFonts w:ascii="Times New Roman;serif" w:hAnsi="Times New Roman;serif"/>
          <w:b/>
          <w:sz w:val="20"/>
        </w:rPr>
        <w:t>Item 1A. Risk Factors.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Investing in our Class A common stock involves a high degree of risk. You should carefully consider the risks and uncertainties described in our Annual Report on Form 10</w:t>
        <w:noBreakHyphen/>
        <w:t>K for the year ended December 31, 2022 under Part I, Item 1A, "Risk Factors,” together with all of the other information in this Quarterly Report on Form 10-Q, including the sections titled “Management’s Discussion and Analysis of Financial Condition and Results of Operations” and our condensed consolidated financial statements and related notes, before making a decision to invest in our Class A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Class A common stock could decline, and you could lose part or all of your investment.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There have been no material changes to our risk factors as previously disclosed in Item 1A. contained in Part I of our Annual Report on Form 10</w:t>
        <w:noBreakHyphen/>
        <w:t>K for the year ended December 31, 2022.</w:t>
      </w:r>
    </w:p>
    <w:p>
      <w:pPr>
        <w:pStyle w:val="TextBody"/>
        <w:bidi w:val="0"/>
        <w:spacing w:before="360" w:after="0"/>
        <w:jc w:val="left"/>
        <w:rPr>
          <w:rFonts w:ascii="Times New Roman;serif" w:hAnsi="Times New Roman;serif"/>
          <w:b/>
          <w:sz w:val="20"/>
        </w:rPr>
      </w:pPr>
      <w:bookmarkStart w:id="20" w:name="ii_item2"/>
      <w:bookmarkEnd w:id="20"/>
      <w:r>
        <w:rPr>
          <w:rFonts w:ascii="Times New Roman;serif" w:hAnsi="Times New Roman;serif"/>
          <w:b/>
          <w:sz w:val="20"/>
        </w:rPr>
        <w:t>Item 2. Unregistered Sales of Equity Securities and Use of Proceeds.</w:t>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200" w:after="0"/>
        <w:jc w:val="left"/>
        <w:rPr/>
      </w:pPr>
      <w:r>
        <w:rPr/>
        <w:t> </w:t>
      </w:r>
    </w:p>
    <w:p>
      <w:pPr>
        <w:pStyle w:val="TextBody"/>
        <w:bidi w:val="0"/>
        <w:spacing w:before="200" w:after="0"/>
        <w:jc w:val="left"/>
        <w:rPr>
          <w:rFonts w:ascii="Times New Roman;serif" w:hAnsi="Times New Roman;serif"/>
          <w:b/>
          <w:sz w:val="20"/>
        </w:rPr>
      </w:pPr>
      <w:bookmarkStart w:id="21" w:name="ii_item3"/>
      <w:bookmarkEnd w:id="21"/>
      <w:r>
        <w:rPr>
          <w:rFonts w:ascii="Times New Roman;serif" w:hAnsi="Times New Roman;serif"/>
          <w:b/>
          <w:sz w:val="20"/>
        </w:rPr>
        <w:t>Item 3. Defaults Upon Senior Securities.</w:t>
      </w:r>
    </w:p>
    <w:p>
      <w:pPr>
        <w:pStyle w:val="TextBody"/>
        <w:bidi w:val="0"/>
        <w:spacing w:before="20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bidi w:val="0"/>
        <w:spacing w:before="200" w:after="0"/>
        <w:jc w:val="left"/>
        <w:rPr>
          <w:rFonts w:ascii="Times New Roman;serif" w:hAnsi="Times New Roman;serif"/>
          <w:b/>
          <w:sz w:val="20"/>
        </w:rPr>
      </w:pPr>
      <w:bookmarkStart w:id="22" w:name="ii_item4"/>
      <w:bookmarkEnd w:id="22"/>
      <w:r>
        <w:rPr>
          <w:rFonts w:ascii="Times New Roman;serif" w:hAnsi="Times New Roman;serif"/>
          <w:b/>
          <w:sz w:val="20"/>
        </w:rPr>
        <w:t>Item 4. Mine Safety Disclosures.</w:t>
      </w:r>
    </w:p>
    <w:p>
      <w:pPr>
        <w:pStyle w:val="TextBody"/>
        <w:bidi w:val="0"/>
        <w:spacing w:before="20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bidi w:val="0"/>
        <w:spacing w:before="200" w:after="0"/>
        <w:jc w:val="left"/>
        <w:rPr>
          <w:rFonts w:ascii="Times New Roman;serif" w:hAnsi="Times New Roman;serif"/>
          <w:b/>
          <w:sz w:val="20"/>
        </w:rPr>
      </w:pPr>
      <w:bookmarkStart w:id="23" w:name="ii_item5"/>
      <w:bookmarkEnd w:id="23"/>
      <w:r>
        <w:rPr>
          <w:rFonts w:ascii="Times New Roman;serif" w:hAnsi="Times New Roman;serif"/>
          <w:b/>
          <w:sz w:val="20"/>
        </w:rPr>
        <w:t>Item 5. Other Information.</w:t>
      </w:r>
    </w:p>
    <w:p>
      <w:pPr>
        <w:pStyle w:val="TextBody"/>
        <w:bidi w:val="0"/>
        <w:spacing w:before="200" w:after="0"/>
        <w:jc w:val="left"/>
        <w:rPr>
          <w:rFonts w:ascii="Times New Roman;serif" w:hAnsi="Times New Roman;serif"/>
          <w:b/>
          <w:sz w:val="20"/>
        </w:rPr>
      </w:pPr>
      <w:r>
        <w:rPr>
          <w:rFonts w:ascii="Times New Roman;serif" w:hAnsi="Times New Roman;serif"/>
          <w:b/>
          <w:sz w:val="20"/>
        </w:rPr>
        <w:t>Securities Trading Plans of Directors and Executive Officers</w:t>
      </w:r>
    </w:p>
    <w:p>
      <w:pPr>
        <w:pStyle w:val="TextBody"/>
        <w:bidi w:val="0"/>
        <w:spacing w:before="0" w:after="0"/>
        <w:jc w:val="left"/>
        <w:rPr>
          <w:rFonts w:ascii="Times New Roman" w:hAnsi="Times New Roman"/>
          <w:sz w:val="20"/>
        </w:rPr>
      </w:pPr>
      <w:r>
        <w:rPr>
          <w:rFonts w:ascii="Times New Roman;serif" w:hAnsi="Times New Roman;serif"/>
          <w:b w:val="false"/>
          <w:sz w:val="20"/>
        </w:rPr>
        <w:t>During our last fiscal quarter, our directors and officers (as defined in Rule 16a-1(f) under the Securities and Exchange Act of 1934, as amended) adopted or terminated the contracts instructions or written plans for the purchase or sale of the Company’s securities set forth in the table below.</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262"/>
        <w:gridCol w:w="706"/>
        <w:gridCol w:w="1364"/>
        <w:gridCol w:w="705"/>
        <w:gridCol w:w="482"/>
        <w:gridCol w:w="550"/>
        <w:gridCol w:w="146"/>
        <w:gridCol w:w="803"/>
        <w:gridCol w:w="915"/>
        <w:gridCol w:w="146"/>
        <w:gridCol w:w="426"/>
        <w:gridCol w:w="1494"/>
        <w:gridCol w:w="146"/>
        <w:gridCol w:w="1060"/>
      </w:tblGrid>
      <w:tr>
        <w:trPr/>
        <w:tc>
          <w:tcPr>
            <w:tcW w:w="126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r>
      <w:tr>
        <w:trPr/>
        <w:tc>
          <w:tcPr>
            <w:tcW w:w="10205"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Type of Trading Arrangement</w:t>
            </w:r>
          </w:p>
        </w:tc>
      </w:tr>
      <w:tr>
        <w:trPr/>
        <w:tc>
          <w:tcPr>
            <w:tcW w:w="12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Name and Position</w:t>
            </w:r>
          </w:p>
        </w:tc>
        <w:tc>
          <w:tcPr>
            <w:tcW w:w="7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Action</w:t>
            </w:r>
          </w:p>
        </w:tc>
        <w:tc>
          <w:tcPr>
            <w:tcW w:w="13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Adoption/Termination Date</w:t>
            </w:r>
          </w:p>
        </w:tc>
        <w:tc>
          <w:tcPr>
            <w:tcW w:w="7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Rule 10b5-1*</w:t>
            </w:r>
          </w:p>
        </w:tc>
        <w:tc>
          <w:tcPr>
            <w:tcW w:w="10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Non-Rule 10b5-1**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Total Shares of Class A Common Stock to be Sold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Total Shares of Class A Common Stock to be Purchased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Expiration Date</w:t>
            </w:r>
          </w:p>
        </w:tc>
      </w:tr>
      <w:tr>
        <w:trPr/>
        <w:tc>
          <w:tcPr>
            <w:tcW w:w="1262"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7"/>
              </w:rPr>
              <w:t>Bill Cronin</w:t>
            </w:r>
            <w:r>
              <w:rPr>
                <w:rFonts w:ascii="Times New Roman" w:hAnsi="Times New Roman"/>
                <w:sz w:val="20"/>
              </w:rPr>
              <w:t xml:space="preserve"> </w:t>
            </w:r>
            <w:r>
              <w:rPr>
                <w:rFonts w:ascii="Times New Roman;serif" w:hAnsi="Times New Roman;serif"/>
                <w:b w:val="false"/>
                <w:i/>
                <w:sz w:val="17"/>
              </w:rPr>
              <w:t>Chief Revenue Officer</w:t>
            </w:r>
          </w:p>
        </w:tc>
        <w:tc>
          <w:tcPr>
            <w:tcW w:w="706" w:type="dxa"/>
            <w:tcBorders/>
            <w:vAlign w:val="center"/>
          </w:tcPr>
          <w:p>
            <w:pPr>
              <w:pStyle w:val="TableContents"/>
              <w:bidi w:val="0"/>
              <w:spacing w:before="0" w:after="0"/>
              <w:ind w:left="0" w:right="0" w:hanging="0"/>
              <w:jc w:val="center"/>
              <w:rPr>
                <w:rFonts w:ascii="Times New Roman;serif" w:hAnsi="Times New Roman;serif"/>
                <w:b w:val="false"/>
                <w:sz w:val="17"/>
              </w:rPr>
            </w:pPr>
            <w:r>
              <w:rPr>
                <w:rFonts w:ascii="Times New Roman;serif" w:hAnsi="Times New Roman;serif"/>
                <w:b w:val="false"/>
                <w:sz w:val="17"/>
              </w:rPr>
              <w:t>Adopted</w:t>
            </w:r>
          </w:p>
        </w:tc>
        <w:tc>
          <w:tcPr>
            <w:tcW w:w="1364" w:type="dxa"/>
            <w:tcBorders/>
            <w:vAlign w:val="center"/>
          </w:tcPr>
          <w:p>
            <w:pPr>
              <w:pStyle w:val="TableContents"/>
              <w:bidi w:val="0"/>
              <w:spacing w:before="0" w:after="0"/>
              <w:ind w:left="0" w:right="0" w:hanging="0"/>
              <w:jc w:val="center"/>
              <w:rPr>
                <w:rFonts w:ascii="Times New Roman;serif" w:hAnsi="Times New Roman;serif"/>
                <w:b w:val="false"/>
                <w:sz w:val="17"/>
              </w:rPr>
            </w:pPr>
            <w:r>
              <w:rPr>
                <w:rFonts w:ascii="Times New Roman;serif" w:hAnsi="Times New Roman;serif"/>
                <w:b w:val="false"/>
                <w:sz w:val="17"/>
              </w:rPr>
              <w:t>5/17/2023</w:t>
            </w:r>
          </w:p>
        </w:tc>
        <w:tc>
          <w:tcPr>
            <w:tcW w:w="705" w:type="dxa"/>
            <w:tcBorders/>
            <w:vAlign w:val="center"/>
          </w:tcPr>
          <w:p>
            <w:pPr>
              <w:pStyle w:val="TableContents"/>
              <w:bidi w:val="0"/>
              <w:spacing w:before="0" w:after="0"/>
              <w:ind w:left="0" w:right="0" w:hanging="0"/>
              <w:jc w:val="center"/>
              <w:rPr>
                <w:rFonts w:ascii="Times New Roman;serif" w:hAnsi="Times New Roman;serif"/>
                <w:b w:val="false"/>
                <w:sz w:val="17"/>
              </w:rPr>
            </w:pPr>
            <w:r>
              <w:rPr>
                <w:rFonts w:ascii="Times New Roman;serif" w:hAnsi="Times New Roman;serif"/>
                <w:b w:val="false"/>
                <w:sz w:val="17"/>
              </w:rPr>
              <w:t>X</w:t>
            </w:r>
          </w:p>
        </w:tc>
        <w:tc>
          <w:tcPr>
            <w:tcW w:w="482"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426" w:type="dxa"/>
            <w:tcBorders/>
            <w:vAlign w:val="center"/>
          </w:tcPr>
          <w:p>
            <w:pPr>
              <w:pStyle w:val="TableContents"/>
              <w:bidi w:val="0"/>
              <w:spacing w:before="0" w:after="0"/>
              <w:ind w:left="0" w:right="0" w:hanging="0"/>
              <w:jc w:val="left"/>
              <w:rPr/>
            </w:pPr>
            <w:r>
              <w:rPr/>
              <w:t> </w:t>
            </w:r>
          </w:p>
        </w:tc>
        <w:tc>
          <w:tcPr>
            <w:tcW w:w="1494"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7,626</w:t>
            </w:r>
          </w:p>
        </w:tc>
        <w:tc>
          <w:tcPr>
            <w:tcW w:w="146"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center"/>
              <w:rPr>
                <w:rFonts w:ascii="Times New Roman;serif" w:hAnsi="Times New Roman;serif"/>
                <w:b w:val="false"/>
                <w:sz w:val="17"/>
              </w:rPr>
            </w:pPr>
            <w:r>
              <w:rPr>
                <w:rFonts w:ascii="Times New Roman;serif" w:hAnsi="Times New Roman;serif"/>
                <w:b w:val="false"/>
                <w:sz w:val="17"/>
              </w:rPr>
              <w:t>7/1/2025</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8"/>
        </w:rPr>
      </w:pPr>
      <w:r>
        <w:rPr>
          <w:rFonts w:ascii="Times New Roman;serif" w:hAnsi="Times New Roman;serif"/>
          <w:b w:val="false"/>
          <w:sz w:val="18"/>
        </w:rPr>
        <w:t>* Contract, instruction or written plan intended to satisfy the affirmative defense conditions of Rule 10b5-1(c) under the Exchange Act.</w:t>
      </w:r>
    </w:p>
    <w:p>
      <w:pPr>
        <w:pStyle w:val="TextBody"/>
        <w:bidi w:val="0"/>
        <w:spacing w:before="0" w:after="0"/>
        <w:jc w:val="left"/>
        <w:rPr>
          <w:rFonts w:ascii="Times New Roman" w:hAnsi="Times New Roman"/>
          <w:sz w:val="20"/>
        </w:rPr>
      </w:pPr>
      <w:r>
        <w:rPr>
          <w:rFonts w:ascii="Times New Roman;serif" w:hAnsi="Times New Roman;serif"/>
          <w:b w:val="false"/>
          <w:sz w:val="18"/>
        </w:rPr>
        <w:t>** “Non-Rule 10b5-1 trading arrangement” as defined in Item 408(c) of Regulation S-K under the Exchange Act.</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bookmarkStart w:id="24" w:name="ii_item6"/>
      <w:bookmarkEnd w:id="24"/>
      <w:r>
        <w:rPr>
          <w:rFonts w:ascii="Times New Roman;serif" w:hAnsi="Times New Roman;serif"/>
          <w:b/>
          <w:sz w:val="20"/>
        </w:rPr>
        <w:t>Item 6. Exhibits.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documents listed in the Exhibit Index of this Quarterly Report on Form 10-Q are herein incorporated by reference or are filed with this Quarterly Report on Form 10-Q, in each case as indicated therein (numbered in accordance with Item 601 of Regulation S-K).</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83"/>
        <w:gridCol w:w="146"/>
        <w:gridCol w:w="9276"/>
      </w:tblGrid>
      <w:tr>
        <w:trPr/>
        <w:tc>
          <w:tcPr>
            <w:tcW w:w="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6" w:type="dxa"/>
            <w:tcBorders/>
            <w:vAlign w:val="center"/>
          </w:tcPr>
          <w:p>
            <w:pPr>
              <w:pStyle w:val="TableContents"/>
              <w:bidi w:val="0"/>
              <w:spacing w:before="0" w:after="283"/>
              <w:jc w:val="left"/>
              <w:rPr>
                <w:sz w:val="4"/>
                <w:szCs w:val="4"/>
              </w:rPr>
            </w:pPr>
            <w:r>
              <w:rPr>
                <w:sz w:val="4"/>
                <w:szCs w:val="4"/>
              </w:rPr>
            </w:r>
          </w:p>
        </w:tc>
      </w:tr>
      <w:tr>
        <w:trPr/>
        <w:tc>
          <w:tcPr>
            <w:tcW w:w="78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7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r>
      <w:tr>
        <w:trPr/>
        <w:tc>
          <w:tcPr>
            <w:tcW w:w="78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7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6"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6">
              <w:r>
                <w:rPr>
                  <w:rStyle w:val="InternetLink"/>
                  <w:rFonts w:ascii="Times New Roman;serif" w:hAnsi="Times New Roman;serif"/>
                  <w:b w:val="false"/>
                  <w:sz w:val="20"/>
                  <w:u w:val="single"/>
                </w:rPr>
                <w:t>Amended and Restated Certificate of Incorporation of Xometry, Inc., (incorporated herein by reference to Exhibit 3.1 to the Company’s Current Report on Form 8-K (File No. 001-40546), filed with the SEC on July 2, 2021).</w:t>
              </w:r>
            </w:hyperlink>
          </w:p>
        </w:tc>
      </w:tr>
      <w:tr>
        <w:trPr/>
        <w:tc>
          <w:tcPr>
            <w:tcW w:w="7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6"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7">
              <w:r>
                <w:rPr>
                  <w:rStyle w:val="InternetLink"/>
                  <w:rFonts w:ascii="Times New Roman;serif" w:hAnsi="Times New Roman;serif"/>
                  <w:b w:val="false"/>
                  <w:sz w:val="20"/>
                  <w:u w:val="single"/>
                </w:rPr>
                <w:t>Amended and Restated Bylaws of Xometry, Inc., (incorporated herein by reference to Exhibit 3.2 to the Company’s Current Report on Form 8-K (File No. 001-40546), filed with the SEC on July 2, 2021).</w:t>
              </w:r>
            </w:hyperlink>
          </w:p>
        </w:tc>
      </w:tr>
      <w:tr>
        <w:trPr/>
        <w:tc>
          <w:tcPr>
            <w:tcW w:w="7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7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xmtr-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r>
      <w:tr>
        <w:trPr/>
        <w:tc>
          <w:tcPr>
            <w:tcW w:w="7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7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xmtr-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7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7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xmtr-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r>
      <w:tr>
        <w:trPr/>
        <w:tc>
          <w:tcPr>
            <w:tcW w:w="7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7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xmtr-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r>
      <w:tr>
        <w:trPr/>
        <w:tc>
          <w:tcPr>
            <w:tcW w:w="7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r>
      <w:tr>
        <w:trPr/>
        <w:tc>
          <w:tcPr>
            <w:tcW w:w="7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7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7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7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7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7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pBdr>
          <w:bottom w:val="single" w:sz="4" w:space="1" w:color="000000"/>
        </w:pBdr>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Filed herewith.</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5" w:name="signatures"/>
      <w:bookmarkEnd w:id="25"/>
      <w:r>
        <w:rPr>
          <w:rFonts w:ascii="Times New Roman;serif" w:hAnsi="Times New Roman;serif"/>
          <w:b/>
          <w:sz w:val="20"/>
        </w:rPr>
        <w:t>SIGNATURES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its behalf by the undersigned thereunto duly authorized.</w:t>
      </w:r>
    </w:p>
    <w:p>
      <w:pPr>
        <w:pStyle w:val="TextBody"/>
        <w:bidi w:val="0"/>
        <w:spacing w:before="0" w:after="0"/>
        <w:jc w:val="left"/>
        <w:rPr/>
      </w:pPr>
      <w:r>
        <w:rPr/>
        <w:t> </w:t>
      </w:r>
    </w:p>
    <w:tbl>
      <w:tblPr>
        <w:tblW w:w="5617" w:type="dxa"/>
        <w:jc w:val="left"/>
        <w:tblInd w:w="0" w:type="dxa"/>
        <w:tblLayout w:type="fixed"/>
        <w:tblCellMar>
          <w:top w:w="28" w:type="dxa"/>
          <w:left w:w="28" w:type="dxa"/>
          <w:bottom w:w="28" w:type="dxa"/>
          <w:right w:w="28" w:type="dxa"/>
        </w:tblCellMar>
      </w:tblPr>
      <w:tblGrid>
        <w:gridCol w:w="1846"/>
        <w:gridCol w:w="109"/>
        <w:gridCol w:w="406"/>
        <w:gridCol w:w="325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62"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XOMETRY, INC.</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25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Randolph Altschuler</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Randolph Altschuler</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Executive Officer and Director</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25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James Rallo</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James Rallo</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6" w:name="xmtr-ex31_1.htm"/>
      <w:bookmarkStart w:id="27" w:name="ksxmtrex31_1"/>
      <w:bookmarkEnd w:id="26"/>
      <w:bookmarkEnd w:id="27"/>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31.1</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Randolph Altschuler,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Xometry, Inc.;</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5617" w:type="dxa"/>
        <w:jc w:val="left"/>
        <w:tblInd w:w="0" w:type="dxa"/>
        <w:tblLayout w:type="fixed"/>
        <w:tblCellMar>
          <w:top w:w="28" w:type="dxa"/>
          <w:left w:w="28" w:type="dxa"/>
          <w:bottom w:w="28" w:type="dxa"/>
          <w:right w:w="28" w:type="dxa"/>
        </w:tblCellMar>
      </w:tblPr>
      <w:tblGrid>
        <w:gridCol w:w="1846"/>
        <w:gridCol w:w="109"/>
        <w:gridCol w:w="406"/>
        <w:gridCol w:w="325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25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Randolph Altschuler</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Randolph Altschuler</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Executive Officer and Director</w:t>
            </w:r>
          </w:p>
        </w:tc>
      </w:tr>
    </w:tbl>
    <w:p>
      <w:pPr>
        <w:pStyle w:val="TextBody"/>
        <w:bidi w:val="0"/>
        <w:spacing w:before="24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8" w:name="xmtr-ex31_2.htm"/>
      <w:bookmarkStart w:id="29" w:name="ksxmtrex31_2"/>
      <w:bookmarkEnd w:id="28"/>
      <w:bookmarkEnd w:id="29"/>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31.2</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James Rallo,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Xometry, Inc.;</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4462" w:type="dxa"/>
        <w:jc w:val="left"/>
        <w:tblInd w:w="0" w:type="dxa"/>
        <w:tblLayout w:type="fixed"/>
        <w:tblCellMar>
          <w:top w:w="28" w:type="dxa"/>
          <w:left w:w="28" w:type="dxa"/>
          <w:bottom w:w="28" w:type="dxa"/>
          <w:right w:w="28" w:type="dxa"/>
        </w:tblCellMar>
      </w:tblPr>
      <w:tblGrid>
        <w:gridCol w:w="1846"/>
        <w:gridCol w:w="109"/>
        <w:gridCol w:w="406"/>
        <w:gridCol w:w="210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10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James Rallo</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James Rallo</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0" w:name="xmtr-ex32_1.htm"/>
      <w:bookmarkStart w:id="31" w:name="ksxmtrex32_1"/>
      <w:bookmarkEnd w:id="30"/>
      <w:bookmarkEnd w:id="31"/>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32.1</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Xometry, Inc. (the “Company”) on Form 10-Q for the period ending June 30, 2023 as filed with the Securities and Exchange Commission on the date hereof (the “Report”), I certify, pursuant to 18 U.S.C. § 1350, as adopted pursuant to § 906 of the Sarbanes-Oxley Act of 2002, that: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and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 of operations of the Company.</w:t>
      </w:r>
    </w:p>
    <w:p>
      <w:pPr>
        <w:pStyle w:val="TextBody"/>
        <w:bidi w:val="0"/>
        <w:spacing w:before="0" w:after="0"/>
        <w:jc w:val="left"/>
        <w:rPr/>
      </w:pPr>
      <w:r>
        <w:rPr/>
        <w:t> </w:t>
      </w:r>
    </w:p>
    <w:tbl>
      <w:tblPr>
        <w:tblW w:w="5617" w:type="dxa"/>
        <w:jc w:val="left"/>
        <w:tblInd w:w="0" w:type="dxa"/>
        <w:tblLayout w:type="fixed"/>
        <w:tblCellMar>
          <w:top w:w="28" w:type="dxa"/>
          <w:left w:w="28" w:type="dxa"/>
          <w:bottom w:w="28" w:type="dxa"/>
          <w:right w:w="28" w:type="dxa"/>
        </w:tblCellMar>
      </w:tblPr>
      <w:tblGrid>
        <w:gridCol w:w="1846"/>
        <w:gridCol w:w="109"/>
        <w:gridCol w:w="406"/>
        <w:gridCol w:w="325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25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Randolph Altschuler</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Randolph Altschuler</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Executive Officer and Director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2" w:name="xmtr-ex32_2.htm"/>
      <w:bookmarkStart w:id="33" w:name="ksxmtrex32_2"/>
      <w:bookmarkEnd w:id="32"/>
      <w:bookmarkEnd w:id="33"/>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32.2</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Xometry, Inc. (the “Company”) on Form 10-Q for the period ending June 30, 2023 as filed with the Securities and Exchange Commission on the date hereof (the “Report”), I certify, pursuant to 18 U.S.C. § 1350, as adopted pursuant to § 906 of the Sarbanes-Oxley Act of 2002, that: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and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 of operations of the Company.</w:t>
      </w:r>
    </w:p>
    <w:p>
      <w:pPr>
        <w:pStyle w:val="TextBody"/>
        <w:bidi w:val="0"/>
        <w:spacing w:before="0" w:after="0"/>
        <w:jc w:val="left"/>
        <w:rPr/>
      </w:pPr>
      <w:r>
        <w:rPr/>
        <w:t> </w:t>
      </w:r>
    </w:p>
    <w:tbl>
      <w:tblPr>
        <w:tblW w:w="4462" w:type="dxa"/>
        <w:jc w:val="left"/>
        <w:tblInd w:w="0" w:type="dxa"/>
        <w:tblLayout w:type="fixed"/>
        <w:tblCellMar>
          <w:top w:w="28" w:type="dxa"/>
          <w:left w:w="28" w:type="dxa"/>
          <w:bottom w:w="28" w:type="dxa"/>
          <w:right w:w="28" w:type="dxa"/>
        </w:tblCellMar>
      </w:tblPr>
      <w:tblGrid>
        <w:gridCol w:w="1846"/>
        <w:gridCol w:w="109"/>
        <w:gridCol w:w="406"/>
        <w:gridCol w:w="210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10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James Rallo</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James Rallo</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tc>
      </w:tr>
    </w:tbl>
    <w:p>
      <w:pPr>
        <w:pStyle w:val="TextBody"/>
        <w:bidi w:val="0"/>
        <w:spacing w:before="24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ix?doc=/Archives/edgar/data/1657573/000095017023008494/xmtr-20221231.htm" TargetMode="External"/><Relationship Id="rId6" Type="http://schemas.openxmlformats.org/officeDocument/2006/relationships/hyperlink" Target="https://www.sec.gov/Archives/edgar/data/0001657573/000119312521207643/d184650dex31.htm" TargetMode="External"/><Relationship Id="rId7" Type="http://schemas.openxmlformats.org/officeDocument/2006/relationships/hyperlink" Target="https://www.sec.gov/Archives/edgar/data/0001657573/000119312521207643/d184650dex3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24262</Words>
  <Characters>131909</Characters>
  <CharactersWithSpaces>158027</CharactersWithSpaces>
  <Paragraphs>7968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