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22"/>
          <w:szCs w:val="22"/>
          <w:b w:val="1"/>
          <w:bCs w:val="1"/>
          <w:u w:val="single" w:color="auto"/>
          <w:color w:val="auto"/>
        </w:rPr>
        <w:t>ASHINGTON, D.C. 205</w:t>
      </w:r>
      <w:r>
        <w:rPr>
          <w:rFonts w:ascii="Times New Roman" w:cs="Times New Roman" w:eastAsia="Times New Roman" w:hAnsi="Times New Roman"/>
          <w:sz w:val="22"/>
          <w:szCs w:val="22"/>
          <w:b w:val="1"/>
          <w:bCs w:val="1"/>
          <w:color w:val="auto"/>
        </w:rPr>
        <w:t>49</w:t>
      </w:r>
    </w:p>
    <w:p>
      <w:pPr>
        <w:spacing w:after="0" w:line="1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36195</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August 10,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71120</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Xometry, Inc.</w:t>
      </w:r>
    </w:p>
    <w:p>
      <w:pPr>
        <w:spacing w:after="0" w:line="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157" w:lineRule="exact"/>
        <w:rPr>
          <w:sz w:val="24"/>
          <w:szCs w:val="24"/>
          <w:color w:val="auto"/>
        </w:rPr>
      </w:pPr>
    </w:p>
    <w:tbl>
      <w:tblPr>
        <w:tblLayout w:type="fixed"/>
        <w:tblInd w:w="1220" w:type="dxa"/>
        <w:tblCellMar>
          <w:top w:w="0" w:type="dxa"/>
          <w:left w:w="0" w:type="dxa"/>
          <w:bottom w:w="0" w:type="dxa"/>
          <w:right w:w="0" w:type="dxa"/>
        </w:tblCellMar>
      </w:tblPr>
      <w:tr>
        <w:trPr>
          <w:trHeight w:val="185"/>
        </w:trPr>
        <w:tc>
          <w:tcPr>
            <w:tcW w:w="3280" w:type="dxa"/>
            <w:vAlign w:val="bottom"/>
          </w:tcPr>
          <w:p>
            <w:pPr>
              <w:jc w:val="center"/>
              <w:ind w:right="881"/>
              <w:spacing w:after="0" w:line="186" w:lineRule="exact"/>
              <w:rPr>
                <w:sz w:val="20"/>
                <w:szCs w:val="20"/>
                <w:color w:val="auto"/>
              </w:rPr>
            </w:pPr>
            <w:r>
              <w:rPr>
                <w:rFonts w:ascii="Times New Roman" w:cs="Times New Roman" w:eastAsia="Times New Roman" w:hAnsi="Times New Roman"/>
                <w:sz w:val="18"/>
                <w:szCs w:val="18"/>
                <w:b w:val="1"/>
                <w:bCs w:val="1"/>
                <w:color w:val="auto"/>
                <w:w w:val="98"/>
              </w:rPr>
              <w:t>Delaware</w:t>
            </w:r>
          </w:p>
        </w:tc>
        <w:tc>
          <w:tcPr>
            <w:tcW w:w="2240" w:type="dxa"/>
            <w:vAlign w:val="bottom"/>
            <w:tcBorders>
              <w:top w:val="single" w:sz="8" w:color="auto"/>
            </w:tcBorders>
          </w:tcPr>
          <w:p>
            <w:pPr>
              <w:jc w:val="right"/>
              <w:ind w:right="521"/>
              <w:spacing w:after="0" w:line="186" w:lineRule="exact"/>
              <w:rPr>
                <w:sz w:val="20"/>
                <w:szCs w:val="20"/>
                <w:color w:val="auto"/>
              </w:rPr>
            </w:pPr>
            <w:r>
              <w:rPr>
                <w:rFonts w:ascii="Times New Roman" w:cs="Times New Roman" w:eastAsia="Times New Roman" w:hAnsi="Times New Roman"/>
                <w:sz w:val="18"/>
                <w:szCs w:val="18"/>
                <w:b w:val="1"/>
                <w:bCs w:val="1"/>
                <w:color w:val="auto"/>
              </w:rPr>
              <w:t>001-40546</w:t>
            </w:r>
          </w:p>
        </w:tc>
        <w:tc>
          <w:tcPr>
            <w:tcW w:w="2780" w:type="dxa"/>
            <w:vAlign w:val="bottom"/>
          </w:tcPr>
          <w:p>
            <w:pPr>
              <w:jc w:val="right"/>
              <w:ind w:right="24"/>
              <w:spacing w:after="0" w:line="186" w:lineRule="exact"/>
              <w:rPr>
                <w:sz w:val="20"/>
                <w:szCs w:val="20"/>
                <w:color w:val="auto"/>
              </w:rPr>
            </w:pPr>
            <w:r>
              <w:rPr>
                <w:rFonts w:ascii="Times New Roman" w:cs="Times New Roman" w:eastAsia="Times New Roman" w:hAnsi="Times New Roman"/>
                <w:sz w:val="18"/>
                <w:szCs w:val="18"/>
                <w:b w:val="1"/>
                <w:bCs w:val="1"/>
                <w:color w:val="auto"/>
              </w:rPr>
              <w:t>32-0415449</w:t>
            </w:r>
          </w:p>
        </w:tc>
      </w:tr>
      <w:tr>
        <w:trPr>
          <w:trHeight w:val="148"/>
        </w:trPr>
        <w:tc>
          <w:tcPr>
            <w:tcW w:w="3280" w:type="dxa"/>
            <w:vAlign w:val="bottom"/>
          </w:tcPr>
          <w:p>
            <w:pPr>
              <w:jc w:val="center"/>
              <w:ind w:right="881"/>
              <w:spacing w:after="0" w:line="149" w:lineRule="exact"/>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2240" w:type="dxa"/>
            <w:vAlign w:val="bottom"/>
          </w:tcPr>
          <w:p>
            <w:pPr>
              <w:jc w:val="center"/>
              <w:ind w:left="161"/>
              <w:spacing w:after="0" w:line="149" w:lineRule="exact"/>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780" w:type="dxa"/>
            <w:vAlign w:val="bottom"/>
          </w:tcPr>
          <w:p>
            <w:pPr>
              <w:jc w:val="center"/>
              <w:ind w:left="1644"/>
              <w:spacing w:after="0" w:line="149" w:lineRule="exact"/>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280" w:type="dxa"/>
            <w:vAlign w:val="bottom"/>
          </w:tcPr>
          <w:p>
            <w:pPr>
              <w:jc w:val="center"/>
              <w:ind w:right="88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2240" w:type="dxa"/>
            <w:vAlign w:val="bottom"/>
          </w:tcPr>
          <w:p>
            <w:pPr>
              <w:spacing w:after="0"/>
              <w:rPr>
                <w:sz w:val="15"/>
                <w:szCs w:val="15"/>
                <w:color w:val="auto"/>
              </w:rPr>
            </w:pPr>
          </w:p>
        </w:tc>
        <w:tc>
          <w:tcPr>
            <w:tcW w:w="2780" w:type="dxa"/>
            <w:vAlign w:val="bottom"/>
          </w:tcPr>
          <w:p>
            <w:pPr>
              <w:jc w:val="center"/>
              <w:ind w:left="164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69"/>
        </w:trPr>
        <w:tc>
          <w:tcPr>
            <w:tcW w:w="3280" w:type="dxa"/>
            <w:vAlign w:val="bottom"/>
          </w:tcPr>
          <w:p>
            <w:pPr>
              <w:jc w:val="center"/>
              <w:ind w:right="881"/>
              <w:spacing w:after="0"/>
              <w:rPr>
                <w:sz w:val="20"/>
                <w:szCs w:val="20"/>
                <w:color w:val="auto"/>
              </w:rPr>
            </w:pPr>
            <w:r>
              <w:rPr>
                <w:rFonts w:ascii="Times New Roman" w:cs="Times New Roman" w:eastAsia="Times New Roman" w:hAnsi="Times New Roman"/>
                <w:sz w:val="18"/>
                <w:szCs w:val="18"/>
                <w:b w:val="1"/>
                <w:bCs w:val="1"/>
                <w:color w:val="auto"/>
                <w:w w:val="99"/>
              </w:rPr>
              <w:t>7529 Standish Place, Suite 200</w:t>
            </w:r>
          </w:p>
        </w:tc>
        <w:tc>
          <w:tcPr>
            <w:tcW w:w="224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08"/>
        </w:trPr>
        <w:tc>
          <w:tcPr>
            <w:tcW w:w="3280" w:type="dxa"/>
            <w:vAlign w:val="bottom"/>
          </w:tcPr>
          <w:p>
            <w:pPr>
              <w:jc w:val="center"/>
              <w:ind w:right="881"/>
              <w:spacing w:after="0"/>
              <w:rPr>
                <w:sz w:val="20"/>
                <w:szCs w:val="20"/>
                <w:color w:val="auto"/>
              </w:rPr>
            </w:pPr>
            <w:r>
              <w:rPr>
                <w:rFonts w:ascii="Times New Roman" w:cs="Times New Roman" w:eastAsia="Times New Roman" w:hAnsi="Times New Roman"/>
                <w:sz w:val="18"/>
                <w:szCs w:val="18"/>
                <w:b w:val="1"/>
                <w:bCs w:val="1"/>
                <w:color w:val="auto"/>
                <w:w w:val="99"/>
              </w:rPr>
              <w:t>Derwood, Maryland</w:t>
            </w:r>
          </w:p>
        </w:tc>
        <w:tc>
          <w:tcPr>
            <w:tcW w:w="2240" w:type="dxa"/>
            <w:vAlign w:val="bottom"/>
          </w:tcPr>
          <w:p>
            <w:pPr>
              <w:spacing w:after="0"/>
              <w:rPr>
                <w:sz w:val="18"/>
                <w:szCs w:val="18"/>
                <w:color w:val="auto"/>
              </w:rPr>
            </w:pPr>
          </w:p>
        </w:tc>
        <w:tc>
          <w:tcPr>
            <w:tcW w:w="278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20855</w:t>
            </w:r>
          </w:p>
        </w:tc>
      </w:tr>
      <w:tr>
        <w:trPr>
          <w:trHeight w:val="178"/>
        </w:trPr>
        <w:tc>
          <w:tcPr>
            <w:tcW w:w="3280" w:type="dxa"/>
            <w:vAlign w:val="bottom"/>
          </w:tcPr>
          <w:p>
            <w:pPr>
              <w:jc w:val="center"/>
              <w:ind w:right="88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2240" w:type="dxa"/>
            <w:vAlign w:val="bottom"/>
          </w:tcPr>
          <w:p>
            <w:pPr>
              <w:spacing w:after="0"/>
              <w:rPr>
                <w:sz w:val="15"/>
                <w:szCs w:val="15"/>
                <w:color w:val="auto"/>
              </w:rPr>
            </w:pPr>
          </w:p>
        </w:tc>
        <w:tc>
          <w:tcPr>
            <w:tcW w:w="2780" w:type="dxa"/>
            <w:vAlign w:val="bottom"/>
          </w:tcPr>
          <w:p>
            <w:pPr>
              <w:jc w:val="center"/>
              <w:ind w:left="164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19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(240) 335-7914</w:t>
      </w:r>
    </w:p>
    <w:p>
      <w:pPr>
        <w:spacing w:after="0" w:line="1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110490</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311" w:lineRule="exact"/>
        <w:rPr>
          <w:sz w:val="24"/>
          <w:szCs w:val="24"/>
          <w:color w:val="auto"/>
        </w:rPr>
      </w:pPr>
    </w:p>
    <w:p>
      <w:pPr>
        <w:ind w:right="700"/>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21"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6"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53" w:lineRule="exact"/>
        <w:rPr>
          <w:rFonts w:ascii="MS PGothic" w:cs="MS PGothic" w:eastAsia="MS PGothic" w:hAnsi="MS PGothic"/>
          <w:sz w:val="18"/>
          <w:szCs w:val="18"/>
          <w:color w:val="auto"/>
        </w:rPr>
      </w:pPr>
    </w:p>
    <w:p>
      <w:pPr>
        <w:ind w:left="34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25"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38"/>
        </w:trPr>
        <w:tc>
          <w:tcPr>
            <w:tcW w:w="42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par value $0.000001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XMTR</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c>
          <w:tcPr>
            <w:tcW w:w="0" w:type="dxa"/>
            <w:vAlign w:val="bottom"/>
          </w:tcPr>
          <w:p>
            <w:pPr>
              <w:spacing w:after="0"/>
              <w:rPr>
                <w:sz w:val="1"/>
                <w:szCs w:val="1"/>
                <w:color w:val="auto"/>
              </w:rPr>
            </w:pPr>
          </w:p>
        </w:tc>
      </w:tr>
    </w:tbl>
    <w:p>
      <w:pPr>
        <w:spacing w:after="0" w:line="166" w:lineRule="exact"/>
        <w:rPr>
          <w:sz w:val="24"/>
          <w:szCs w:val="24"/>
          <w:color w:val="auto"/>
        </w:rPr>
      </w:pPr>
    </w:p>
    <w:p>
      <w:pPr>
        <w:ind w:right="500"/>
        <w:spacing w:after="0" w:line="28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6" w:lineRule="exact"/>
        <w:rPr>
          <w:sz w:val="24"/>
          <w:szCs w:val="24"/>
          <w:color w:val="auto"/>
        </w:rPr>
      </w:pPr>
    </w:p>
    <w:p>
      <w:pPr>
        <w:ind w:right="180"/>
        <w:spacing w:after="0" w:line="22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198120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32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On August 10, 2022, Xometry, Inc. issued a press release announcing its financial results for the quarterly period ended June 30, 2022. A copy of the press release is furnished as Exhibit 99.1 to this report.</w:t>
      </w:r>
    </w:p>
    <w:p>
      <w:pPr>
        <w:spacing w:after="0" w:line="161"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The information set forth under this Item 2.02 and in the accompanying Exhibit 99.1 is being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 except as otherwise expressly stated in such filing.</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tc>
        <w:tc>
          <w:tcPr>
            <w:tcW w:w="2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180" w:type="dxa"/>
            <w:vAlign w:val="bottom"/>
          </w:tcPr>
          <w:p>
            <w:pPr>
              <w:spacing w:after="0"/>
              <w:rPr>
                <w:sz w:val="23"/>
                <w:szCs w:val="23"/>
                <w:color w:val="auto"/>
              </w:rPr>
            </w:pPr>
          </w:p>
        </w:tc>
        <w:tc>
          <w:tcPr>
            <w:tcW w:w="3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756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350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7560" w:type="dxa"/>
            <w:vAlign w:val="bottom"/>
            <w:gridSpan w:val="3"/>
          </w:tcPr>
          <w:p>
            <w:pPr>
              <w:ind w:left="220"/>
              <w:spacing w:after="0" w:line="194" w:lineRule="exact"/>
              <w:rPr>
                <w:sz w:val="20"/>
                <w:szCs w:val="20"/>
                <w:color w:val="auto"/>
              </w:rPr>
            </w:pPr>
            <w:r>
              <w:rPr>
                <w:rFonts w:ascii="Times New Roman" w:cs="Times New Roman" w:eastAsia="Times New Roman" w:hAnsi="Times New Roman"/>
                <w:sz w:val="18"/>
                <w:szCs w:val="18"/>
                <w:color w:val="0000FF"/>
              </w:rPr>
              <w:t>Press Release of Xometry, Inc. issued on August 10, 2022.</w:t>
            </w:r>
          </w:p>
        </w:tc>
        <w:tc>
          <w:tcPr>
            <w:tcW w:w="0" w:type="dxa"/>
            <w:vAlign w:val="bottom"/>
          </w:tcPr>
          <w:p>
            <w:pPr>
              <w:spacing w:after="0"/>
              <w:rPr>
                <w:sz w:val="1"/>
                <w:szCs w:val="1"/>
                <w:color w:val="auto"/>
              </w:rPr>
            </w:pPr>
          </w:p>
        </w:tc>
      </w:tr>
      <w:tr>
        <w:trPr>
          <w:trHeight w:val="20"/>
        </w:trPr>
        <w:tc>
          <w:tcPr>
            <w:tcW w:w="180" w:type="dxa"/>
            <w:vAlign w:val="bottom"/>
            <w:vMerge w:val="restart"/>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220" w:type="dxa"/>
            <w:vAlign w:val="bottom"/>
            <w:shd w:val="clear" w:color="auto" w:fill="0000FF"/>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180" w:type="dxa"/>
            <w:vAlign w:val="bottom"/>
            <w:vMerge w:val="continue"/>
          </w:tcPr>
          <w:p>
            <w:pPr>
              <w:spacing w:after="0"/>
              <w:rPr>
                <w:sz w:val="19"/>
                <w:szCs w:val="19"/>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318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528"/>
        </w:trPr>
        <w:tc>
          <w:tcPr>
            <w:tcW w:w="1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220" w:type="dxa"/>
            <w:vAlign w:val="bottom"/>
            <w:tcBorders>
              <w:bottom w:val="single" w:sz="8" w:color="9A9A9A"/>
            </w:tcBorders>
          </w:tcPr>
          <w:p>
            <w:pPr>
              <w:spacing w:after="0"/>
              <w:rPr>
                <w:sz w:val="24"/>
                <w:szCs w:val="24"/>
                <w:color w:val="auto"/>
              </w:rPr>
            </w:pPr>
          </w:p>
        </w:tc>
        <w:tc>
          <w:tcPr>
            <w:tcW w:w="3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b w:val="1"/>
          <w:bCs w:val="1"/>
          <w:color w:val="auto"/>
        </w:rPr>
        <w:t>XOMETRY, INC.</w:t>
      </w:r>
    </w:p>
    <w:p>
      <w:pPr>
        <w:spacing w:after="0" w:line="350" w:lineRule="exact"/>
        <w:rPr>
          <w:sz w:val="20"/>
          <w:szCs w:val="20"/>
          <w:color w:val="auto"/>
        </w:rPr>
      </w:pPr>
    </w:p>
    <w:p>
      <w:pPr>
        <w:ind w:left="20"/>
        <w:spacing w:after="0"/>
        <w:tabs>
          <w:tab w:leader="none" w:pos="68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August 10,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Randolph Altschuler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3858260</wp:posOffset>
            </wp:positionH>
            <wp:positionV relativeFrom="paragraph">
              <wp:posOffset>17145</wp:posOffset>
            </wp:positionV>
            <wp:extent cx="32791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79140" cy="8255"/>
                    </a:xfrm>
                    <a:prstGeom prst="rect">
                      <a:avLst/>
                    </a:prstGeom>
                    <a:noFill/>
                  </pic:spPr>
                </pic:pic>
              </a:graphicData>
            </a:graphic>
          </wp:anchor>
        </w:drawing>
      </w:r>
    </w:p>
    <w:p>
      <w:pPr>
        <w:spacing w:after="0" w:line="4"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Randolph Altschuler</w:t>
      </w:r>
    </w:p>
    <w:p>
      <w:pPr>
        <w:ind w:left="60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291465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Xometry Reports Second Quarter 2022 Results</w:t>
      </w:r>
    </w:p>
    <w:p>
      <w:pPr>
        <w:spacing w:after="0" w:line="399" w:lineRule="exact"/>
        <w:rPr>
          <w:sz w:val="20"/>
          <w:szCs w:val="20"/>
          <w:color w:val="auto"/>
        </w:rPr>
      </w:pPr>
    </w:p>
    <w:p>
      <w:pPr>
        <w:ind w:left="1020" w:right="20" w:hanging="504"/>
        <w:spacing w:after="0" w:line="270" w:lineRule="auto"/>
        <w:tabs>
          <w:tab w:leader="none" w:pos="102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Marketplace growth accelerates: Revenue increases 89% year-over-year driven by accelerating marketplace growth as well as supplier services including Thomas.</w:t>
      </w:r>
    </w:p>
    <w:p>
      <w:pPr>
        <w:spacing w:after="0" w:line="47" w:lineRule="exact"/>
        <w:rPr>
          <w:rFonts w:ascii="Times New Roman" w:cs="Times New Roman" w:eastAsia="Times New Roman" w:hAnsi="Times New Roman"/>
          <w:sz w:val="20"/>
          <w:szCs w:val="20"/>
          <w:color w:val="auto"/>
        </w:rPr>
      </w:pPr>
    </w:p>
    <w:p>
      <w:pPr>
        <w:ind w:left="1020" w:right="220" w:hanging="504"/>
        <w:spacing w:after="0" w:line="270" w:lineRule="auto"/>
        <w:tabs>
          <w:tab w:leader="none" w:pos="102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Strong gross margin and gross profit trends driven by AI pricing/supplier selection and additional supplier services: Gross profit up 217% year-over-year. Marketplace gross profit increased 25% quarter-over-quarter.</w:t>
      </w:r>
    </w:p>
    <w:p>
      <w:pPr>
        <w:spacing w:after="0" w:line="47" w:lineRule="exact"/>
        <w:rPr>
          <w:rFonts w:ascii="Times New Roman" w:cs="Times New Roman" w:eastAsia="Times New Roman" w:hAnsi="Times New Roman"/>
          <w:sz w:val="20"/>
          <w:szCs w:val="20"/>
          <w:color w:val="auto"/>
        </w:rPr>
      </w:pPr>
    </w:p>
    <w:p>
      <w:pPr>
        <w:ind w:left="1020" w:right="460" w:hanging="504"/>
        <w:spacing w:after="0" w:line="270" w:lineRule="auto"/>
        <w:tabs>
          <w:tab w:leader="none" w:pos="102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Expect strong growth for balance of 2022: We expect revenue growth of 81-83% to $395-$400 million, driven by increasing active buyers and suppliers, added supplier services and revenue synergies with Thomas.</w:t>
      </w:r>
    </w:p>
    <w:p>
      <w:pPr>
        <w:spacing w:after="0" w:line="34" w:lineRule="exact"/>
        <w:rPr>
          <w:rFonts w:ascii="Times New Roman" w:cs="Times New Roman" w:eastAsia="Times New Roman" w:hAnsi="Times New Roman"/>
          <w:sz w:val="20"/>
          <w:szCs w:val="20"/>
          <w:color w:val="auto"/>
        </w:rPr>
      </w:pPr>
    </w:p>
    <w:p>
      <w:pPr>
        <w:ind w:left="1020" w:right="60" w:hanging="504"/>
        <w:spacing w:after="0" w:line="261" w:lineRule="auto"/>
        <w:tabs>
          <w:tab w:leader="none" w:pos="102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Expect further operating leverage: Q2 Adjusted EBITDA loss of $8.3 million, a $4.4 million quarter-over-quarter improvement. We expect operating leverage to further improve in the second half of 2022. We expect to be Adjusted EBITDA positive for 2023.</w:t>
      </w:r>
    </w:p>
    <w:p>
      <w:pPr>
        <w:spacing w:after="0" w:line="57" w:lineRule="exact"/>
        <w:rPr>
          <w:rFonts w:ascii="Times New Roman" w:cs="Times New Roman" w:eastAsia="Times New Roman" w:hAnsi="Times New Roman"/>
          <w:sz w:val="20"/>
          <w:szCs w:val="20"/>
          <w:color w:val="auto"/>
        </w:rPr>
      </w:pPr>
    </w:p>
    <w:p>
      <w:pPr>
        <w:jc w:val="both"/>
        <w:ind w:left="1020" w:right="560" w:hanging="504"/>
        <w:spacing w:after="0" w:line="254" w:lineRule="auto"/>
        <w:tabs>
          <w:tab w:leader="none" w:pos="102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Robust marketplace and supplier service product expansion: Launched the Industrial Buying Engine™ (IBE) to digitize sourcing on Thomasnet including instant quote and on platform request-for-quote capability. Launched Workcenter, a cloud-based manufacturing execution system for suppliers, which also will be open to third-party developers to build integrated applications.</w:t>
      </w:r>
    </w:p>
    <w:p>
      <w:pPr>
        <w:spacing w:after="0" w:line="172" w:lineRule="exact"/>
        <w:rPr>
          <w:sz w:val="20"/>
          <w:szCs w:val="20"/>
          <w:color w:val="auto"/>
        </w:rPr>
      </w:pPr>
    </w:p>
    <w:p>
      <w:pPr>
        <w:ind w:right="340"/>
        <w:spacing w:after="0" w:line="248" w:lineRule="auto"/>
        <w:rPr>
          <w:sz w:val="20"/>
          <w:szCs w:val="20"/>
          <w:color w:val="auto"/>
        </w:rPr>
      </w:pPr>
      <w:r>
        <w:rPr>
          <w:rFonts w:ascii="Arial" w:cs="Arial" w:eastAsia="Arial" w:hAnsi="Arial"/>
          <w:sz w:val="20"/>
          <w:szCs w:val="20"/>
          <w:color w:val="auto"/>
        </w:rPr>
        <w:t>ROCKVILLE, MD., August 10, 2022 /Globe Newswire/ -- Xometry, Inc. (NASDAQ:XMTR), the global online marketplace connecting enterprise buyers with suppliers of manufacturing services, today reported financial results for the second quarter ended June 30, 2022.</w:t>
      </w:r>
    </w:p>
    <w:p>
      <w:pPr>
        <w:spacing w:after="0" w:line="177" w:lineRule="exact"/>
        <w:rPr>
          <w:sz w:val="20"/>
          <w:szCs w:val="20"/>
          <w:color w:val="auto"/>
        </w:rPr>
      </w:pPr>
    </w:p>
    <w:p>
      <w:pPr>
        <w:ind w:right="80"/>
        <w:spacing w:after="0" w:line="242" w:lineRule="auto"/>
        <w:rPr>
          <w:sz w:val="20"/>
          <w:szCs w:val="20"/>
          <w:color w:val="auto"/>
        </w:rPr>
      </w:pPr>
      <w:r>
        <w:rPr>
          <w:rFonts w:ascii="Arial" w:cs="Arial" w:eastAsia="Arial" w:hAnsi="Arial"/>
          <w:sz w:val="20"/>
          <w:szCs w:val="20"/>
          <w:color w:val="auto"/>
        </w:rPr>
        <w:t>“In Q2 2022, Xometry delivered accelerated marketplace growth, robust expansion in marketplace gross margin and significant operating leverage quarter-over-quarter,” said Randy Altschuler, Xometry’s CEO. “We introduced important new products including the Industrial Buying Engine and Workcenter providing integrated solutions for our buyers and suppliers. Although we are still in the early innings of the secular digitization of the manufacturing industry, Xometry has become the digital marketplace connecting buyers with suppliers. With our supplier network expanding domestically and abroad, we are playing an instrumental role in helping create locally resilient supply chains irrespective of macro events.”</w:t>
      </w:r>
    </w:p>
    <w:p>
      <w:pPr>
        <w:spacing w:after="0" w:line="3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Second Quarter 2022 Financial Highlights</w:t>
      </w:r>
    </w:p>
    <w:p>
      <w:pPr>
        <w:spacing w:after="0" w:line="109" w:lineRule="exact"/>
        <w:rPr>
          <w:sz w:val="20"/>
          <w:szCs w:val="20"/>
          <w:color w:val="auto"/>
        </w:rPr>
      </w:pPr>
    </w:p>
    <w:p>
      <w:pPr>
        <w:ind w:left="1020" w:hanging="504"/>
        <w:spacing w:after="0"/>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Total revenue for the second quarter 2022 was $95.6 million an increase of 89% year-over-year.</w:t>
      </w:r>
    </w:p>
    <w:p>
      <w:pPr>
        <w:spacing w:after="0" w:line="106" w:lineRule="exact"/>
        <w:rPr>
          <w:rFonts w:ascii="Times New Roman" w:cs="Times New Roman" w:eastAsia="Times New Roman" w:hAnsi="Times New Roman"/>
          <w:sz w:val="20"/>
          <w:szCs w:val="20"/>
          <w:color w:val="auto"/>
        </w:rPr>
      </w:pPr>
    </w:p>
    <w:p>
      <w:pPr>
        <w:ind w:left="1020" w:hanging="504"/>
        <w:spacing w:after="0"/>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Marketplace revenue for the second quarter of 2022 was $75.6 million.</w:t>
      </w:r>
    </w:p>
    <w:p>
      <w:pPr>
        <w:spacing w:after="0" w:line="106" w:lineRule="exact"/>
        <w:rPr>
          <w:rFonts w:ascii="Times New Roman" w:cs="Times New Roman" w:eastAsia="Times New Roman" w:hAnsi="Times New Roman"/>
          <w:sz w:val="20"/>
          <w:szCs w:val="20"/>
          <w:color w:val="auto"/>
        </w:rPr>
      </w:pPr>
    </w:p>
    <w:p>
      <w:pPr>
        <w:ind w:left="1020" w:hanging="504"/>
        <w:spacing w:after="0"/>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Supplier services revenue for the second quarter of 2022 was $20.0 million.</w:t>
      </w:r>
    </w:p>
    <w:p>
      <w:pPr>
        <w:spacing w:after="0" w:line="106" w:lineRule="exact"/>
        <w:rPr>
          <w:rFonts w:ascii="Times New Roman" w:cs="Times New Roman" w:eastAsia="Times New Roman" w:hAnsi="Times New Roman"/>
          <w:sz w:val="20"/>
          <w:szCs w:val="20"/>
          <w:color w:val="auto"/>
        </w:rPr>
      </w:pPr>
    </w:p>
    <w:p>
      <w:pPr>
        <w:ind w:left="1020" w:hanging="504"/>
        <w:spacing w:after="0"/>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Total gross profit for the second quarter 2022 was $37.7 million an increase of 217% year-over-year.</w:t>
      </w:r>
    </w:p>
    <w:p>
      <w:pPr>
        <w:spacing w:after="0" w:line="92" w:lineRule="exact"/>
        <w:rPr>
          <w:rFonts w:ascii="Times New Roman" w:cs="Times New Roman" w:eastAsia="Times New Roman" w:hAnsi="Times New Roman"/>
          <w:sz w:val="20"/>
          <w:szCs w:val="20"/>
          <w:color w:val="auto"/>
        </w:rPr>
      </w:pPr>
    </w:p>
    <w:p>
      <w:pPr>
        <w:ind w:left="1020" w:hanging="504"/>
        <w:spacing w:after="0"/>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Marketplace Active Buyers increased 40% from 23,942 as of June 30, 2021 to 33,491 as of June 30, 2022.</w:t>
      </w:r>
    </w:p>
    <w:p>
      <w:pPr>
        <w:spacing w:after="0" w:line="106" w:lineRule="exact"/>
        <w:rPr>
          <w:rFonts w:ascii="Times New Roman" w:cs="Times New Roman" w:eastAsia="Times New Roman" w:hAnsi="Times New Roman"/>
          <w:sz w:val="20"/>
          <w:szCs w:val="20"/>
          <w:color w:val="auto"/>
        </w:rPr>
      </w:pPr>
    </w:p>
    <w:p>
      <w:pPr>
        <w:ind w:left="1020" w:right="260" w:hanging="504"/>
        <w:spacing w:after="0" w:line="270" w:lineRule="auto"/>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Marketplace Accounts with Last Twelve-Months Spend of at least $50,000 increased 76% from 508 as of June 30, 2021 to 894 as of June 30, 2022.</w:t>
      </w:r>
    </w:p>
    <w:p>
      <w:pPr>
        <w:spacing w:after="0" w:line="47" w:lineRule="exact"/>
        <w:rPr>
          <w:rFonts w:ascii="Times New Roman" w:cs="Times New Roman" w:eastAsia="Times New Roman" w:hAnsi="Times New Roman"/>
          <w:sz w:val="20"/>
          <w:szCs w:val="20"/>
          <w:color w:val="auto"/>
        </w:rPr>
      </w:pPr>
    </w:p>
    <w:p>
      <w:pPr>
        <w:ind w:left="1020" w:hanging="504"/>
        <w:spacing w:after="0"/>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Marketplace Percentage of Revenue from Existing Accounts was 95%.</w:t>
      </w:r>
    </w:p>
    <w:p>
      <w:pPr>
        <w:spacing w:after="0" w:line="106" w:lineRule="exact"/>
        <w:rPr>
          <w:rFonts w:ascii="Times New Roman" w:cs="Times New Roman" w:eastAsia="Times New Roman" w:hAnsi="Times New Roman"/>
          <w:sz w:val="20"/>
          <w:szCs w:val="20"/>
          <w:color w:val="auto"/>
        </w:rPr>
      </w:pPr>
    </w:p>
    <w:p>
      <w:pPr>
        <w:ind w:left="1020" w:right="60" w:hanging="504"/>
        <w:spacing w:after="0" w:line="254" w:lineRule="auto"/>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Net loss attributable to common stockholders was $16.6 million for the quarter, an increase of $4.3 million year-over-year, and Adjusted EBITDA was negative $8.3 million for the quarter, reflecting an decrease of $0.8 million year-over-year. Net loss for Q2 2022 includes $5.5 million of stock-based compensation.</w:t>
      </w:r>
    </w:p>
    <w:p>
      <w:pPr>
        <w:spacing w:after="0" w:line="50" w:lineRule="exact"/>
        <w:rPr>
          <w:rFonts w:ascii="Times New Roman" w:cs="Times New Roman" w:eastAsia="Times New Roman" w:hAnsi="Times New Roman"/>
          <w:sz w:val="20"/>
          <w:szCs w:val="20"/>
          <w:color w:val="auto"/>
        </w:rPr>
      </w:pPr>
    </w:p>
    <w:p>
      <w:pPr>
        <w:ind w:left="1020" w:hanging="504"/>
        <w:spacing w:after="0"/>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Cash and cash equivalents and marketable securities were $356.7 million as of June 30, 2022.</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8"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Second Quarter 2022 Business Highlights</w:t>
      </w:r>
    </w:p>
    <w:p>
      <w:pPr>
        <w:spacing w:after="0" w:line="120" w:lineRule="exact"/>
        <w:rPr>
          <w:sz w:val="20"/>
          <w:szCs w:val="20"/>
          <w:color w:val="auto"/>
        </w:rPr>
      </w:pPr>
    </w:p>
    <w:p>
      <w:pPr>
        <w:ind w:left="1020" w:hanging="504"/>
        <w:spacing w:after="0" w:line="247" w:lineRule="auto"/>
        <w:tabs>
          <w:tab w:leader="none" w:pos="1020" w:val="left"/>
        </w:tabs>
        <w:numPr>
          <w:ilvl w:val="0"/>
          <w:numId w:val="4"/>
        </w:numPr>
        <w:rPr>
          <w:rFonts w:ascii="Times New Roman" w:cs="Times New Roman" w:eastAsia="Times New Roman" w:hAnsi="Times New Roman"/>
          <w:sz w:val="19"/>
          <w:szCs w:val="19"/>
          <w:color w:val="auto"/>
        </w:rPr>
      </w:pPr>
      <w:r>
        <w:rPr>
          <w:rFonts w:ascii="Arial" w:cs="Arial" w:eastAsia="Arial" w:hAnsi="Arial"/>
          <w:sz w:val="19"/>
          <w:szCs w:val="19"/>
          <w:color w:val="auto"/>
        </w:rPr>
        <w:t>Hosted our first Xometry Summit “</w:t>
      </w:r>
      <w:r>
        <w:rPr>
          <w:rFonts w:ascii="Arial" w:cs="Arial" w:eastAsia="Arial" w:hAnsi="Arial"/>
          <w:sz w:val="19"/>
          <w:szCs w:val="19"/>
          <w:u w:val="single" w:color="auto"/>
          <w:color w:val="auto"/>
        </w:rPr>
        <w:t>The Xometry Marketplace: Powering Tomorrow’s Supply Chain</w:t>
      </w:r>
      <w:r>
        <w:rPr>
          <w:rFonts w:ascii="Arial" w:cs="Arial" w:eastAsia="Arial" w:hAnsi="Arial"/>
          <w:sz w:val="19"/>
          <w:szCs w:val="19"/>
          <w:color w:val="auto"/>
        </w:rPr>
        <w:t>” on June 29</w:t>
      </w:r>
      <w:r>
        <w:rPr>
          <w:rFonts w:ascii="Arial" w:cs="Arial" w:eastAsia="Arial" w:hAnsi="Arial"/>
          <w:sz w:val="25"/>
          <w:szCs w:val="25"/>
          <w:color w:val="auto"/>
          <w:vertAlign w:val="superscript"/>
        </w:rPr>
        <w:t>th</w:t>
      </w:r>
      <w:r>
        <w:rPr>
          <w:rFonts w:ascii="Arial" w:cs="Arial" w:eastAsia="Arial" w:hAnsi="Arial"/>
          <w:sz w:val="19"/>
          <w:szCs w:val="19"/>
          <w:color w:val="auto"/>
        </w:rPr>
        <w:t>. The virtual event featured speakers from leading companies and manufacturers and focused on new technologies that are accelerating the digitization of all aspects of manufacturing – from the procurement process, to the ways in which small- and medium manufacturers run their businesses. A replay of the event is available at live.xometry.com.</w:t>
      </w:r>
    </w:p>
    <w:p>
      <w:pPr>
        <w:spacing w:after="0" w:line="70" w:lineRule="exact"/>
        <w:rPr>
          <w:rFonts w:ascii="Times New Roman" w:cs="Times New Roman" w:eastAsia="Times New Roman" w:hAnsi="Times New Roman"/>
          <w:sz w:val="19"/>
          <w:szCs w:val="19"/>
          <w:color w:val="auto"/>
        </w:rPr>
      </w:pPr>
    </w:p>
    <w:p>
      <w:pPr>
        <w:ind w:left="1020" w:right="500" w:hanging="504"/>
        <w:spacing w:after="0" w:line="244" w:lineRule="auto"/>
        <w:tabs>
          <w:tab w:leader="none" w:pos="102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Launched the Industrial Buying Engine (IBE) which helps customers source and purchase from the more than 500,000 suppliers on Thomasnet.com. The IBE provides buyer choice including instant quote “buy-it-now” functionality and digitizes the old and time-consuming request-for-quote process. Through the Industrial Buying Engine, buyers can request quotes for products and services from suppliers.</w:t>
      </w:r>
    </w:p>
    <w:p>
      <w:pPr>
        <w:spacing w:after="0" w:line="75" w:lineRule="exact"/>
        <w:rPr>
          <w:rFonts w:ascii="Times New Roman" w:cs="Times New Roman" w:eastAsia="Times New Roman" w:hAnsi="Times New Roman"/>
          <w:sz w:val="20"/>
          <w:szCs w:val="20"/>
          <w:color w:val="auto"/>
        </w:rPr>
      </w:pPr>
    </w:p>
    <w:p>
      <w:pPr>
        <w:ind w:left="1020" w:right="80" w:hanging="504"/>
        <w:spacing w:after="0" w:line="244" w:lineRule="auto"/>
        <w:tabs>
          <w:tab w:leader="none" w:pos="102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Introduced Workcenter (WC) which gives suppliers a one-stop view into all of their Xometry and non-Xometry work. A cloud-based manufacturing execution system, Workcenter brings the job board and financial services into one, easy-to-use platform. With Workcenter, shop owners can build and manage workflows for all their projects, including those from non-Xometry customers, and also quote new projects from Xometry and Thomas.</w:t>
      </w:r>
    </w:p>
    <w:p>
      <w:pPr>
        <w:spacing w:after="0" w:line="75" w:lineRule="exact"/>
        <w:rPr>
          <w:rFonts w:ascii="Times New Roman" w:cs="Times New Roman" w:eastAsia="Times New Roman" w:hAnsi="Times New Roman"/>
          <w:sz w:val="20"/>
          <w:szCs w:val="20"/>
          <w:color w:val="auto"/>
        </w:rPr>
      </w:pPr>
    </w:p>
    <w:p>
      <w:pPr>
        <w:ind w:left="1020" w:right="100" w:hanging="504"/>
        <w:spacing w:after="0" w:line="270" w:lineRule="auto"/>
        <w:tabs>
          <w:tab w:leader="none" w:pos="102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Opened up the API-enabled Workcenter to third-party developers, establishing Workcenter as an emerging platform for innovators seeking to deliver an ecosystem of interconnected solutions for suppliers.</w:t>
      </w:r>
    </w:p>
    <w:p>
      <w:pPr>
        <w:spacing w:after="0" w:line="47" w:lineRule="exact"/>
        <w:rPr>
          <w:rFonts w:ascii="Times New Roman" w:cs="Times New Roman" w:eastAsia="Times New Roman" w:hAnsi="Times New Roman"/>
          <w:sz w:val="20"/>
          <w:szCs w:val="20"/>
          <w:color w:val="auto"/>
        </w:rPr>
      </w:pPr>
    </w:p>
    <w:p>
      <w:pPr>
        <w:ind w:left="1020" w:right="660" w:hanging="504"/>
        <w:spacing w:after="0" w:line="270" w:lineRule="auto"/>
        <w:tabs>
          <w:tab w:leader="none" w:pos="102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Extended Xometry quoting capabilities into new categories based on the data and suppliers from the Thomas network. The new processes include laser tube cutting and tube bending.</w:t>
      </w:r>
    </w:p>
    <w:p>
      <w:pPr>
        <w:spacing w:after="0" w:line="47" w:lineRule="exact"/>
        <w:rPr>
          <w:rFonts w:ascii="Times New Roman" w:cs="Times New Roman" w:eastAsia="Times New Roman" w:hAnsi="Times New Roman"/>
          <w:sz w:val="20"/>
          <w:szCs w:val="20"/>
          <w:color w:val="auto"/>
        </w:rPr>
      </w:pPr>
    </w:p>
    <w:p>
      <w:pPr>
        <w:ind w:left="1020" w:right="320" w:hanging="504"/>
        <w:spacing w:after="0" w:line="270" w:lineRule="auto"/>
        <w:tabs>
          <w:tab w:leader="none" w:pos="102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Began taking orders from Chinese customers in April and expanded the supplier base on the local manufacturing network.</w:t>
      </w: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8" w:right="35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217170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t>Financial Summary</w:t>
      </w:r>
    </w:p>
    <w:p>
      <w:pPr>
        <w:spacing w:after="0" w:line="6"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(In thousands, except per share amounts)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6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9"/>
              </w:rPr>
              <w:t>For the Three Months</w:t>
            </w: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80" w:type="dxa"/>
            <w:vAlign w:val="bottom"/>
            <w:gridSpan w:val="3"/>
          </w:tcPr>
          <w:p>
            <w:pPr>
              <w:jc w:val="center"/>
              <w:ind w:left="250"/>
              <w:spacing w:after="0"/>
              <w:rPr>
                <w:sz w:val="20"/>
                <w:szCs w:val="20"/>
                <w:color w:val="auto"/>
              </w:rPr>
            </w:pPr>
            <w:r>
              <w:rPr>
                <w:rFonts w:ascii="Arial" w:cs="Arial" w:eastAsia="Arial" w:hAnsi="Arial"/>
                <w:sz w:val="18"/>
                <w:szCs w:val="18"/>
                <w:b w:val="1"/>
                <w:bCs w:val="1"/>
                <w:color w:val="auto"/>
                <w:w w:val="98"/>
              </w:rPr>
              <w:t>For the Six Months</w:t>
            </w: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3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6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9"/>
              </w:rPr>
              <w:t>Ended June 30,</w:t>
            </w:r>
          </w:p>
        </w:tc>
        <w:tc>
          <w:tcPr>
            <w:tcW w:w="108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 Change</w:t>
            </w:r>
          </w:p>
        </w:tc>
        <w:tc>
          <w:tcPr>
            <w:tcW w:w="200" w:type="dxa"/>
            <w:vAlign w:val="bottom"/>
            <w:vMerge w:val="restart"/>
          </w:tcPr>
          <w:p>
            <w:pPr>
              <w:spacing w:after="0"/>
              <w:rPr>
                <w:sz w:val="20"/>
                <w:szCs w:val="20"/>
                <w:color w:val="auto"/>
              </w:rPr>
            </w:pPr>
          </w:p>
        </w:tc>
        <w:tc>
          <w:tcPr>
            <w:tcW w:w="280" w:type="dxa"/>
            <w:vAlign w:val="bottom"/>
          </w:tcPr>
          <w:p>
            <w:pPr>
              <w:spacing w:after="0"/>
              <w:rPr>
                <w:sz w:val="20"/>
                <w:szCs w:val="20"/>
                <w:color w:val="auto"/>
              </w:rPr>
            </w:pPr>
          </w:p>
        </w:tc>
        <w:tc>
          <w:tcPr>
            <w:tcW w:w="1980" w:type="dxa"/>
            <w:vAlign w:val="bottom"/>
            <w:gridSpan w:val="3"/>
          </w:tcPr>
          <w:p>
            <w:pPr>
              <w:jc w:val="center"/>
              <w:ind w:left="250"/>
              <w:spacing w:after="0"/>
              <w:rPr>
                <w:sz w:val="20"/>
                <w:szCs w:val="20"/>
                <w:color w:val="auto"/>
              </w:rPr>
            </w:pPr>
            <w:r>
              <w:rPr>
                <w:rFonts w:ascii="Arial" w:cs="Arial" w:eastAsia="Arial" w:hAnsi="Arial"/>
                <w:sz w:val="18"/>
                <w:szCs w:val="18"/>
                <w:b w:val="1"/>
                <w:bCs w:val="1"/>
                <w:color w:val="auto"/>
                <w:w w:val="99"/>
              </w:rPr>
              <w:t>Ended June 30,</w:t>
            </w: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 Change</w:t>
            </w:r>
          </w:p>
        </w:tc>
        <w:tc>
          <w:tcPr>
            <w:tcW w:w="200" w:type="dxa"/>
            <w:vAlign w:val="bottom"/>
            <w:gridSpan w:val="2"/>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1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top w:val="single" w:sz="8" w:color="auto"/>
            </w:tcBorders>
          </w:tcPr>
          <w:p>
            <w:pPr>
              <w:spacing w:after="0"/>
              <w:rPr>
                <w:sz w:val="18"/>
                <w:szCs w:val="18"/>
                <w:color w:val="auto"/>
              </w:rPr>
            </w:pPr>
          </w:p>
        </w:tc>
        <w:tc>
          <w:tcPr>
            <w:tcW w:w="1360" w:type="dxa"/>
            <w:vAlign w:val="bottom"/>
            <w:tcBorders>
              <w:top w:val="single" w:sz="8" w:color="auto"/>
              <w:bottom w:val="single" w:sz="8" w:color="auto"/>
            </w:tcBorders>
            <w:gridSpan w:val="2"/>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31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Consolidated</w:t>
            </w:r>
          </w:p>
        </w:tc>
        <w:tc>
          <w:tcPr>
            <w:tcW w:w="180" w:type="dxa"/>
            <w:vAlign w:val="bottom"/>
          </w:tcPr>
          <w:p>
            <w:pPr>
              <w:spacing w:after="0"/>
              <w:rPr>
                <w:sz w:val="20"/>
                <w:szCs w:val="20"/>
                <w:color w:val="auto"/>
              </w:rPr>
            </w:pPr>
          </w:p>
        </w:tc>
        <w:tc>
          <w:tcPr>
            <w:tcW w:w="236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99"/>
              </w:rPr>
              <w:t>(unaudited)</w:t>
            </w: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(unaudited)</w:t>
            </w: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31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100" w:type="dxa"/>
            <w:vAlign w:val="bottom"/>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95,615</w:t>
            </w:r>
          </w:p>
        </w:tc>
        <w:tc>
          <w:tcPr>
            <w:tcW w:w="2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50,589</w:t>
            </w:r>
          </w:p>
        </w:tc>
        <w:tc>
          <w:tcPr>
            <w:tcW w:w="240" w:type="dxa"/>
            <w:vAlign w:val="bottom"/>
          </w:tcPr>
          <w:p>
            <w:pPr>
              <w:spacing w:after="0"/>
              <w:rPr>
                <w:sz w:val="18"/>
                <w:szCs w:val="18"/>
                <w:color w:val="auto"/>
              </w:rPr>
            </w:pPr>
          </w:p>
        </w:tc>
        <w:tc>
          <w:tcPr>
            <w:tcW w:w="1560" w:type="dxa"/>
            <w:vAlign w:val="bottom"/>
            <w:gridSpan w:val="3"/>
          </w:tcPr>
          <w:p>
            <w:pPr>
              <w:jc w:val="right"/>
              <w:ind w:right="70"/>
              <w:spacing w:after="0"/>
              <w:rPr>
                <w:sz w:val="20"/>
                <w:szCs w:val="20"/>
                <w:color w:val="auto"/>
              </w:rPr>
            </w:pPr>
            <w:r>
              <w:rPr>
                <w:rFonts w:ascii="Arial" w:cs="Arial" w:eastAsia="Arial" w:hAnsi="Arial"/>
                <w:sz w:val="18"/>
                <w:szCs w:val="18"/>
                <w:color w:val="auto"/>
              </w:rPr>
              <w:t>89 % $</w:t>
            </w:r>
          </w:p>
        </w:tc>
        <w:tc>
          <w:tcPr>
            <w:tcW w:w="1040" w:type="dxa"/>
            <w:vAlign w:val="bottom"/>
          </w:tcPr>
          <w:p>
            <w:pPr>
              <w:jc w:val="right"/>
              <w:spacing w:after="0"/>
              <w:rPr>
                <w:sz w:val="20"/>
                <w:szCs w:val="20"/>
                <w:color w:val="auto"/>
              </w:rPr>
            </w:pPr>
            <w:r>
              <w:rPr>
                <w:rFonts w:ascii="Arial" w:cs="Arial" w:eastAsia="Arial" w:hAnsi="Arial"/>
                <w:sz w:val="18"/>
                <w:szCs w:val="18"/>
                <w:color w:val="auto"/>
              </w:rPr>
              <w:t>179,286</w:t>
            </w:r>
          </w:p>
        </w:tc>
        <w:tc>
          <w:tcPr>
            <w:tcW w:w="200" w:type="dxa"/>
            <w:vAlign w:val="bottom"/>
          </w:tcPr>
          <w:p>
            <w:pPr>
              <w:spacing w:after="0"/>
              <w:rPr>
                <w:sz w:val="18"/>
                <w:szCs w:val="18"/>
                <w:color w:val="auto"/>
              </w:rPr>
            </w:pPr>
          </w:p>
        </w:tc>
        <w:tc>
          <w:tcPr>
            <w:tcW w:w="740" w:type="dxa"/>
            <w:vAlign w:val="bottom"/>
          </w:tcPr>
          <w:p>
            <w:pPr>
              <w:jc w:val="right"/>
              <w:ind w:right="55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94,510</w:t>
            </w:r>
          </w:p>
        </w:tc>
        <w:tc>
          <w:tcPr>
            <w:tcW w:w="200" w:type="dxa"/>
            <w:vAlign w:val="bottom"/>
          </w:tcPr>
          <w:p>
            <w:pPr>
              <w:spacing w:after="0"/>
              <w:rPr>
                <w:sz w:val="18"/>
                <w:szCs w:val="18"/>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90 %</w:t>
            </w:r>
          </w:p>
        </w:tc>
        <w:tc>
          <w:tcPr>
            <w:tcW w:w="0" w:type="dxa"/>
            <w:vAlign w:val="bottom"/>
          </w:tcPr>
          <w:p>
            <w:pPr>
              <w:spacing w:after="0"/>
              <w:rPr>
                <w:sz w:val="1"/>
                <w:szCs w:val="1"/>
                <w:color w:val="auto"/>
              </w:rPr>
            </w:pPr>
          </w:p>
        </w:tc>
      </w:tr>
      <w:tr>
        <w:trPr>
          <w:trHeight w:val="216"/>
        </w:trPr>
        <w:tc>
          <w:tcPr>
            <w:tcW w:w="310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37,696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11,875</w:t>
            </w:r>
          </w:p>
        </w:tc>
        <w:tc>
          <w:tcPr>
            <w:tcW w:w="24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217 %</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70,635</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21,710</w:t>
            </w:r>
          </w:p>
        </w:tc>
        <w:tc>
          <w:tcPr>
            <w:tcW w:w="200" w:type="dxa"/>
            <w:vAlign w:val="bottom"/>
          </w:tcPr>
          <w:p>
            <w:pPr>
              <w:spacing w:after="0"/>
              <w:rPr>
                <w:sz w:val="18"/>
                <w:szCs w:val="18"/>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225 %</w:t>
            </w:r>
          </w:p>
        </w:tc>
        <w:tc>
          <w:tcPr>
            <w:tcW w:w="0" w:type="dxa"/>
            <w:vAlign w:val="bottom"/>
          </w:tcPr>
          <w:p>
            <w:pPr>
              <w:spacing w:after="0"/>
              <w:rPr>
                <w:sz w:val="1"/>
                <w:szCs w:val="1"/>
                <w:color w:val="auto"/>
              </w:rPr>
            </w:pPr>
          </w:p>
        </w:tc>
      </w:tr>
      <w:tr>
        <w:trPr>
          <w:trHeight w:val="189"/>
        </w:trPr>
        <w:tc>
          <w:tcPr>
            <w:tcW w:w="3100" w:type="dxa"/>
            <w:vAlign w:val="bottom"/>
          </w:tcPr>
          <w:p>
            <w:pPr>
              <w:ind w:left="20"/>
              <w:spacing w:after="0" w:line="189" w:lineRule="exact"/>
              <w:rPr>
                <w:sz w:val="20"/>
                <w:szCs w:val="20"/>
                <w:color w:val="auto"/>
              </w:rPr>
            </w:pPr>
            <w:r>
              <w:rPr>
                <w:rFonts w:ascii="Arial" w:cs="Arial" w:eastAsia="Arial" w:hAnsi="Arial"/>
                <w:sz w:val="18"/>
                <w:szCs w:val="18"/>
                <w:color w:val="auto"/>
              </w:rPr>
              <w:t>Net loss attributable to common</w:t>
            </w:r>
          </w:p>
        </w:tc>
        <w:tc>
          <w:tcPr>
            <w:tcW w:w="180" w:type="dxa"/>
            <w:vAlign w:val="bottom"/>
          </w:tcPr>
          <w:p>
            <w:pPr>
              <w:spacing w:after="0"/>
              <w:rPr>
                <w:sz w:val="16"/>
                <w:szCs w:val="16"/>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(16,553 )</w:t>
            </w:r>
          </w:p>
        </w:tc>
        <w:tc>
          <w:tcPr>
            <w:tcW w:w="220" w:type="dxa"/>
            <w:vAlign w:val="bottom"/>
          </w:tcPr>
          <w:p>
            <w:pPr>
              <w:spacing w:after="0"/>
              <w:rPr>
                <w:sz w:val="16"/>
                <w:szCs w:val="16"/>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(12,264 )</w:t>
            </w:r>
          </w:p>
        </w:tc>
        <w:tc>
          <w:tcPr>
            <w:tcW w:w="1560" w:type="dxa"/>
            <w:vAlign w:val="bottom"/>
            <w:gridSpan w:val="3"/>
            <w:vMerge w:val="restart"/>
          </w:tcPr>
          <w:p>
            <w:pPr>
              <w:jc w:val="right"/>
              <w:ind w:right="150"/>
              <w:spacing w:after="0"/>
              <w:rPr>
                <w:sz w:val="20"/>
                <w:szCs w:val="20"/>
                <w:color w:val="auto"/>
              </w:rPr>
            </w:pPr>
            <w:r>
              <w:rPr>
                <w:rFonts w:ascii="Arial" w:cs="Arial" w:eastAsia="Arial" w:hAnsi="Arial"/>
                <w:sz w:val="18"/>
                <w:szCs w:val="18"/>
                <w:color w:val="auto"/>
              </w:rPr>
              <w:t>(35 )%</w:t>
            </w:r>
          </w:p>
        </w:tc>
        <w:tc>
          <w:tcPr>
            <w:tcW w:w="12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(36,565 )</w:t>
            </w:r>
          </w:p>
        </w:tc>
        <w:tc>
          <w:tcPr>
            <w:tcW w:w="740" w:type="dxa"/>
            <w:vAlign w:val="bottom"/>
          </w:tcPr>
          <w:p>
            <w:pPr>
              <w:spacing w:after="0"/>
              <w:rPr>
                <w:sz w:val="16"/>
                <w:szCs w:val="16"/>
                <w:color w:val="auto"/>
              </w:rPr>
            </w:pPr>
          </w:p>
        </w:tc>
        <w:tc>
          <w:tcPr>
            <w:tcW w:w="8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w w:val="94"/>
              </w:rPr>
              <w:t>(22,765 )</w:t>
            </w:r>
          </w:p>
        </w:tc>
        <w:tc>
          <w:tcPr>
            <w:tcW w:w="1340" w:type="dxa"/>
            <w:vAlign w:val="bottom"/>
            <w:gridSpan w:val="3"/>
            <w:vMerge w:val="restart"/>
          </w:tcPr>
          <w:p>
            <w:pPr>
              <w:jc w:val="right"/>
              <w:spacing w:after="0"/>
              <w:rPr>
                <w:sz w:val="20"/>
                <w:szCs w:val="20"/>
                <w:color w:val="auto"/>
              </w:rPr>
            </w:pPr>
            <w:r>
              <w:rPr>
                <w:rFonts w:ascii="Arial" w:cs="Arial" w:eastAsia="Arial" w:hAnsi="Arial"/>
                <w:sz w:val="18"/>
                <w:szCs w:val="18"/>
                <w:color w:val="auto"/>
              </w:rPr>
              <w:t>(61 )%</w:t>
            </w:r>
          </w:p>
        </w:tc>
        <w:tc>
          <w:tcPr>
            <w:tcW w:w="0" w:type="dxa"/>
            <w:vAlign w:val="bottom"/>
          </w:tcPr>
          <w:p>
            <w:pPr>
              <w:spacing w:after="0"/>
              <w:rPr>
                <w:sz w:val="1"/>
                <w:szCs w:val="1"/>
                <w:color w:val="auto"/>
              </w:rPr>
            </w:pPr>
          </w:p>
        </w:tc>
      </w:tr>
      <w:tr>
        <w:trPr>
          <w:trHeight w:val="216"/>
        </w:trPr>
        <w:tc>
          <w:tcPr>
            <w:tcW w:w="3100" w:type="dxa"/>
            <w:vAlign w:val="bottom"/>
          </w:tcPr>
          <w:p>
            <w:pPr>
              <w:ind w:left="20"/>
              <w:spacing w:after="0"/>
              <w:rPr>
                <w:sz w:val="20"/>
                <w:szCs w:val="20"/>
                <w:color w:val="auto"/>
              </w:rPr>
            </w:pPr>
            <w:r>
              <w:rPr>
                <w:rFonts w:ascii="Arial" w:cs="Arial" w:eastAsia="Arial" w:hAnsi="Arial"/>
                <w:sz w:val="18"/>
                <w:szCs w:val="18"/>
                <w:color w:val="auto"/>
              </w:rPr>
              <w:t>stockholders</w:t>
            </w:r>
          </w:p>
        </w:tc>
        <w:tc>
          <w:tcPr>
            <w:tcW w:w="1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560" w:type="dxa"/>
            <w:vAlign w:val="bottom"/>
            <w:gridSpan w:val="3"/>
            <w:vMerge w:val="continue"/>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3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3100" w:type="dxa"/>
            <w:vAlign w:val="bottom"/>
          </w:tcPr>
          <w:p>
            <w:pPr>
              <w:ind w:left="20"/>
              <w:spacing w:after="0" w:line="181" w:lineRule="exact"/>
              <w:rPr>
                <w:sz w:val="20"/>
                <w:szCs w:val="20"/>
                <w:color w:val="auto"/>
              </w:rPr>
            </w:pPr>
            <w:r>
              <w:rPr>
                <w:rFonts w:ascii="Arial" w:cs="Arial" w:eastAsia="Arial" w:hAnsi="Arial"/>
                <w:sz w:val="18"/>
                <w:szCs w:val="18"/>
                <w:color w:val="auto"/>
              </w:rPr>
              <w:t>EPS—basic and diluted</w:t>
            </w:r>
          </w:p>
        </w:tc>
        <w:tc>
          <w:tcPr>
            <w:tcW w:w="180" w:type="dxa"/>
            <w:vAlign w:val="bottom"/>
          </w:tcPr>
          <w:p>
            <w:pPr>
              <w:spacing w:after="0"/>
              <w:rPr>
                <w:sz w:val="15"/>
                <w:szCs w:val="15"/>
                <w:color w:val="auto"/>
              </w:rPr>
            </w:pPr>
          </w:p>
        </w:tc>
        <w:tc>
          <w:tcPr>
            <w:tcW w:w="1020" w:type="dxa"/>
            <w:vAlign w:val="bottom"/>
            <w:gridSpan w:val="2"/>
          </w:tcPr>
          <w:p>
            <w:pPr>
              <w:jc w:val="right"/>
              <w:ind w:right="160"/>
              <w:spacing w:after="0" w:line="181" w:lineRule="exact"/>
              <w:rPr>
                <w:sz w:val="20"/>
                <w:szCs w:val="20"/>
                <w:color w:val="auto"/>
              </w:rPr>
            </w:pPr>
            <w:r>
              <w:rPr>
                <w:rFonts w:ascii="Arial" w:cs="Arial" w:eastAsia="Arial" w:hAnsi="Arial"/>
                <w:sz w:val="18"/>
                <w:szCs w:val="18"/>
                <w:color w:val="auto"/>
              </w:rPr>
              <w:t>(0.35 )</w:t>
            </w:r>
          </w:p>
        </w:tc>
        <w:tc>
          <w:tcPr>
            <w:tcW w:w="220" w:type="dxa"/>
            <w:vAlign w:val="bottom"/>
          </w:tcPr>
          <w:p>
            <w:pPr>
              <w:spacing w:after="0"/>
              <w:rPr>
                <w:sz w:val="15"/>
                <w:szCs w:val="15"/>
                <w:color w:val="auto"/>
              </w:rPr>
            </w:pPr>
          </w:p>
        </w:tc>
        <w:tc>
          <w:tcPr>
            <w:tcW w:w="1120" w:type="dxa"/>
            <w:vAlign w:val="bottom"/>
            <w:gridSpan w:val="2"/>
          </w:tcPr>
          <w:p>
            <w:pPr>
              <w:jc w:val="right"/>
              <w:ind w:right="160"/>
              <w:spacing w:after="0" w:line="181" w:lineRule="exact"/>
              <w:rPr>
                <w:sz w:val="20"/>
                <w:szCs w:val="20"/>
                <w:color w:val="auto"/>
              </w:rPr>
            </w:pPr>
            <w:r>
              <w:rPr>
                <w:rFonts w:ascii="Arial" w:cs="Arial" w:eastAsia="Arial" w:hAnsi="Arial"/>
                <w:sz w:val="18"/>
                <w:szCs w:val="18"/>
                <w:color w:val="auto"/>
              </w:rPr>
              <w:t>(1.46 )</w:t>
            </w:r>
          </w:p>
        </w:tc>
        <w:tc>
          <w:tcPr>
            <w:tcW w:w="1280" w:type="dxa"/>
            <w:vAlign w:val="bottom"/>
            <w:gridSpan w:val="2"/>
          </w:tcPr>
          <w:p>
            <w:pPr>
              <w:jc w:val="right"/>
              <w:ind w:right="20"/>
              <w:spacing w:after="0" w:line="181" w:lineRule="exact"/>
              <w:rPr>
                <w:sz w:val="20"/>
                <w:szCs w:val="20"/>
                <w:color w:val="auto"/>
              </w:rPr>
            </w:pPr>
            <w:r>
              <w:rPr>
                <w:rFonts w:ascii="Arial" w:cs="Arial" w:eastAsia="Arial" w:hAnsi="Arial"/>
                <w:sz w:val="18"/>
                <w:szCs w:val="18"/>
                <w:color w:val="auto"/>
              </w:rPr>
              <w:t>76 %</w:t>
            </w:r>
          </w:p>
        </w:tc>
        <w:tc>
          <w:tcPr>
            <w:tcW w:w="280" w:type="dxa"/>
            <w:vAlign w:val="bottom"/>
          </w:tcPr>
          <w:p>
            <w:pPr>
              <w:spacing w:after="0"/>
              <w:rPr>
                <w:sz w:val="15"/>
                <w:szCs w:val="15"/>
                <w:color w:val="auto"/>
              </w:rPr>
            </w:pPr>
          </w:p>
        </w:tc>
        <w:tc>
          <w:tcPr>
            <w:tcW w:w="1240" w:type="dxa"/>
            <w:vAlign w:val="bottom"/>
            <w:gridSpan w:val="2"/>
          </w:tcPr>
          <w:p>
            <w:pPr>
              <w:jc w:val="right"/>
              <w:ind w:right="140"/>
              <w:spacing w:after="0" w:line="181" w:lineRule="exact"/>
              <w:rPr>
                <w:sz w:val="20"/>
                <w:szCs w:val="20"/>
                <w:color w:val="auto"/>
              </w:rPr>
            </w:pPr>
            <w:r>
              <w:rPr>
                <w:rFonts w:ascii="Arial" w:cs="Arial" w:eastAsia="Arial" w:hAnsi="Arial"/>
                <w:sz w:val="18"/>
                <w:szCs w:val="18"/>
                <w:color w:val="auto"/>
              </w:rPr>
              <w:t>(0.78 )</w:t>
            </w:r>
          </w:p>
        </w:tc>
        <w:tc>
          <w:tcPr>
            <w:tcW w:w="740" w:type="dxa"/>
            <w:vAlign w:val="bottom"/>
          </w:tcPr>
          <w:p>
            <w:pPr>
              <w:spacing w:after="0"/>
              <w:rPr>
                <w:sz w:val="15"/>
                <w:szCs w:val="15"/>
                <w:color w:val="auto"/>
              </w:rPr>
            </w:pPr>
          </w:p>
        </w:tc>
        <w:tc>
          <w:tcPr>
            <w:tcW w:w="820" w:type="dxa"/>
            <w:vAlign w:val="bottom"/>
            <w:gridSpan w:val="2"/>
          </w:tcPr>
          <w:p>
            <w:pPr>
              <w:jc w:val="right"/>
              <w:ind w:right="120"/>
              <w:spacing w:after="0" w:line="181" w:lineRule="exact"/>
              <w:rPr>
                <w:sz w:val="20"/>
                <w:szCs w:val="20"/>
                <w:color w:val="auto"/>
              </w:rPr>
            </w:pPr>
            <w:r>
              <w:rPr>
                <w:rFonts w:ascii="Arial" w:cs="Arial" w:eastAsia="Arial" w:hAnsi="Arial"/>
                <w:sz w:val="18"/>
                <w:szCs w:val="18"/>
                <w:color w:val="auto"/>
              </w:rPr>
              <w:t>(2.79 )</w:t>
            </w:r>
          </w:p>
        </w:tc>
        <w:tc>
          <w:tcPr>
            <w:tcW w:w="1340" w:type="dxa"/>
            <w:vAlign w:val="bottom"/>
            <w:gridSpan w:val="3"/>
          </w:tcPr>
          <w:p>
            <w:pPr>
              <w:jc w:val="right"/>
              <w:ind w:right="40"/>
              <w:spacing w:after="0" w:line="181" w:lineRule="exact"/>
              <w:rPr>
                <w:sz w:val="20"/>
                <w:szCs w:val="20"/>
                <w:color w:val="auto"/>
              </w:rPr>
            </w:pPr>
            <w:r>
              <w:rPr>
                <w:rFonts w:ascii="Arial" w:cs="Arial" w:eastAsia="Arial" w:hAnsi="Arial"/>
                <w:sz w:val="18"/>
                <w:szCs w:val="18"/>
                <w:color w:val="auto"/>
              </w:rPr>
              <w:t>72 %</w:t>
            </w:r>
          </w:p>
        </w:tc>
        <w:tc>
          <w:tcPr>
            <w:tcW w:w="0" w:type="dxa"/>
            <w:vAlign w:val="bottom"/>
          </w:tcPr>
          <w:p>
            <w:pPr>
              <w:spacing w:after="0"/>
              <w:rPr>
                <w:sz w:val="1"/>
                <w:szCs w:val="1"/>
                <w:color w:val="auto"/>
              </w:rPr>
            </w:pPr>
          </w:p>
        </w:tc>
      </w:tr>
      <w:tr>
        <w:trPr>
          <w:trHeight w:val="216"/>
        </w:trPr>
        <w:tc>
          <w:tcPr>
            <w:tcW w:w="3100" w:type="dxa"/>
            <w:vAlign w:val="bottom"/>
          </w:tcPr>
          <w:p>
            <w:pPr>
              <w:ind w:left="20"/>
              <w:spacing w:after="0" w:line="216" w:lineRule="exact"/>
              <w:rPr>
                <w:sz w:val="20"/>
                <w:szCs w:val="20"/>
                <w:color w:val="auto"/>
              </w:rPr>
            </w:pPr>
            <w:r>
              <w:rPr>
                <w:rFonts w:ascii="Arial" w:cs="Arial" w:eastAsia="Arial" w:hAnsi="Arial"/>
                <w:sz w:val="18"/>
                <w:szCs w:val="18"/>
                <w:color w:val="auto"/>
              </w:rPr>
              <w:t>Adjusted EBITDA</w:t>
            </w:r>
            <w:r>
              <w:rPr>
                <w:rFonts w:ascii="Arial" w:cs="Arial" w:eastAsia="Arial" w:hAnsi="Arial"/>
                <w:sz w:val="24"/>
                <w:szCs w:val="24"/>
                <w:color w:val="auto"/>
                <w:vertAlign w:val="superscript"/>
              </w:rPr>
              <w:t>(1)</w:t>
            </w: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(8,300 )</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(9,073 )</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9 %</w:t>
            </w:r>
          </w:p>
        </w:tc>
        <w:tc>
          <w:tcPr>
            <w:tcW w:w="2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(21,026 )</w:t>
            </w:r>
          </w:p>
        </w:tc>
        <w:tc>
          <w:tcPr>
            <w:tcW w:w="7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(17,882 )</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16"/>
        </w:trPr>
        <w:tc>
          <w:tcPr>
            <w:tcW w:w="3100" w:type="dxa"/>
            <w:vAlign w:val="bottom"/>
          </w:tcPr>
          <w:p>
            <w:pPr>
              <w:ind w:left="20"/>
              <w:spacing w:after="0" w:line="216" w:lineRule="exact"/>
              <w:rPr>
                <w:sz w:val="20"/>
                <w:szCs w:val="20"/>
                <w:color w:val="auto"/>
              </w:rPr>
            </w:pPr>
            <w:r>
              <w:rPr>
                <w:rFonts w:ascii="Arial" w:cs="Arial" w:eastAsia="Arial" w:hAnsi="Arial"/>
                <w:sz w:val="18"/>
                <w:szCs w:val="18"/>
                <w:color w:val="auto"/>
              </w:rPr>
              <w:t>Non-GAAP net loss</w:t>
            </w:r>
            <w:r>
              <w:rPr>
                <w:rFonts w:ascii="Arial" w:cs="Arial" w:eastAsia="Arial" w:hAnsi="Arial"/>
                <w:sz w:val="24"/>
                <w:szCs w:val="24"/>
                <w:color w:val="auto"/>
                <w:vertAlign w:val="superscript"/>
              </w:rPr>
              <w:t>(1)</w:t>
            </w: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(8,447 )</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(9,538 )</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11 %</w:t>
            </w:r>
          </w:p>
        </w:tc>
        <w:tc>
          <w:tcPr>
            <w:tcW w:w="2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(20,974 )</w:t>
            </w:r>
          </w:p>
        </w:tc>
        <w:tc>
          <w:tcPr>
            <w:tcW w:w="7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(18,800 )</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69"/>
        </w:trPr>
        <w:tc>
          <w:tcPr>
            <w:tcW w:w="3100" w:type="dxa"/>
            <w:vAlign w:val="bottom"/>
          </w:tcPr>
          <w:p>
            <w:pPr>
              <w:ind w:left="20"/>
              <w:spacing w:after="0" w:line="270" w:lineRule="exact"/>
              <w:rPr>
                <w:sz w:val="20"/>
                <w:szCs w:val="20"/>
                <w:color w:val="auto"/>
              </w:rPr>
            </w:pPr>
            <w:r>
              <w:rPr>
                <w:rFonts w:ascii="Arial" w:cs="Arial" w:eastAsia="Arial" w:hAnsi="Arial"/>
                <w:sz w:val="18"/>
                <w:szCs w:val="18"/>
                <w:color w:val="auto"/>
              </w:rPr>
              <w:t>Non-GAAP EPS-basic and diluted</w:t>
            </w:r>
            <w:r>
              <w:rPr>
                <w:rFonts w:ascii="Arial" w:cs="Arial" w:eastAsia="Arial" w:hAnsi="Arial"/>
                <w:sz w:val="24"/>
                <w:szCs w:val="24"/>
                <w:color w:val="auto"/>
                <w:vertAlign w:val="superscript"/>
              </w:rPr>
              <w:t>(1)</w:t>
            </w:r>
          </w:p>
        </w:tc>
        <w:tc>
          <w:tcPr>
            <w:tcW w:w="180" w:type="dxa"/>
            <w:vAlign w:val="bottom"/>
          </w:tcPr>
          <w:p>
            <w:pPr>
              <w:spacing w:after="0"/>
              <w:rPr>
                <w:sz w:val="23"/>
                <w:szCs w:val="23"/>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(0.18 )</w:t>
            </w:r>
          </w:p>
        </w:tc>
        <w:tc>
          <w:tcPr>
            <w:tcW w:w="220" w:type="dxa"/>
            <w:vAlign w:val="bottom"/>
          </w:tcPr>
          <w:p>
            <w:pPr>
              <w:spacing w:after="0"/>
              <w:rPr>
                <w:sz w:val="23"/>
                <w:szCs w:val="23"/>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(1.14 )</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84 %</w:t>
            </w:r>
          </w:p>
        </w:tc>
        <w:tc>
          <w:tcPr>
            <w:tcW w:w="280" w:type="dxa"/>
            <w:vAlign w:val="bottom"/>
          </w:tcPr>
          <w:p>
            <w:pPr>
              <w:spacing w:after="0"/>
              <w:rPr>
                <w:sz w:val="23"/>
                <w:szCs w:val="23"/>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(0.45 )</w:t>
            </w:r>
          </w:p>
        </w:tc>
        <w:tc>
          <w:tcPr>
            <w:tcW w:w="740" w:type="dxa"/>
            <w:vAlign w:val="bottom"/>
          </w:tcPr>
          <w:p>
            <w:pPr>
              <w:spacing w:after="0"/>
              <w:rPr>
                <w:sz w:val="23"/>
                <w:szCs w:val="2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(2.30 )</w:t>
            </w: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80 %</w:t>
            </w:r>
          </w:p>
        </w:tc>
        <w:tc>
          <w:tcPr>
            <w:tcW w:w="0" w:type="dxa"/>
            <w:vAlign w:val="bottom"/>
          </w:tcPr>
          <w:p>
            <w:pPr>
              <w:spacing w:after="0"/>
              <w:rPr>
                <w:sz w:val="1"/>
                <w:szCs w:val="1"/>
                <w:color w:val="auto"/>
              </w:rPr>
            </w:pPr>
          </w:p>
        </w:tc>
      </w:tr>
      <w:tr>
        <w:trPr>
          <w:trHeight w:val="431"/>
        </w:trPr>
        <w:tc>
          <w:tcPr>
            <w:tcW w:w="3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Marketplace</w:t>
            </w: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75,598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140,013</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1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53,492</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100,233</w:t>
            </w:r>
          </w:p>
        </w:tc>
        <w:tc>
          <w:tcPr>
            <w:tcW w:w="20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0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22,106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39,780</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Supplier services</w:t>
            </w: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20,017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39,273</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1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4,427</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8,418</w:t>
            </w:r>
          </w:p>
        </w:tc>
        <w:tc>
          <w:tcPr>
            <w:tcW w:w="20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0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15,590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30,855</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-2636520</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-2362835</wp:posOffset>
            </wp:positionV>
            <wp:extent cx="7132320" cy="2571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-1968500</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-1694815</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2582545</wp:posOffset>
            </wp:positionH>
            <wp:positionV relativeFrom="paragraph">
              <wp:posOffset>-872490</wp:posOffset>
            </wp:positionV>
            <wp:extent cx="768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5227955</wp:posOffset>
            </wp:positionH>
            <wp:positionV relativeFrom="paragraph">
              <wp:posOffset>-872490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2582545</wp:posOffset>
            </wp:positionH>
            <wp:positionV relativeFrom="paragraph">
              <wp:posOffset>-153670</wp:posOffset>
            </wp:positionV>
            <wp:extent cx="768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5227955</wp:posOffset>
            </wp:positionH>
            <wp:positionV relativeFrom="paragraph">
              <wp:posOffset>-153670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380" w:right="560" w:hanging="372"/>
        <w:spacing w:after="0" w:line="257" w:lineRule="auto"/>
        <w:tabs>
          <w:tab w:leader="none" w:pos="380"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These non-GAAP financial measures, and reasons why we believe these non-GAAP financial measures are useful, are described below and reconciled to their most directly comparable GAAP measures in the accompanying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1974215</wp:posOffset>
            </wp:positionH>
            <wp:positionV relativeFrom="paragraph">
              <wp:posOffset>-306705</wp:posOffset>
            </wp:positionV>
            <wp:extent cx="60769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7695" cy="8255"/>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-306705</wp:posOffset>
            </wp:positionV>
            <wp:extent cx="830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30580" cy="8255"/>
                    </a:xfrm>
                    <a:prstGeom prst="rect">
                      <a:avLst/>
                    </a:prstGeom>
                    <a:noFill/>
                  </pic:spPr>
                </pic:pic>
              </a:graphicData>
            </a:graphic>
          </wp:anchor>
        </w:drawing>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Operating Metrics</w:t>
      </w:r>
      <w:r>
        <w:rPr>
          <w:rFonts w:ascii="Arial" w:cs="Arial" w:eastAsia="Arial" w:hAnsi="Arial"/>
          <w:sz w:val="26"/>
          <w:szCs w:val="26"/>
          <w:b w:val="1"/>
          <w:bCs w:val="1"/>
          <w:color w:val="auto"/>
          <w:vertAlign w:val="superscript"/>
        </w:rPr>
        <w:t>(2)</w:t>
      </w:r>
      <w:r>
        <w:rPr>
          <w:rFonts w:ascii="Arial" w:cs="Arial" w:eastAsia="Arial" w:hAnsi="Arial"/>
          <w:sz w:val="20"/>
          <w:szCs w:val="20"/>
          <w:b w:val="1"/>
          <w:bCs w:val="1"/>
          <w:color w:val="auto"/>
        </w:rPr>
        <w:t>:</w:t>
      </w:r>
    </w:p>
    <w:tbl>
      <w:tblPr>
        <w:tblLayout w:type="fixed"/>
        <w:tblInd w:w="0" w:type="dxa"/>
        <w:tblCellMar>
          <w:top w:w="0" w:type="dxa"/>
          <w:left w:w="0" w:type="dxa"/>
          <w:bottom w:w="0" w:type="dxa"/>
          <w:right w:w="0" w:type="dxa"/>
        </w:tblCellMar>
      </w:tblPr>
      <w:tr>
        <w:trPr>
          <w:trHeight w:val="217"/>
        </w:trPr>
        <w:tc>
          <w:tcPr>
            <w:tcW w:w="6460" w:type="dxa"/>
            <w:vAlign w:val="bottom"/>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b w:val="1"/>
                <w:bCs w:val="1"/>
                <w:color w:val="auto"/>
              </w:rPr>
              <w:t>As of June 30,</w:t>
            </w:r>
          </w:p>
        </w:tc>
        <w:tc>
          <w:tcPr>
            <w:tcW w:w="14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6460" w:type="dxa"/>
            <w:vAlign w:val="bottom"/>
          </w:tcPr>
          <w:p>
            <w:pPr>
              <w:spacing w:after="0"/>
              <w:rPr>
                <w:sz w:val="14"/>
                <w:szCs w:val="14"/>
                <w:color w:val="auto"/>
              </w:rPr>
            </w:pPr>
          </w:p>
        </w:tc>
        <w:tc>
          <w:tcPr>
            <w:tcW w:w="128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14"/>
                <w:szCs w:val="14"/>
                <w:color w:val="auto"/>
              </w:rPr>
            </w:pPr>
          </w:p>
        </w:tc>
        <w:tc>
          <w:tcPr>
            <w:tcW w:w="144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4"/>
                <w:szCs w:val="14"/>
                <w:color w:val="auto"/>
              </w:rPr>
            </w:pPr>
          </w:p>
        </w:tc>
        <w:tc>
          <w:tcPr>
            <w:tcW w:w="1440" w:type="dxa"/>
            <w:vAlign w:val="bottom"/>
          </w:tcPr>
          <w:p>
            <w:pPr>
              <w:jc w:val="right"/>
              <w:ind w:right="570"/>
              <w:spacing w:after="0" w:line="163"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6460" w:type="dxa"/>
            <w:vAlign w:val="bottom"/>
          </w:tcPr>
          <w:p>
            <w:pPr>
              <w:spacing w:after="0"/>
              <w:rPr>
                <w:sz w:val="20"/>
                <w:szCs w:val="20"/>
                <w:color w:val="auto"/>
              </w:rPr>
            </w:pPr>
          </w:p>
        </w:tc>
        <w:tc>
          <w:tcPr>
            <w:tcW w:w="1280" w:type="dxa"/>
            <w:vAlign w:val="bottom"/>
            <w:tcBorders>
              <w:bottom w:val="single" w:sz="8" w:color="auto"/>
            </w:tcBorders>
            <w:vMerge w:val="continue"/>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Borders>
              <w:bottom w:val="single" w:sz="8" w:color="auto"/>
            </w:tcBorders>
            <w:vMerge w:val="continue"/>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Change</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5"/>
        </w:trPr>
        <w:tc>
          <w:tcPr>
            <w:tcW w:w="6460" w:type="dxa"/>
            <w:vAlign w:val="bottom"/>
          </w:tcPr>
          <w:p>
            <w:pPr>
              <w:ind w:left="20"/>
              <w:spacing w:after="0"/>
              <w:rPr>
                <w:sz w:val="20"/>
                <w:szCs w:val="20"/>
                <w:color w:val="auto"/>
              </w:rPr>
            </w:pPr>
            <w:r>
              <w:rPr>
                <w:rFonts w:ascii="Arial" w:cs="Arial" w:eastAsia="Arial" w:hAnsi="Arial"/>
                <w:sz w:val="18"/>
                <w:szCs w:val="18"/>
                <w:color w:val="auto"/>
              </w:rPr>
              <w:t>Active Buyers</w:t>
            </w:r>
            <w:r>
              <w:rPr>
                <w:rFonts w:ascii="Arial" w:cs="Arial" w:eastAsia="Arial" w:hAnsi="Arial"/>
                <w:sz w:val="24"/>
                <w:szCs w:val="24"/>
                <w:color w:val="auto"/>
                <w:vertAlign w:val="superscript"/>
              </w:rPr>
              <w:t>(3)</w:t>
            </w:r>
          </w:p>
        </w:tc>
        <w:tc>
          <w:tcPr>
            <w:tcW w:w="1280" w:type="dxa"/>
            <w:vAlign w:val="bottom"/>
          </w:tcPr>
          <w:p>
            <w:pPr>
              <w:jc w:val="right"/>
              <w:spacing w:after="0"/>
              <w:rPr>
                <w:sz w:val="20"/>
                <w:szCs w:val="20"/>
                <w:color w:val="auto"/>
              </w:rPr>
            </w:pPr>
            <w:r>
              <w:rPr>
                <w:rFonts w:ascii="Arial" w:cs="Arial" w:eastAsia="Arial" w:hAnsi="Arial"/>
                <w:sz w:val="18"/>
                <w:szCs w:val="18"/>
                <w:color w:val="auto"/>
              </w:rPr>
              <w:t>33,491</w:t>
            </w:r>
          </w:p>
        </w:tc>
        <w:tc>
          <w:tcPr>
            <w:tcW w:w="26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23,942</w:t>
            </w:r>
          </w:p>
        </w:tc>
        <w:tc>
          <w:tcPr>
            <w:tcW w:w="260" w:type="dxa"/>
            <w:vAlign w:val="bottom"/>
          </w:tcPr>
          <w:p>
            <w:pPr>
              <w:spacing w:after="0"/>
              <w:rPr>
                <w:sz w:val="24"/>
                <w:szCs w:val="24"/>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16"/>
        </w:trPr>
        <w:tc>
          <w:tcPr>
            <w:tcW w:w="6460" w:type="dxa"/>
            <w:vAlign w:val="bottom"/>
          </w:tcPr>
          <w:p>
            <w:pPr>
              <w:ind w:left="20"/>
              <w:spacing w:after="0" w:line="216" w:lineRule="exact"/>
              <w:rPr>
                <w:sz w:val="20"/>
                <w:szCs w:val="20"/>
                <w:color w:val="auto"/>
              </w:rPr>
            </w:pPr>
            <w:r>
              <w:rPr>
                <w:rFonts w:ascii="Arial" w:cs="Arial" w:eastAsia="Arial" w:hAnsi="Arial"/>
                <w:sz w:val="18"/>
                <w:szCs w:val="18"/>
                <w:color w:val="auto"/>
              </w:rPr>
              <w:t>Percentage of Revenue from Existing Accounts</w:t>
            </w:r>
            <w:r>
              <w:rPr>
                <w:rFonts w:ascii="Arial" w:cs="Arial" w:eastAsia="Arial" w:hAnsi="Arial"/>
                <w:sz w:val="24"/>
                <w:szCs w:val="24"/>
                <w:color w:val="auto"/>
                <w:vertAlign w:val="superscript"/>
              </w:rPr>
              <w:t>(3)</w:t>
            </w: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95 %</w:t>
            </w:r>
          </w:p>
        </w:tc>
        <w:tc>
          <w:tcPr>
            <w:tcW w:w="1700" w:type="dxa"/>
            <w:vAlign w:val="bottom"/>
            <w:gridSpan w:val="2"/>
          </w:tcPr>
          <w:p>
            <w:pPr>
              <w:jc w:val="right"/>
              <w:ind w:right="80"/>
              <w:spacing w:after="0"/>
              <w:rPr>
                <w:sz w:val="20"/>
                <w:szCs w:val="20"/>
                <w:color w:val="auto"/>
              </w:rPr>
            </w:pPr>
            <w:r>
              <w:rPr>
                <w:rFonts w:ascii="Arial" w:cs="Arial" w:eastAsia="Arial" w:hAnsi="Arial"/>
                <w:sz w:val="18"/>
                <w:szCs w:val="18"/>
                <w:color w:val="auto"/>
              </w:rPr>
              <w:t>95 %</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56"/>
        </w:trPr>
        <w:tc>
          <w:tcPr>
            <w:tcW w:w="6460" w:type="dxa"/>
            <w:vAlign w:val="bottom"/>
          </w:tcPr>
          <w:p>
            <w:pPr>
              <w:ind w:left="20"/>
              <w:spacing w:after="0" w:line="256" w:lineRule="exact"/>
              <w:rPr>
                <w:sz w:val="20"/>
                <w:szCs w:val="20"/>
                <w:color w:val="auto"/>
              </w:rPr>
            </w:pPr>
            <w:r>
              <w:rPr>
                <w:rFonts w:ascii="Arial" w:cs="Arial" w:eastAsia="Arial" w:hAnsi="Arial"/>
                <w:sz w:val="18"/>
                <w:szCs w:val="18"/>
                <w:color w:val="auto"/>
              </w:rPr>
              <w:t>Accounts with Last Twelve-Months Spend of at Least $50,000</w:t>
            </w:r>
            <w:r>
              <w:rPr>
                <w:rFonts w:ascii="Arial" w:cs="Arial" w:eastAsia="Arial" w:hAnsi="Arial"/>
                <w:sz w:val="24"/>
                <w:szCs w:val="24"/>
                <w:color w:val="auto"/>
                <w:vertAlign w:val="superscript"/>
              </w:rPr>
              <w:t>(3)</w:t>
            </w:r>
          </w:p>
        </w:tc>
        <w:tc>
          <w:tcPr>
            <w:tcW w:w="1280" w:type="dxa"/>
            <w:vAlign w:val="bottom"/>
          </w:tcPr>
          <w:p>
            <w:pPr>
              <w:jc w:val="right"/>
              <w:spacing w:after="0"/>
              <w:rPr>
                <w:sz w:val="20"/>
                <w:szCs w:val="20"/>
                <w:color w:val="auto"/>
              </w:rPr>
            </w:pPr>
            <w:r>
              <w:rPr>
                <w:rFonts w:ascii="Arial" w:cs="Arial" w:eastAsia="Arial" w:hAnsi="Arial"/>
                <w:sz w:val="18"/>
                <w:szCs w:val="18"/>
                <w:color w:val="auto"/>
              </w:rPr>
              <w:t>894</w:t>
            </w:r>
          </w:p>
        </w:tc>
        <w:tc>
          <w:tcPr>
            <w:tcW w:w="26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508</w:t>
            </w:r>
          </w:p>
        </w:tc>
        <w:tc>
          <w:tcPr>
            <w:tcW w:w="260" w:type="dxa"/>
            <w:vAlign w:val="bottom"/>
          </w:tcPr>
          <w:p>
            <w:pPr>
              <w:spacing w:after="0"/>
              <w:rPr>
                <w:sz w:val="22"/>
                <w:szCs w:val="22"/>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76 %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76" w:lineRule="exact"/>
        <w:rPr>
          <w:sz w:val="20"/>
          <w:szCs w:val="20"/>
          <w:color w:val="auto"/>
        </w:rPr>
      </w:pPr>
    </w:p>
    <w:p>
      <w:pPr>
        <w:ind w:left="380" w:hanging="372"/>
        <w:spacing w:after="0"/>
        <w:tabs>
          <w:tab w:leader="none" w:pos="380"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These key operating metrics are for Marketplace.</w:t>
      </w:r>
    </w:p>
    <w:p>
      <w:pPr>
        <w:spacing w:after="0" w:line="17" w:lineRule="exact"/>
        <w:rPr>
          <w:rFonts w:ascii="Arial" w:cs="Arial" w:eastAsia="Arial" w:hAnsi="Arial"/>
          <w:sz w:val="20"/>
          <w:szCs w:val="20"/>
          <w:color w:val="auto"/>
        </w:rPr>
      </w:pPr>
    </w:p>
    <w:p>
      <w:pPr>
        <w:ind w:left="380" w:right="180" w:hanging="372"/>
        <w:spacing w:after="0" w:line="245" w:lineRule="auto"/>
        <w:tabs>
          <w:tab w:leader="none" w:pos="380" w:val="left"/>
        </w:tabs>
        <w:numPr>
          <w:ilvl w:val="0"/>
          <w:numId w:val="6"/>
        </w:numPr>
        <w:rPr>
          <w:rFonts w:ascii="Arial" w:cs="Arial" w:eastAsia="Arial" w:hAnsi="Arial"/>
          <w:sz w:val="20"/>
          <w:szCs w:val="20"/>
          <w:color w:val="auto"/>
        </w:rPr>
      </w:pPr>
      <w:r>
        <w:rPr>
          <w:rFonts w:ascii="Arial" w:cs="Arial" w:eastAsia="Arial" w:hAnsi="Arial"/>
          <w:sz w:val="20"/>
          <w:szCs w:val="20"/>
          <w:color w:val="auto"/>
        </w:rPr>
        <w:t>Amounts shown for Active Buyers and Accounts with Last Twelve-Months Spend of at Least $50,000 are as of June 30, 2022 and 2021, and Percentage of Revenue from Existing Accounts is presented for the quarters ended June 30, 2022 and 2021.</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Guidance and Outlook:</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5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Q3 2022</w:t>
            </w: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FY 2022</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5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(in</w:t>
            </w:r>
          </w:p>
        </w:tc>
        <w:tc>
          <w:tcPr>
            <w:tcW w:w="1560" w:type="dxa"/>
            <w:vAlign w:val="bottom"/>
            <w:tcBorders>
              <w:bottom w:val="single" w:sz="8" w:color="auto"/>
            </w:tcBorders>
            <w:gridSpan w:val="3"/>
          </w:tcPr>
          <w:p>
            <w:pPr>
              <w:jc w:val="right"/>
              <w:ind w:right="750"/>
              <w:spacing w:after="0"/>
              <w:rPr>
                <w:sz w:val="20"/>
                <w:szCs w:val="20"/>
                <w:color w:val="auto"/>
              </w:rPr>
            </w:pPr>
            <w:r>
              <w:rPr>
                <w:rFonts w:ascii="Arial" w:cs="Arial" w:eastAsia="Arial" w:hAnsi="Arial"/>
                <w:sz w:val="18"/>
                <w:szCs w:val="18"/>
                <w:b w:val="1"/>
                <w:bCs w:val="1"/>
                <w:color w:val="auto"/>
                <w:w w:val="94"/>
              </w:rPr>
              <w:t>millions)</w:t>
            </w: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5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490"/>
              <w:spacing w:after="0"/>
              <w:rPr>
                <w:sz w:val="20"/>
                <w:szCs w:val="20"/>
                <w:color w:val="auto"/>
              </w:rPr>
            </w:pPr>
            <w:r>
              <w:rPr>
                <w:rFonts w:ascii="Arial" w:cs="Arial" w:eastAsia="Arial" w:hAnsi="Arial"/>
                <w:sz w:val="18"/>
                <w:szCs w:val="18"/>
                <w:b w:val="1"/>
                <w:bCs w:val="1"/>
                <w:color w:val="auto"/>
              </w:rPr>
              <w:t>Low</w:t>
            </w:r>
          </w:p>
        </w:tc>
        <w:tc>
          <w:tcPr>
            <w:tcW w:w="380" w:type="dxa"/>
            <w:vAlign w:val="bottom"/>
          </w:tcPr>
          <w:p>
            <w:pPr>
              <w:spacing w:after="0"/>
              <w:rPr>
                <w:sz w:val="18"/>
                <w:szCs w:val="18"/>
                <w:color w:val="auto"/>
              </w:rPr>
            </w:pPr>
          </w:p>
        </w:tc>
        <w:tc>
          <w:tcPr>
            <w:tcW w:w="1100" w:type="dxa"/>
            <w:vAlign w:val="bottom"/>
            <w:gridSpan w:val="2"/>
          </w:tcPr>
          <w:p>
            <w:pPr>
              <w:jc w:val="right"/>
              <w:ind w:right="530"/>
              <w:spacing w:after="0"/>
              <w:rPr>
                <w:sz w:val="20"/>
                <w:szCs w:val="20"/>
                <w:color w:val="auto"/>
              </w:rPr>
            </w:pPr>
            <w:r>
              <w:rPr>
                <w:rFonts w:ascii="Arial" w:cs="Arial" w:eastAsia="Arial" w:hAnsi="Arial"/>
                <w:sz w:val="18"/>
                <w:szCs w:val="18"/>
                <w:b w:val="1"/>
                <w:bCs w:val="1"/>
                <w:color w:val="auto"/>
              </w:rPr>
              <w:t>High</w:t>
            </w:r>
          </w:p>
        </w:tc>
        <w:tc>
          <w:tcPr>
            <w:tcW w:w="260" w:type="dxa"/>
            <w:vAlign w:val="bottom"/>
          </w:tcPr>
          <w:p>
            <w:pPr>
              <w:spacing w:after="0"/>
              <w:rPr>
                <w:sz w:val="18"/>
                <w:szCs w:val="18"/>
                <w:color w:val="auto"/>
              </w:rPr>
            </w:pPr>
          </w:p>
        </w:tc>
        <w:tc>
          <w:tcPr>
            <w:tcW w:w="1080" w:type="dxa"/>
            <w:vAlign w:val="bottom"/>
          </w:tcPr>
          <w:p>
            <w:pPr>
              <w:jc w:val="right"/>
              <w:ind w:right="490"/>
              <w:spacing w:after="0"/>
              <w:rPr>
                <w:sz w:val="20"/>
                <w:szCs w:val="20"/>
                <w:color w:val="auto"/>
              </w:rPr>
            </w:pPr>
            <w:r>
              <w:rPr>
                <w:rFonts w:ascii="Arial" w:cs="Arial" w:eastAsia="Arial" w:hAnsi="Arial"/>
                <w:sz w:val="18"/>
                <w:szCs w:val="18"/>
                <w:b w:val="1"/>
                <w:bCs w:val="1"/>
                <w:color w:val="auto"/>
              </w:rPr>
              <w:t>Low</w:t>
            </w:r>
          </w:p>
        </w:tc>
        <w:tc>
          <w:tcPr>
            <w:tcW w:w="480" w:type="dxa"/>
            <w:vAlign w:val="bottom"/>
          </w:tcPr>
          <w:p>
            <w:pPr>
              <w:spacing w:after="0"/>
              <w:rPr>
                <w:sz w:val="18"/>
                <w:szCs w:val="18"/>
                <w:color w:val="auto"/>
              </w:rPr>
            </w:pPr>
          </w:p>
        </w:tc>
        <w:tc>
          <w:tcPr>
            <w:tcW w:w="980" w:type="dxa"/>
            <w:vAlign w:val="bottom"/>
          </w:tcPr>
          <w:p>
            <w:pPr>
              <w:jc w:val="right"/>
              <w:ind w:right="410"/>
              <w:spacing w:after="0"/>
              <w:rPr>
                <w:sz w:val="20"/>
                <w:szCs w:val="20"/>
                <w:color w:val="auto"/>
              </w:rPr>
            </w:pPr>
            <w:r>
              <w:rPr>
                <w:rFonts w:ascii="Arial" w:cs="Arial" w:eastAsia="Arial" w:hAnsi="Arial"/>
                <w:sz w:val="18"/>
                <w:szCs w:val="18"/>
                <w:b w:val="1"/>
                <w:bCs w:val="1"/>
                <w:color w:val="auto"/>
              </w:rPr>
              <w:t>High</w:t>
            </w:r>
          </w:p>
        </w:tc>
        <w:tc>
          <w:tcPr>
            <w:tcW w:w="100" w:type="dxa"/>
            <w:vAlign w:val="bottom"/>
          </w:tcPr>
          <w:p>
            <w:pPr>
              <w:spacing w:after="0"/>
              <w:rPr>
                <w:sz w:val="18"/>
                <w:szCs w:val="18"/>
                <w:color w:val="auto"/>
              </w:rPr>
            </w:pPr>
          </w:p>
        </w:tc>
      </w:tr>
      <w:tr>
        <w:trPr>
          <w:trHeight w:val="216"/>
        </w:trPr>
        <w:tc>
          <w:tcPr>
            <w:tcW w:w="5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102.0</w:t>
            </w:r>
          </w:p>
        </w:tc>
        <w:tc>
          <w:tcPr>
            <w:tcW w:w="3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104.0</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395.0</w:t>
            </w:r>
          </w:p>
        </w:tc>
        <w:tc>
          <w:tcPr>
            <w:tcW w:w="48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w:t>
            </w:r>
          </w:p>
        </w:tc>
        <w:tc>
          <w:tcPr>
            <w:tcW w:w="100" w:type="dxa"/>
            <w:vAlign w:val="bottom"/>
            <w:shd w:val="clear" w:color="auto" w:fill="CFF0FC"/>
          </w:tcPr>
          <w:p>
            <w:pPr>
              <w:spacing w:after="0"/>
              <w:rPr>
                <w:sz w:val="18"/>
                <w:szCs w:val="18"/>
                <w:color w:val="auto"/>
              </w:rPr>
            </w:pPr>
          </w:p>
        </w:tc>
      </w:tr>
      <w:tr>
        <w:trPr>
          <w:trHeight w:val="239"/>
        </w:trPr>
        <w:tc>
          <w:tcPr>
            <w:tcW w:w="552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(7.0 )</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70"/>
              <w:spacing w:after="0"/>
              <w:rPr>
                <w:sz w:val="20"/>
                <w:szCs w:val="20"/>
                <w:color w:val="auto"/>
              </w:rPr>
            </w:pPr>
            <w:r>
              <w:rPr>
                <w:rFonts w:ascii="Arial" w:cs="Arial" w:eastAsia="Arial" w:hAnsi="Arial"/>
                <w:sz w:val="18"/>
                <w:szCs w:val="18"/>
                <w:color w:val="auto"/>
              </w:rPr>
              <w:t>(6.0 )</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(33.0 )</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(31.0 )</w:t>
            </w:r>
          </w:p>
        </w:tc>
      </w:tr>
      <w:tr>
        <w:trPr>
          <w:trHeight w:val="624"/>
        </w:trPr>
        <w:tc>
          <w:tcPr>
            <w:tcW w:w="5520" w:type="dxa"/>
            <w:vAlign w:val="bottom"/>
          </w:tcPr>
          <w:p>
            <w:pPr>
              <w:spacing w:after="0"/>
              <w:rPr>
                <w:sz w:val="24"/>
                <w:szCs w:val="24"/>
                <w:color w:val="auto"/>
              </w:rPr>
            </w:pP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55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359" w:right="2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Use of Non-GAAP Financial Measures</w:t>
      </w:r>
    </w:p>
    <w:p>
      <w:pPr>
        <w:spacing w:after="0" w:line="109" w:lineRule="exact"/>
        <w:rPr>
          <w:sz w:val="20"/>
          <w:szCs w:val="20"/>
          <w:color w:val="auto"/>
        </w:rPr>
      </w:pPr>
    </w:p>
    <w:p>
      <w:pPr>
        <w:spacing w:after="0" w:line="252" w:lineRule="auto"/>
        <w:rPr>
          <w:sz w:val="20"/>
          <w:szCs w:val="20"/>
          <w:color w:val="auto"/>
        </w:rPr>
      </w:pPr>
      <w:r>
        <w:rPr>
          <w:rFonts w:ascii="Arial" w:cs="Arial" w:eastAsia="Arial" w:hAnsi="Arial"/>
          <w:sz w:val="19"/>
          <w:szCs w:val="19"/>
          <w:color w:val="auto"/>
        </w:rPr>
        <w:t>To supplement its consolidated financial statements, which are prepared and presented in accordance with generally accepted accounting principles in the United States of America (“GAAP”), Xometry, Inc. ("Xometry", the "Company", "we" or "our") uses Adjusted EBITDA and Non-GAAP net loss and Non-GAAP Earnings Per Share, which are considered non-GAAP financial measures, as described below. These non-GAAP financial measures are presented to enhance the user’s overall understanding of Xometry’s financial performance and should not be considered a substitute for, nor superior to, the financial information prepared and presented in accordance with GAAP. The non-GAAP financial measures presented in this release, together with the GAAP financial results, are the primary measures used by the Company’s management and board of directors to understand and evaluate the Company’s financial performance and operating trends, including period-to-period comparisons, because they exclude certain expenses and gains that management believes are not indicative of the Company’s core operating results. Management also uses these measures to prepare and update the Company’s short and long term financial and operational plans, to evaluate investment decisions, and in its discussions with investors, commercial bankers, equity research analysts and other users of the Company’s financial statements. Accordingly, the Company believes that these non-GAAP financial measures provide useful information to investors and others in understanding and evaluating the Company’s operating results in the same manner as the Company’s management and in comparing operating results across periods and to those of Xometry’s peer companies. In addition, from time to time we may present adjusted information (for example, revenue growth) to exclude the impact of certain gains, losses or other changes that affect period-to-period comparability of our operating performance.</w:t>
      </w:r>
    </w:p>
    <w:p>
      <w:pPr>
        <w:spacing w:after="0" w:line="186" w:lineRule="exact"/>
        <w:rPr>
          <w:sz w:val="20"/>
          <w:szCs w:val="20"/>
          <w:color w:val="auto"/>
        </w:rPr>
      </w:pPr>
    </w:p>
    <w:p>
      <w:pPr>
        <w:ind w:right="40"/>
        <w:spacing w:after="0" w:line="242" w:lineRule="auto"/>
        <w:rPr>
          <w:sz w:val="20"/>
          <w:szCs w:val="20"/>
          <w:color w:val="auto"/>
        </w:rPr>
      </w:pPr>
      <w:r>
        <w:rPr>
          <w:rFonts w:ascii="Arial" w:cs="Arial" w:eastAsia="Arial" w:hAnsi="Arial"/>
          <w:sz w:val="20"/>
          <w:szCs w:val="20"/>
          <w:color w:val="auto"/>
        </w:rPr>
        <w:t>The use of non-GAAP financial measures has certain limitations because they do not reflect all items of income and expense, or cash flows, that affect the Company’s financial performance and operations. Additionally, non-GAAP financial measures do not have standardized meanings, and therefore other companies, including peer companies, may use the same or similarly named measures but exclude or include different items or use different computations. Management compensates for these limitations by reconciling these non-GAAP financial measures to their most comparable GAAP financial measures in the tables captioned “Reconciliations of Non-GAAP Financial Measures” included at the end of this release. Investors and others are encouraged to review the Company’s financial information in its entirety and not rely on a single financial measure.</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4" w:right="339" w:bottom="1440" w:gutter="0" w:footer="0" w:header="0"/>
        </w:sectPr>
      </w:pPr>
    </w:p>
    <w:bookmarkStart w:id="7" w:name="page8"/>
    <w:bookmarkEnd w:id="7"/>
    <w:p>
      <w:pPr>
        <w:ind w:right="5020"/>
        <w:spacing w:after="0" w:line="488" w:lineRule="auto"/>
        <w:rPr>
          <w:sz w:val="20"/>
          <w:szCs w:val="20"/>
          <w:color w:val="auto"/>
        </w:rPr>
      </w:pPr>
      <w:r>
        <w:rPr>
          <w:rFonts w:ascii="Arial" w:cs="Arial" w:eastAsia="Arial" w:hAnsi="Arial"/>
          <w:sz w:val="19"/>
          <w:szCs w:val="19"/>
          <w:b w:val="1"/>
          <w:bCs w:val="1"/>
          <w:color w:val="auto"/>
        </w:rPr>
        <w:t xml:space="preserve">Key Terms for our Key Metrics and Non-GAAP Financial Measures Marketplace revenue: </w:t>
      </w:r>
      <w:r>
        <w:rPr>
          <w:rFonts w:ascii="Arial" w:cs="Arial" w:eastAsia="Arial" w:hAnsi="Arial"/>
          <w:sz w:val="19"/>
          <w:szCs w:val="19"/>
          <w:color w:val="auto"/>
        </w:rPr>
        <w:t>includes the sale of parts and assemblies.</w:t>
      </w:r>
    </w:p>
    <w:p>
      <w:pPr>
        <w:spacing w:after="0" w:line="1" w:lineRule="exact"/>
        <w:rPr>
          <w:sz w:val="20"/>
          <w:szCs w:val="20"/>
          <w:color w:val="auto"/>
        </w:rPr>
      </w:pPr>
    </w:p>
    <w:p>
      <w:pPr>
        <w:ind w:right="540"/>
        <w:spacing w:after="0" w:line="273" w:lineRule="auto"/>
        <w:rPr>
          <w:sz w:val="20"/>
          <w:szCs w:val="20"/>
          <w:color w:val="auto"/>
        </w:rPr>
      </w:pPr>
      <w:r>
        <w:rPr>
          <w:rFonts w:ascii="Arial" w:cs="Arial" w:eastAsia="Arial" w:hAnsi="Arial"/>
          <w:sz w:val="20"/>
          <w:szCs w:val="20"/>
          <w:b w:val="1"/>
          <w:bCs w:val="1"/>
          <w:color w:val="auto"/>
        </w:rPr>
        <w:t xml:space="preserve">Supplier service revenue: </w:t>
      </w:r>
      <w:r>
        <w:rPr>
          <w:rFonts w:ascii="Arial" w:cs="Arial" w:eastAsia="Arial" w:hAnsi="Arial"/>
          <w:sz w:val="20"/>
          <w:szCs w:val="20"/>
          <w:color w:val="auto"/>
        </w:rPr>
        <w:t>includes the sales of advertising on Thomasnet, marketing services, supplies, financial service</w:t>
      </w:r>
      <w:r>
        <w:rPr>
          <w:rFonts w:ascii="Arial" w:cs="Arial" w:eastAsia="Arial" w:hAnsi="Arial"/>
          <w:sz w:val="20"/>
          <w:szCs w:val="20"/>
          <w:b w:val="1"/>
          <w:bCs w:val="1"/>
          <w:color w:val="auto"/>
        </w:rPr>
        <w:t xml:space="preserve"> </w:t>
      </w:r>
      <w:r>
        <w:rPr>
          <w:rFonts w:ascii="Arial" w:cs="Arial" w:eastAsia="Arial" w:hAnsi="Arial"/>
          <w:sz w:val="20"/>
          <w:szCs w:val="20"/>
          <w:color w:val="auto"/>
        </w:rPr>
        <w:t>products and other fintech products.</w:t>
      </w:r>
    </w:p>
    <w:p>
      <w:pPr>
        <w:spacing w:after="0" w:line="151" w:lineRule="exact"/>
        <w:rPr>
          <w:sz w:val="20"/>
          <w:szCs w:val="20"/>
          <w:color w:val="auto"/>
        </w:rPr>
      </w:pPr>
    </w:p>
    <w:p>
      <w:pPr>
        <w:spacing w:after="0" w:line="243" w:lineRule="auto"/>
        <w:rPr>
          <w:sz w:val="20"/>
          <w:szCs w:val="20"/>
          <w:color w:val="auto"/>
        </w:rPr>
      </w:pPr>
      <w:r>
        <w:rPr>
          <w:rFonts w:ascii="Arial" w:cs="Arial" w:eastAsia="Arial" w:hAnsi="Arial"/>
          <w:sz w:val="20"/>
          <w:szCs w:val="20"/>
          <w:b w:val="1"/>
          <w:bCs w:val="1"/>
          <w:color w:val="auto"/>
        </w:rPr>
        <w:t xml:space="preserve">Adjusted earnings before interest, taxes, depreciation and amortization (Adjusted EBITDA) </w:t>
      </w:r>
      <w:r>
        <w:rPr>
          <w:rFonts w:ascii="Arial" w:cs="Arial" w:eastAsia="Arial" w:hAnsi="Arial"/>
          <w:sz w:val="20"/>
          <w:szCs w:val="20"/>
          <w:color w:val="auto"/>
        </w:rPr>
        <w:t>as net income (loss) excluding</w:t>
      </w:r>
      <w:r>
        <w:rPr>
          <w:rFonts w:ascii="Arial" w:cs="Arial" w:eastAsia="Arial" w:hAnsi="Arial"/>
          <w:sz w:val="20"/>
          <w:szCs w:val="20"/>
          <w:b w:val="1"/>
          <w:bCs w:val="1"/>
          <w:color w:val="auto"/>
        </w:rPr>
        <w:t xml:space="preserve"> </w:t>
      </w:r>
      <w:r>
        <w:rPr>
          <w:rFonts w:ascii="Arial" w:cs="Arial" w:eastAsia="Arial" w:hAnsi="Arial"/>
          <w:sz w:val="20"/>
          <w:szCs w:val="20"/>
          <w:color w:val="auto"/>
        </w:rPr>
        <w:t>interest income (expense), income tax (expense) benefit, and certain other non-cash or non-recurring items impacting net loss from time to time, principally comprised of depreciation and amortization, stock-based compensation, charitable contributions of common stock, income from unconsolidated joint venture, impairment charges and acquisition and other adjustments not reflective of the Company's ongoing business, such as adjustments related to purchase accounting, the revaluation of contingent consideration and transaction costs.</w:t>
      </w:r>
    </w:p>
    <w:p>
      <w:pPr>
        <w:spacing w:after="0" w:line="181" w:lineRule="exact"/>
        <w:rPr>
          <w:sz w:val="20"/>
          <w:szCs w:val="20"/>
          <w:color w:val="auto"/>
        </w:rPr>
      </w:pPr>
    </w:p>
    <w:p>
      <w:pPr>
        <w:ind w:right="260"/>
        <w:spacing w:after="0" w:line="244" w:lineRule="auto"/>
        <w:rPr>
          <w:sz w:val="20"/>
          <w:szCs w:val="20"/>
          <w:color w:val="auto"/>
        </w:rPr>
      </w:pPr>
      <w:r>
        <w:rPr>
          <w:rFonts w:ascii="Arial" w:cs="Arial" w:eastAsia="Arial" w:hAnsi="Arial"/>
          <w:sz w:val="20"/>
          <w:szCs w:val="20"/>
          <w:b w:val="1"/>
          <w:bCs w:val="1"/>
          <w:color w:val="auto"/>
        </w:rPr>
        <w:t xml:space="preserve">Non-GAAP net loss: </w:t>
      </w:r>
      <w:r>
        <w:rPr>
          <w:rFonts w:ascii="Arial" w:cs="Arial" w:eastAsia="Arial" w:hAnsi="Arial"/>
          <w:sz w:val="20"/>
          <w:szCs w:val="20"/>
          <w:color w:val="auto"/>
        </w:rPr>
        <w:t>The Company has included non-GAAP net loss, which is our net loss adjusted for stock-based</w:t>
      </w:r>
      <w:r>
        <w:rPr>
          <w:rFonts w:ascii="Arial" w:cs="Arial" w:eastAsia="Arial" w:hAnsi="Arial"/>
          <w:sz w:val="20"/>
          <w:szCs w:val="20"/>
          <w:b w:val="1"/>
          <w:bCs w:val="1"/>
          <w:color w:val="auto"/>
        </w:rPr>
        <w:t xml:space="preserve"> </w:t>
      </w:r>
      <w:r>
        <w:rPr>
          <w:rFonts w:ascii="Arial" w:cs="Arial" w:eastAsia="Arial" w:hAnsi="Arial"/>
          <w:sz w:val="20"/>
          <w:szCs w:val="20"/>
          <w:color w:val="auto"/>
        </w:rPr>
        <w:t>compensation expense, depreciation and amortization, amortization of discount and issuance costs on convertible notes, unrealized loss on marketable securities, charitable contributions of common stock, impairment charges and acquisition and other adjustments not reflective of the Company's ongoing business, such as adjustments related to purchase accounting, the revaluation of contingent consideration and transaction costs (collectively, “non-GAAP net loss”).</w:t>
      </w:r>
    </w:p>
    <w:p>
      <w:pPr>
        <w:spacing w:after="0" w:line="179" w:lineRule="exact"/>
        <w:rPr>
          <w:sz w:val="20"/>
          <w:szCs w:val="20"/>
          <w:color w:val="auto"/>
        </w:rPr>
      </w:pPr>
    </w:p>
    <w:p>
      <w:pPr>
        <w:ind w:right="160"/>
        <w:spacing w:after="0" w:line="273" w:lineRule="auto"/>
        <w:rPr>
          <w:sz w:val="20"/>
          <w:szCs w:val="20"/>
          <w:color w:val="auto"/>
        </w:rPr>
      </w:pPr>
      <w:r>
        <w:rPr>
          <w:rFonts w:ascii="Arial" w:cs="Arial" w:eastAsia="Arial" w:hAnsi="Arial"/>
          <w:sz w:val="20"/>
          <w:szCs w:val="20"/>
          <w:b w:val="1"/>
          <w:bCs w:val="1"/>
          <w:color w:val="auto"/>
        </w:rPr>
        <w:t xml:space="preserve">Non-GAAP Earnings Per Share (Non-GAAP EPS): </w:t>
      </w:r>
      <w:r>
        <w:rPr>
          <w:rFonts w:ascii="Arial" w:cs="Arial" w:eastAsia="Arial" w:hAnsi="Arial"/>
          <w:sz w:val="20"/>
          <w:szCs w:val="20"/>
          <w:color w:val="auto"/>
        </w:rPr>
        <w:t>The Company calculates Non-GAAP net income (loss) per share as Non-GAAP net income (loss) divided by weighted average number of Class A common stock outstanding.</w:t>
      </w:r>
    </w:p>
    <w:p>
      <w:pPr>
        <w:spacing w:after="0" w:line="153" w:lineRule="exact"/>
        <w:rPr>
          <w:sz w:val="20"/>
          <w:szCs w:val="20"/>
          <w:color w:val="auto"/>
        </w:rPr>
      </w:pPr>
    </w:p>
    <w:p>
      <w:pPr>
        <w:ind w:right="20"/>
        <w:spacing w:after="0" w:line="242" w:lineRule="auto"/>
        <w:rPr>
          <w:sz w:val="20"/>
          <w:szCs w:val="20"/>
          <w:color w:val="auto"/>
        </w:rPr>
      </w:pPr>
      <w:r>
        <w:rPr>
          <w:rFonts w:ascii="Arial" w:cs="Arial" w:eastAsia="Arial" w:hAnsi="Arial"/>
          <w:sz w:val="20"/>
          <w:szCs w:val="20"/>
          <w:color w:val="auto"/>
        </w:rPr>
        <w:t>Management believes that the exclusion of certain expenses and gains in calculating Adjusted EBITDA and Non-GAAP net loss and Non-GAAP EPS provides a useful measure for period-to-period comparisons of the Company’s underlying core revenue and operating costs that is focused more closely on the current costs necessary to operate the Company’s businesses, and reflects its ongoing business in a manner that allows for meaningful analysis of trends. Management also believes that excluding certain non-cash charges can be useful because the amounts of such expenses is the result of long-term investment decisions made in previous periods rather than day-to-day operating decisions.</w:t>
      </w:r>
    </w:p>
    <w:p>
      <w:pPr>
        <w:spacing w:after="0" w:line="184" w:lineRule="exact"/>
        <w:rPr>
          <w:sz w:val="20"/>
          <w:szCs w:val="20"/>
          <w:color w:val="auto"/>
        </w:rPr>
      </w:pPr>
    </w:p>
    <w:p>
      <w:pPr>
        <w:ind w:right="480"/>
        <w:spacing w:after="0" w:line="249" w:lineRule="auto"/>
        <w:rPr>
          <w:sz w:val="20"/>
          <w:szCs w:val="20"/>
          <w:color w:val="auto"/>
        </w:rPr>
      </w:pPr>
      <w:r>
        <w:rPr>
          <w:rFonts w:ascii="Arial" w:cs="Arial" w:eastAsia="Arial" w:hAnsi="Arial"/>
          <w:sz w:val="20"/>
          <w:szCs w:val="20"/>
          <w:b w:val="1"/>
          <w:bCs w:val="1"/>
          <w:color w:val="auto"/>
        </w:rPr>
        <w:t xml:space="preserve">Active Buyers: </w:t>
      </w:r>
      <w:r>
        <w:rPr>
          <w:rFonts w:ascii="Arial" w:cs="Arial" w:eastAsia="Arial" w:hAnsi="Arial"/>
          <w:sz w:val="20"/>
          <w:szCs w:val="20"/>
          <w:color w:val="auto"/>
        </w:rPr>
        <w:t>The Company defines “buyers” as individuals who have placed an order to purchase on-demand parts or</w:t>
      </w:r>
      <w:r>
        <w:rPr>
          <w:rFonts w:ascii="Arial" w:cs="Arial" w:eastAsia="Arial" w:hAnsi="Arial"/>
          <w:sz w:val="20"/>
          <w:szCs w:val="20"/>
          <w:b w:val="1"/>
          <w:bCs w:val="1"/>
          <w:color w:val="auto"/>
        </w:rPr>
        <w:t xml:space="preserve"> </w:t>
      </w:r>
      <w:r>
        <w:rPr>
          <w:rFonts w:ascii="Arial" w:cs="Arial" w:eastAsia="Arial" w:hAnsi="Arial"/>
          <w:sz w:val="20"/>
          <w:szCs w:val="20"/>
          <w:color w:val="auto"/>
        </w:rPr>
        <w:t>assemblies on our marketplace. The Company defines Active Buyers as the number of buyers who have made at least one purchase on our marketplace during the last twelve months.</w:t>
      </w:r>
    </w:p>
    <w:p>
      <w:pPr>
        <w:spacing w:after="0" w:line="174" w:lineRule="exact"/>
        <w:rPr>
          <w:sz w:val="20"/>
          <w:szCs w:val="20"/>
          <w:color w:val="auto"/>
        </w:rPr>
      </w:pPr>
    </w:p>
    <w:p>
      <w:pPr>
        <w:ind w:right="160"/>
        <w:spacing w:after="0" w:line="276" w:lineRule="auto"/>
        <w:rPr>
          <w:sz w:val="20"/>
          <w:szCs w:val="20"/>
          <w:color w:val="auto"/>
        </w:rPr>
      </w:pPr>
      <w:r>
        <w:rPr>
          <w:rFonts w:ascii="Arial" w:cs="Arial" w:eastAsia="Arial" w:hAnsi="Arial"/>
          <w:sz w:val="19"/>
          <w:szCs w:val="19"/>
          <w:b w:val="1"/>
          <w:bCs w:val="1"/>
          <w:color w:val="auto"/>
        </w:rPr>
        <w:t xml:space="preserve">Percentage of Revenue from Existing Accounts: </w:t>
      </w:r>
      <w:r>
        <w:rPr>
          <w:rFonts w:ascii="Arial" w:cs="Arial" w:eastAsia="Arial" w:hAnsi="Arial"/>
          <w:sz w:val="19"/>
          <w:szCs w:val="19"/>
          <w:color w:val="auto"/>
        </w:rPr>
        <w:t>The Company defines “accounts” as an individual entity, such as a sole</w:t>
      </w:r>
      <w:r>
        <w:rPr>
          <w:rFonts w:ascii="Arial" w:cs="Arial" w:eastAsia="Arial" w:hAnsi="Arial"/>
          <w:sz w:val="19"/>
          <w:szCs w:val="19"/>
          <w:b w:val="1"/>
          <w:bCs w:val="1"/>
          <w:color w:val="auto"/>
        </w:rPr>
        <w:t xml:space="preserve"> </w:t>
      </w:r>
      <w:r>
        <w:rPr>
          <w:rFonts w:ascii="Arial" w:cs="Arial" w:eastAsia="Arial" w:hAnsi="Arial"/>
          <w:sz w:val="19"/>
          <w:szCs w:val="19"/>
          <w:color w:val="auto"/>
        </w:rPr>
        <w:t>proprietor with a single buyer or corporate entities with multiple buyers, having purchased at least one part on our marketplace. The Company defines an existing account as an account where at least one buyer has made a purchase on our marketplace.</w:t>
      </w:r>
    </w:p>
    <w:p>
      <w:pPr>
        <w:spacing w:after="0" w:line="150" w:lineRule="exact"/>
        <w:rPr>
          <w:sz w:val="20"/>
          <w:szCs w:val="20"/>
          <w:color w:val="auto"/>
        </w:rPr>
      </w:pPr>
    </w:p>
    <w:p>
      <w:pPr>
        <w:ind w:right="240"/>
        <w:spacing w:after="0" w:line="249" w:lineRule="auto"/>
        <w:rPr>
          <w:sz w:val="20"/>
          <w:szCs w:val="20"/>
          <w:color w:val="auto"/>
        </w:rPr>
      </w:pPr>
      <w:r>
        <w:rPr>
          <w:rFonts w:ascii="Arial" w:cs="Arial" w:eastAsia="Arial" w:hAnsi="Arial"/>
          <w:sz w:val="20"/>
          <w:szCs w:val="20"/>
          <w:b w:val="1"/>
          <w:bCs w:val="1"/>
          <w:color w:val="auto"/>
        </w:rPr>
        <w:t xml:space="preserve">Accounts with Last Twelve-Month Spend of At Least $50,000: </w:t>
      </w:r>
      <w:r>
        <w:rPr>
          <w:rFonts w:ascii="Arial" w:cs="Arial" w:eastAsia="Arial" w:hAnsi="Arial"/>
          <w:sz w:val="20"/>
          <w:szCs w:val="20"/>
          <w:color w:val="auto"/>
        </w:rPr>
        <w:t>The Company defines Accounts with Last Twelve-Month</w:t>
      </w:r>
      <w:r>
        <w:rPr>
          <w:rFonts w:ascii="Arial" w:cs="Arial" w:eastAsia="Arial" w:hAnsi="Arial"/>
          <w:sz w:val="20"/>
          <w:szCs w:val="20"/>
          <w:b w:val="1"/>
          <w:bCs w:val="1"/>
          <w:color w:val="auto"/>
        </w:rPr>
        <w:t xml:space="preserve"> </w:t>
      </w:r>
      <w:r>
        <w:rPr>
          <w:rFonts w:ascii="Arial" w:cs="Arial" w:eastAsia="Arial" w:hAnsi="Arial"/>
          <w:sz w:val="20"/>
          <w:szCs w:val="20"/>
          <w:color w:val="auto"/>
        </w:rPr>
        <w:t>Spend of At Least $50,000 as an account that has spent at least $50,000 on our marketplace in the most recent twelve-month period.</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Xometry</w:t>
      </w:r>
    </w:p>
    <w:p>
      <w:pPr>
        <w:spacing w:after="0" w:line="217" w:lineRule="exact"/>
        <w:rPr>
          <w:sz w:val="20"/>
          <w:szCs w:val="20"/>
          <w:color w:val="auto"/>
        </w:rPr>
      </w:pPr>
    </w:p>
    <w:p>
      <w:pPr>
        <w:ind w:right="20"/>
        <w:spacing w:after="0" w:line="249" w:lineRule="auto"/>
        <w:rPr>
          <w:sz w:val="20"/>
          <w:szCs w:val="20"/>
          <w:color w:val="auto"/>
        </w:rPr>
      </w:pPr>
      <w:r>
        <w:rPr>
          <w:rFonts w:ascii="Arial" w:cs="Arial" w:eastAsia="Arial" w:hAnsi="Arial"/>
          <w:sz w:val="20"/>
          <w:szCs w:val="20"/>
          <w:color w:val="auto"/>
        </w:rPr>
        <w:t>Xometry (XMTR) powers the industries of today and tomorrow by connecting the people with big ideas to the manufacturers who can bring them to life. Xometry’s digital marketplace gives manufacturers the critical resources they need to grow their business while also making it easy for buyers at Fortune 1000 companies to tap into global manufacturing capacity and create locally resilient supply chains. Learn more at www.xometry.com or follow @xometry.</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8" w:right="33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color w:val="auto"/>
        </w:rPr>
        <w:t>Conference Call and Webcast Information</w:t>
      </w:r>
    </w:p>
    <w:p>
      <w:pPr>
        <w:spacing w:after="0" w:line="217" w:lineRule="exact"/>
        <w:rPr>
          <w:sz w:val="20"/>
          <w:szCs w:val="20"/>
          <w:color w:val="auto"/>
        </w:rPr>
      </w:pPr>
    </w:p>
    <w:p>
      <w:pPr>
        <w:ind w:right="40"/>
        <w:spacing w:after="0" w:line="255" w:lineRule="auto"/>
        <w:rPr>
          <w:sz w:val="20"/>
          <w:szCs w:val="20"/>
          <w:color w:val="auto"/>
        </w:rPr>
      </w:pPr>
      <w:r>
        <w:rPr>
          <w:rFonts w:ascii="Arial" w:cs="Arial" w:eastAsia="Arial" w:hAnsi="Arial"/>
          <w:sz w:val="20"/>
          <w:szCs w:val="20"/>
          <w:color w:val="auto"/>
        </w:rPr>
        <w:t>The Company will host a conference call and webcast to discuss the results at 8:30 a.m. ET (5:30 a.m. PT) on August 10, 2022. In addition to issuing a press release, the Company will post an earnings presentation to its investor website at investors.xometry.com.</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auto"/>
        </w:rPr>
        <w:t>Xometry, Inc. Second Quarter 2022 Earnings Presentation and Conference Call</w:t>
      </w:r>
    </w:p>
    <w:p>
      <w:pPr>
        <w:spacing w:after="0" w:line="2" w:lineRule="exact"/>
        <w:rPr>
          <w:sz w:val="20"/>
          <w:szCs w:val="20"/>
          <w:color w:val="auto"/>
        </w:rPr>
      </w:pPr>
    </w:p>
    <w:p>
      <w:pPr>
        <w:ind w:left="1020" w:hanging="504"/>
        <w:spacing w:after="0"/>
        <w:tabs>
          <w:tab w:leader="none" w:pos="1020"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8:30 a.m. Eastern / 5:30 a.m. Pacific on Wednesday, August 10, 2022</w:t>
      </w:r>
    </w:p>
    <w:p>
      <w:pPr>
        <w:ind w:left="1020" w:right="3400" w:hanging="504"/>
        <w:spacing w:after="0" w:line="251" w:lineRule="auto"/>
        <w:tabs>
          <w:tab w:leader="none" w:pos="1020" w:val="left"/>
        </w:tabs>
        <w:numPr>
          <w:ilvl w:val="0"/>
          <w:numId w:val="7"/>
        </w:numPr>
        <w:rPr>
          <w:rFonts w:ascii="Times New Roman" w:cs="Times New Roman" w:eastAsia="Times New Roman" w:hAnsi="Times New Roman"/>
          <w:sz w:val="19"/>
          <w:szCs w:val="19"/>
          <w:color w:val="auto"/>
        </w:rPr>
      </w:pPr>
      <w:r>
        <w:rPr>
          <w:rFonts w:ascii="Arial" w:cs="Arial" w:eastAsia="Arial" w:hAnsi="Arial"/>
          <w:sz w:val="19"/>
          <w:szCs w:val="19"/>
          <w:color w:val="auto"/>
        </w:rPr>
        <w:t>To register please use the following link: https://register.vevent.com/register/BI35b5aa7646bb4334bcde4a94727a4d05</w:t>
      </w:r>
    </w:p>
    <w:p>
      <w:pPr>
        <w:ind w:left="1020" w:right="120" w:hanging="504"/>
        <w:spacing w:after="0" w:line="251" w:lineRule="auto"/>
        <w:tabs>
          <w:tab w:leader="none" w:pos="1020"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You may also visit the Xometry Investor Relations Homepage at investors.xometry.com to listen to a live webcast of the call</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Information Regarding Forward-Looking Statements</w:t>
      </w:r>
    </w:p>
    <w:p>
      <w:pPr>
        <w:spacing w:after="0" w:line="19" w:lineRule="exact"/>
        <w:rPr>
          <w:sz w:val="20"/>
          <w:szCs w:val="20"/>
          <w:color w:val="auto"/>
        </w:rPr>
      </w:pPr>
    </w:p>
    <w:p>
      <w:pPr>
        <w:spacing w:after="0" w:line="237" w:lineRule="auto"/>
        <w:rPr>
          <w:sz w:val="20"/>
          <w:szCs w:val="20"/>
          <w:color w:val="auto"/>
        </w:rPr>
      </w:pPr>
      <w:r>
        <w:rPr>
          <w:rFonts w:ascii="Arial" w:cs="Arial" w:eastAsia="Arial" w:hAnsi="Arial"/>
          <w:sz w:val="20"/>
          <w:szCs w:val="20"/>
          <w:color w:val="auto"/>
        </w:rPr>
        <w:t>This press release contains forward-looking statements within the meaning of Section 27A of the Securities Act of 1933, as amended, and Section 21E of the Securities Exchange Act of 1934, as amended,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 “plan,” “anticipate,” “could,” “would,” “intend,” “target,” “project,” “contemplate,” “believe,” “estimate,” “predict,” “potential” or “continue” or the negative of these words or other similar terms or expressions that concern our expectations, strategy, plans or intentions. Forward-looking statements in this press release include, but are not limited to, our beliefs regarding our financial position and operating performance, including our outlook and guidance for the third quarter and full year 2022, certain expected synergies from recent acquisitions and demand for our marketplaces in general. Our expectations and beliefs regarding these matters may not materialize, and actual results in future periods are subject to risks and uncertainties that could cause actual results to differ materially from those projected, including risks and uncertainties related to: competition, managing our growth, financial performance, including the impact of the COVID-19 pandemic on our business and operations and our ability to forecast our performance due to our limited operating history and the COVID-19 pandemic, investments in new products or offerings, our ability to attract buyers and sellers to our marketplace, legal proceedings and regulatory matters and developments, any future changes to our business or our financial or operating model, and our brand and reputation. The forward-looking statements contained in this press release are also subject to other risks and uncertainties that could cause actual results to differ from the results predicted, including those more fully described in our filings with the SEC, including our Annual Report on Form 10-K for the period ended December 31, 2021. All forward-looking statements in this press release are based on information available to Xometry and assumptions and beliefs as of the date hereof, and we disclaim any obligation to update any forward-looking statements, except as required by law.</w:t>
      </w:r>
    </w:p>
    <w:p>
      <w:pPr>
        <w:sectPr>
          <w:pgSz w:w="11900" w:h="16838" w:orient="portrait"/>
          <w:cols w:equalWidth="0" w:num="1">
            <w:col w:w="11200"/>
          </w:cols>
          <w:pgMar w:left="320" w:top="534"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Investor Contact:</w:t>
      </w:r>
    </w:p>
    <w:p>
      <w:pPr>
        <w:spacing w:after="0" w:line="190" w:lineRule="exact"/>
        <w:rPr>
          <w:sz w:val="20"/>
          <w:szCs w:val="20"/>
          <w:color w:val="auto"/>
        </w:rPr>
      </w:pPr>
    </w:p>
    <w:p>
      <w:pPr>
        <w:ind w:left="20"/>
        <w:spacing w:after="0"/>
        <w:rPr>
          <w:sz w:val="20"/>
          <w:szCs w:val="20"/>
          <w:color w:val="auto"/>
        </w:rPr>
      </w:pPr>
      <w:r>
        <w:rPr>
          <w:rFonts w:ascii="Arial" w:cs="Arial" w:eastAsia="Arial" w:hAnsi="Arial"/>
          <w:sz w:val="20"/>
          <w:szCs w:val="20"/>
          <w:color w:val="auto"/>
        </w:rPr>
        <w:t>Shawn Milne</w:t>
      </w:r>
    </w:p>
    <w:p>
      <w:pPr>
        <w:ind w:left="20"/>
        <w:spacing w:after="0" w:line="215" w:lineRule="auto"/>
        <w:rPr>
          <w:sz w:val="20"/>
          <w:szCs w:val="20"/>
          <w:color w:val="auto"/>
        </w:rPr>
      </w:pPr>
      <w:r>
        <w:rPr>
          <w:rFonts w:ascii="Arial" w:cs="Arial" w:eastAsia="Arial" w:hAnsi="Arial"/>
          <w:sz w:val="20"/>
          <w:szCs w:val="20"/>
          <w:color w:val="auto"/>
        </w:rPr>
        <w:t>VP Investor Relations</w:t>
      </w:r>
    </w:p>
    <w:p>
      <w:pPr>
        <w:ind w:left="20"/>
        <w:spacing w:after="0" w:line="225" w:lineRule="auto"/>
        <w:rPr>
          <w:sz w:val="20"/>
          <w:szCs w:val="20"/>
          <w:color w:val="auto"/>
        </w:rPr>
      </w:pPr>
      <w:r>
        <w:rPr>
          <w:rFonts w:ascii="Arial" w:cs="Arial" w:eastAsia="Arial" w:hAnsi="Arial"/>
          <w:sz w:val="20"/>
          <w:szCs w:val="20"/>
          <w:color w:val="auto"/>
        </w:rPr>
        <w:t>240-335-8132</w:t>
      </w:r>
    </w:p>
    <w:p>
      <w:pPr>
        <w:ind w:left="20"/>
        <w:spacing w:after="0"/>
        <w:rPr>
          <w:sz w:val="20"/>
          <w:szCs w:val="20"/>
          <w:color w:val="auto"/>
        </w:rPr>
      </w:pPr>
      <w:r>
        <w:rPr>
          <w:rFonts w:ascii="Arial" w:cs="Arial" w:eastAsia="Arial" w:hAnsi="Arial"/>
          <w:sz w:val="19"/>
          <w:szCs w:val="19"/>
          <w:color w:val="auto"/>
        </w:rPr>
        <w:t>shawn.milne@xometry.com</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jc w:val="center"/>
        <w:ind w:right="4920"/>
        <w:spacing w:after="0"/>
        <w:rPr>
          <w:sz w:val="20"/>
          <w:szCs w:val="20"/>
          <w:color w:val="auto"/>
        </w:rPr>
      </w:pPr>
      <w:r>
        <w:rPr>
          <w:rFonts w:ascii="Arial" w:cs="Arial" w:eastAsia="Arial" w:hAnsi="Arial"/>
          <w:sz w:val="20"/>
          <w:szCs w:val="20"/>
          <w:color w:val="auto"/>
        </w:rPr>
        <w:t># # #</w:t>
      </w:r>
    </w:p>
    <w:p>
      <w:pPr>
        <w:spacing w:after="0" w:line="17" w:lineRule="exact"/>
        <w:rPr>
          <w:sz w:val="20"/>
          <w:szCs w:val="20"/>
          <w:color w:val="auto"/>
        </w:rPr>
      </w:pPr>
    </w:p>
    <w:p>
      <w:pPr>
        <w:jc w:val="center"/>
        <w:ind w:right="4920"/>
        <w:spacing w:after="0"/>
        <w:rPr>
          <w:sz w:val="20"/>
          <w:szCs w:val="20"/>
          <w:color w:val="auto"/>
        </w:rPr>
      </w:pPr>
      <w:r>
        <w:rPr>
          <w:rFonts w:ascii="Arial" w:cs="Arial" w:eastAsia="Arial" w:hAnsi="Arial"/>
          <w:sz w:val="19"/>
          <w:szCs w:val="19"/>
          <w:color w:val="auto"/>
        </w:rPr>
        <w:t>(Tables Follow)</w:t>
      </w:r>
    </w:p>
    <w:p>
      <w:pPr>
        <w:spacing w:after="0" w:line="206" w:lineRule="exact"/>
        <w:rPr>
          <w:sz w:val="20"/>
          <w:szCs w:val="20"/>
          <w:color w:val="auto"/>
        </w:rPr>
      </w:pPr>
    </w:p>
    <w:p>
      <w:pPr>
        <w:ind w:left="680"/>
        <w:spacing w:after="0"/>
        <w:rPr>
          <w:sz w:val="20"/>
          <w:szCs w:val="20"/>
          <w:color w:val="auto"/>
        </w:rPr>
      </w:pPr>
      <w:r>
        <w:rPr>
          <w:rFonts w:ascii="Arial" w:cs="Arial" w:eastAsia="Arial" w:hAnsi="Arial"/>
          <w:sz w:val="20"/>
          <w:szCs w:val="20"/>
          <w:b w:val="1"/>
          <w:bCs w:val="1"/>
          <w:color w:val="auto"/>
        </w:rPr>
        <w:t>Media Contact:</w:t>
      </w:r>
    </w:p>
    <w:p>
      <w:pPr>
        <w:spacing w:after="0" w:line="177" w:lineRule="exact"/>
        <w:rPr>
          <w:sz w:val="20"/>
          <w:szCs w:val="20"/>
          <w:color w:val="auto"/>
        </w:rPr>
      </w:pPr>
    </w:p>
    <w:p>
      <w:pPr>
        <w:ind w:left="680"/>
        <w:spacing w:after="0"/>
        <w:rPr>
          <w:sz w:val="20"/>
          <w:szCs w:val="20"/>
          <w:color w:val="auto"/>
        </w:rPr>
      </w:pPr>
      <w:r>
        <w:rPr>
          <w:rFonts w:ascii="Arial" w:cs="Arial" w:eastAsia="Arial" w:hAnsi="Arial"/>
          <w:sz w:val="20"/>
          <w:szCs w:val="20"/>
          <w:color w:val="auto"/>
        </w:rPr>
        <w:t>Matthew Hutchison</w:t>
      </w:r>
    </w:p>
    <w:p>
      <w:pPr>
        <w:ind w:left="680"/>
        <w:spacing w:after="0" w:line="226" w:lineRule="auto"/>
        <w:rPr>
          <w:sz w:val="20"/>
          <w:szCs w:val="20"/>
          <w:color w:val="auto"/>
        </w:rPr>
      </w:pPr>
      <w:r>
        <w:rPr>
          <w:rFonts w:ascii="Arial" w:cs="Arial" w:eastAsia="Arial" w:hAnsi="Arial"/>
          <w:sz w:val="19"/>
          <w:szCs w:val="19"/>
          <w:color w:val="auto"/>
        </w:rPr>
        <w:t>Corporate Communications for Xometry</w:t>
      </w:r>
    </w:p>
    <w:p>
      <w:pPr>
        <w:ind w:left="680"/>
        <w:spacing w:after="0" w:line="225" w:lineRule="auto"/>
        <w:rPr>
          <w:sz w:val="20"/>
          <w:szCs w:val="20"/>
          <w:color w:val="auto"/>
        </w:rPr>
      </w:pPr>
      <w:r>
        <w:rPr>
          <w:rFonts w:ascii="Arial" w:cs="Arial" w:eastAsia="Arial" w:hAnsi="Arial"/>
          <w:sz w:val="20"/>
          <w:szCs w:val="20"/>
          <w:color w:val="auto"/>
        </w:rPr>
        <w:t>415-583-2119</w:t>
      </w:r>
    </w:p>
    <w:p>
      <w:pPr>
        <w:ind w:left="680"/>
        <w:spacing w:after="0"/>
        <w:rPr>
          <w:sz w:val="20"/>
          <w:szCs w:val="20"/>
          <w:color w:val="auto"/>
        </w:rPr>
      </w:pPr>
      <w:r>
        <w:rPr>
          <w:rFonts w:ascii="Arial" w:cs="Arial" w:eastAsia="Arial" w:hAnsi="Arial"/>
          <w:sz w:val="20"/>
          <w:szCs w:val="20"/>
          <w:color w:val="auto"/>
        </w:rPr>
        <w:t>matthew.hutchison@xometry.com</w:t>
      </w:r>
    </w:p>
    <w:p>
      <w:pPr>
        <w:spacing w:after="0" w:line="201" w:lineRule="exact"/>
        <w:rPr>
          <w:sz w:val="20"/>
          <w:szCs w:val="20"/>
          <w:color w:val="auto"/>
        </w:rPr>
      </w:pPr>
    </w:p>
    <w:p>
      <w:pPr>
        <w:sectPr>
          <w:pgSz w:w="11900" w:h="16838" w:orient="portrait"/>
          <w:cols w:equalWidth="0" w:num="2">
            <w:col w:w="4240" w:space="720"/>
            <w:col w:w="6240"/>
          </w:cols>
          <w:pgMar w:left="320" w:top="534" w:right="379" w:bottom="1440" w:gutter="0" w:footer="0" w:header="0"/>
          <w:type w:val="continuous"/>
        </w:sect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34" w:right="379" w:bottom="1440" w:gutter="0" w:footer="0" w:header="0"/>
          <w:type w:val="continuous"/>
        </w:sectPr>
      </w:pPr>
    </w:p>
    <w:bookmarkStart w:id="9" w:name="page10"/>
    <w:bookmarkEnd w:id="9"/>
    <w:p>
      <w:pPr>
        <w:ind w:left="4160"/>
        <w:spacing w:after="0"/>
        <w:rPr>
          <w:sz w:val="20"/>
          <w:szCs w:val="20"/>
          <w:color w:val="auto"/>
        </w:rPr>
      </w:pPr>
      <w:r>
        <w:rPr>
          <w:rFonts w:ascii="Arial" w:cs="Arial" w:eastAsia="Arial" w:hAnsi="Arial"/>
          <w:sz w:val="20"/>
          <w:szCs w:val="20"/>
          <w:b w:val="1"/>
          <w:bCs w:val="1"/>
          <w:color w:val="auto"/>
        </w:rPr>
        <w:t>Xometry, Inc. and Subsidiaries</w:t>
      </w:r>
    </w:p>
    <w:p>
      <w:pPr>
        <w:spacing w:after="0" w:line="19" w:lineRule="exact"/>
        <w:rPr>
          <w:sz w:val="20"/>
          <w:szCs w:val="20"/>
          <w:color w:val="auto"/>
        </w:rPr>
      </w:pPr>
    </w:p>
    <w:p>
      <w:pPr>
        <w:ind w:left="3800"/>
        <w:spacing w:after="0"/>
        <w:rPr>
          <w:sz w:val="20"/>
          <w:szCs w:val="20"/>
          <w:color w:val="auto"/>
        </w:rPr>
      </w:pPr>
      <w:r>
        <w:rPr>
          <w:rFonts w:ascii="Arial" w:cs="Arial" w:eastAsia="Arial" w:hAnsi="Arial"/>
          <w:sz w:val="20"/>
          <w:szCs w:val="20"/>
          <w:color w:val="auto"/>
        </w:rPr>
        <w:t>Condensed Consolidated Balance Sheets</w:t>
      </w:r>
    </w:p>
    <w:p>
      <w:pPr>
        <w:ind w:left="3520"/>
        <w:spacing w:after="0"/>
        <w:rPr>
          <w:sz w:val="20"/>
          <w:szCs w:val="20"/>
          <w:color w:val="auto"/>
        </w:rPr>
      </w:pPr>
      <w:r>
        <w:rPr>
          <w:rFonts w:ascii="Arial" w:cs="Arial" w:eastAsia="Arial" w:hAnsi="Arial"/>
          <w:sz w:val="20"/>
          <w:szCs w:val="20"/>
          <w:color w:val="auto"/>
        </w:rPr>
        <w:t>(In thousands, except share and per share data)</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June 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09"/>
        </w:trPr>
        <w:tc>
          <w:tcPr>
            <w:tcW w:w="78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9"/>
              </w:rPr>
              <w:t>2022</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center"/>
              <w:ind w:right="110"/>
              <w:spacing w:after="0"/>
              <w:rPr>
                <w:sz w:val="20"/>
                <w:szCs w:val="20"/>
                <w:color w:val="auto"/>
              </w:rPr>
            </w:pPr>
            <w:r>
              <w:rPr>
                <w:rFonts w:ascii="Arial" w:cs="Arial" w:eastAsia="Arial" w:hAnsi="Arial"/>
                <w:sz w:val="18"/>
                <w:szCs w:val="18"/>
                <w:b w:val="1"/>
                <w:bCs w:val="1"/>
                <w:color w:val="auto"/>
                <w:w w:val="99"/>
              </w:rPr>
              <w:t>(unaudited)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center"/>
              <w:ind w:right="70"/>
              <w:spacing w:after="0"/>
              <w:rPr>
                <w:sz w:val="20"/>
                <w:szCs w:val="20"/>
                <w:color w:val="auto"/>
              </w:rPr>
            </w:pPr>
            <w:r>
              <w:rPr>
                <w:rFonts w:ascii="Arial" w:cs="Arial" w:eastAsia="Arial" w:hAnsi="Arial"/>
                <w:sz w:val="18"/>
                <w:szCs w:val="18"/>
                <w:b w:val="1"/>
                <w:bCs w:val="1"/>
                <w:color w:val="auto"/>
                <w:w w:val="97"/>
              </w:rPr>
              <w:t>(audited)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46,833</w:t>
            </w:r>
          </w:p>
        </w:tc>
        <w:tc>
          <w:tcPr>
            <w:tcW w:w="10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86,262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280"/>
              <w:spacing w:after="0"/>
              <w:rPr>
                <w:sz w:val="20"/>
                <w:szCs w:val="20"/>
                <w:color w:val="auto"/>
              </w:rPr>
            </w:pPr>
            <w:r>
              <w:rPr>
                <w:rFonts w:ascii="Arial" w:cs="Arial" w:eastAsia="Arial" w:hAnsi="Arial"/>
                <w:sz w:val="18"/>
                <w:szCs w:val="18"/>
                <w:color w:val="auto"/>
              </w:rPr>
              <w:t>Marketable securities</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309,830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30,465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7820" w:type="dxa"/>
            <w:vAlign w:val="bottom"/>
            <w:shd w:val="clear" w:color="auto" w:fill="CFF0FC"/>
          </w:tcPr>
          <w:p>
            <w:pPr>
              <w:ind w:left="280"/>
              <w:spacing w:after="0" w:line="170" w:lineRule="exact"/>
              <w:rPr>
                <w:sz w:val="20"/>
                <w:szCs w:val="20"/>
                <w:color w:val="auto"/>
              </w:rPr>
            </w:pPr>
            <w:r>
              <w:rPr>
                <w:rFonts w:ascii="Arial" w:cs="Arial" w:eastAsia="Arial" w:hAnsi="Arial"/>
                <w:sz w:val="18"/>
                <w:szCs w:val="18"/>
                <w:color w:val="auto"/>
              </w:rPr>
              <w:t>Accounts receivable, less allowance for doubtful accounts of $1.5 million as of June 30,</w:t>
            </w:r>
          </w:p>
        </w:tc>
        <w:tc>
          <w:tcPr>
            <w:tcW w:w="200" w:type="dxa"/>
            <w:vAlign w:val="bottom"/>
            <w:shd w:val="clear" w:color="auto" w:fill="CFF0FC"/>
          </w:tcPr>
          <w:p>
            <w:pPr>
              <w:spacing w:after="0"/>
              <w:rPr>
                <w:sz w:val="14"/>
                <w:szCs w:val="14"/>
                <w:color w:val="auto"/>
              </w:rPr>
            </w:pPr>
          </w:p>
        </w:tc>
        <w:tc>
          <w:tcPr>
            <w:tcW w:w="13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43,991</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32,427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78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2022 and $0.8 million as of December 31, 2021</w:t>
            </w:r>
          </w:p>
        </w:tc>
        <w:tc>
          <w:tcPr>
            <w:tcW w:w="200" w:type="dxa"/>
            <w:vAlign w:val="bottom"/>
            <w:shd w:val="clear" w:color="auto" w:fill="CFF0FC"/>
          </w:tcPr>
          <w:p>
            <w:pPr>
              <w:spacing w:after="0"/>
              <w:rPr>
                <w:sz w:val="20"/>
                <w:szCs w:val="20"/>
                <w:color w:val="auto"/>
              </w:rPr>
            </w:pPr>
          </w:p>
        </w:tc>
        <w:tc>
          <w:tcPr>
            <w:tcW w:w="138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8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280"/>
              <w:spacing w:after="0"/>
              <w:rPr>
                <w:sz w:val="20"/>
                <w:szCs w:val="20"/>
                <w:color w:val="auto"/>
              </w:rPr>
            </w:pPr>
            <w:r>
              <w:rPr>
                <w:rFonts w:ascii="Arial" w:cs="Arial" w:eastAsia="Arial" w:hAnsi="Arial"/>
                <w:sz w:val="18"/>
                <w:szCs w:val="18"/>
                <w:color w:val="auto"/>
              </w:rPr>
              <w:t>Inventory</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Prepaid expenses</w:t>
            </w: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7,724</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28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20" w:type="dxa"/>
            <w:vAlign w:val="bottom"/>
            <w:shd w:val="clear" w:color="auto" w:fill="CFF0FC"/>
          </w:tcPr>
          <w:p>
            <w:pPr>
              <w:ind w:left="520"/>
              <w:spacing w:after="0"/>
              <w:rPr>
                <w:sz w:val="20"/>
                <w:szCs w:val="20"/>
                <w:color w:val="auto"/>
              </w:rPr>
            </w:pPr>
            <w:r>
              <w:rPr>
                <w:rFonts w:ascii="Arial" w:cs="Arial" w:eastAsia="Arial" w:hAnsi="Arial"/>
                <w:sz w:val="18"/>
                <w:szCs w:val="18"/>
                <w:b w:val="1"/>
                <w:bCs w:val="1"/>
                <w:color w:val="auto"/>
              </w:rPr>
              <w:t>Total current assets</w:t>
            </w: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414,223</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163,431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280"/>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13,443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10,287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24,029</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27,489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280"/>
              <w:spacing w:after="0"/>
              <w:rPr>
                <w:sz w:val="20"/>
                <w:szCs w:val="20"/>
                <w:color w:val="auto"/>
              </w:rPr>
            </w:pPr>
            <w:r>
              <w:rPr>
                <w:rFonts w:ascii="Arial" w:cs="Arial" w:eastAsia="Arial" w:hAnsi="Arial"/>
                <w:sz w:val="18"/>
                <w:szCs w:val="18"/>
                <w:color w:val="auto"/>
              </w:rPr>
              <w:t>Investment in unconsolidated joint venture</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4,301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4,198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Intangible assets, net</w:t>
            </w: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41,147</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28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259,971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254,672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627</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20" w:type="dxa"/>
            <w:vAlign w:val="bottom"/>
          </w:tcPr>
          <w:p>
            <w:pPr>
              <w:ind w:left="52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757,741</w:t>
            </w:r>
          </w:p>
        </w:tc>
        <w:tc>
          <w:tcPr>
            <w:tcW w:w="1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502,586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14,175</w:t>
            </w:r>
          </w:p>
        </w:tc>
        <w:tc>
          <w:tcPr>
            <w:tcW w:w="10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12,718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28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29,157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30,905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Contract liabilities</w:t>
            </w: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10,725</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7,863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280"/>
              <w:spacing w:after="0"/>
              <w:rPr>
                <w:sz w:val="20"/>
                <w:szCs w:val="20"/>
                <w:color w:val="auto"/>
              </w:rPr>
            </w:pPr>
            <w:r>
              <w:rPr>
                <w:rFonts w:ascii="Arial" w:cs="Arial" w:eastAsia="Arial" w:hAnsi="Arial"/>
                <w:sz w:val="18"/>
                <w:szCs w:val="18"/>
                <w:color w:val="auto"/>
              </w:rPr>
              <w:t>Operating lease liabilities, current portion</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5,723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5,549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Finance lease liabilities, current portion</w:t>
            </w:r>
          </w:p>
        </w:tc>
        <w:tc>
          <w:tcPr>
            <w:tcW w:w="2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20" w:type="dxa"/>
            <w:vAlign w:val="bottom"/>
            <w:tcBorders>
              <w:top w:val="single" w:sz="8" w:color="CFF0FC"/>
            </w:tcBorders>
          </w:tcPr>
          <w:p>
            <w:pPr>
              <w:ind w:left="520"/>
              <w:spacing w:after="0"/>
              <w:rPr>
                <w:sz w:val="20"/>
                <w:szCs w:val="20"/>
                <w:color w:val="auto"/>
              </w:rPr>
            </w:pPr>
            <w:r>
              <w:rPr>
                <w:rFonts w:ascii="Arial" w:cs="Arial" w:eastAsia="Arial" w:hAnsi="Arial"/>
                <w:sz w:val="18"/>
                <w:szCs w:val="18"/>
                <w:b w:val="1"/>
                <w:bCs w:val="1"/>
                <w:color w:val="auto"/>
              </w:rPr>
              <w:t>Total current liabilities</w:t>
            </w:r>
          </w:p>
        </w:tc>
        <w:tc>
          <w:tcPr>
            <w:tcW w:w="2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59,780</w:t>
            </w:r>
          </w:p>
        </w:tc>
        <w:tc>
          <w:tcPr>
            <w:tcW w:w="10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57,037</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Operating lease liabilities, net of current portion</w:t>
            </w: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14,053</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16,920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280"/>
              <w:spacing w:after="0"/>
              <w:rPr>
                <w:sz w:val="20"/>
                <w:szCs w:val="20"/>
                <w:color w:val="auto"/>
              </w:rPr>
            </w:pPr>
            <w:r>
              <w:rPr>
                <w:rFonts w:ascii="Arial" w:cs="Arial" w:eastAsia="Arial" w:hAnsi="Arial"/>
                <w:sz w:val="18"/>
                <w:szCs w:val="18"/>
                <w:color w:val="auto"/>
              </w:rPr>
              <w:t>Convertible notes</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278,972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Income taxes payable</w:t>
            </w: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1,532</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280"/>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2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b w:val="1"/>
                <w:bCs w:val="1"/>
                <w:color w:val="auto"/>
              </w:rPr>
              <w:t>Total liabilities</w:t>
            </w:r>
          </w:p>
        </w:tc>
        <w:tc>
          <w:tcPr>
            <w:tcW w:w="20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356,126</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77,103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Commitments and contingencies</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7820" w:type="dxa"/>
            <w:vAlign w:val="bottom"/>
          </w:tcPr>
          <w:p>
            <w:pPr>
              <w:ind w:left="280"/>
              <w:spacing w:after="0" w:line="170" w:lineRule="exact"/>
              <w:rPr>
                <w:sz w:val="20"/>
                <w:szCs w:val="20"/>
                <w:color w:val="auto"/>
              </w:rPr>
            </w:pPr>
            <w:r>
              <w:rPr>
                <w:rFonts w:ascii="Arial" w:cs="Arial" w:eastAsia="Arial" w:hAnsi="Arial"/>
                <w:sz w:val="18"/>
                <w:szCs w:val="18"/>
                <w:color w:val="auto"/>
              </w:rPr>
              <w:t>Preferred stock, $0.000001 par value. Authorized; 50,000,000 shares; zero shares issued</w:t>
            </w:r>
          </w:p>
        </w:tc>
        <w:tc>
          <w:tcPr>
            <w:tcW w:w="200" w:type="dxa"/>
            <w:vAlign w:val="bottom"/>
          </w:tcPr>
          <w:p>
            <w:pPr>
              <w:spacing w:after="0"/>
              <w:rPr>
                <w:sz w:val="14"/>
                <w:szCs w:val="14"/>
                <w:color w:val="auto"/>
              </w:rPr>
            </w:pPr>
          </w:p>
        </w:tc>
        <w:tc>
          <w:tcPr>
            <w:tcW w:w="14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7820" w:type="dxa"/>
            <w:vAlign w:val="bottom"/>
          </w:tcPr>
          <w:p>
            <w:pPr>
              <w:ind w:left="280"/>
              <w:spacing w:after="0"/>
              <w:rPr>
                <w:sz w:val="20"/>
                <w:szCs w:val="20"/>
                <w:color w:val="auto"/>
              </w:rPr>
            </w:pPr>
            <w:r>
              <w:rPr>
                <w:rFonts w:ascii="Arial" w:cs="Arial" w:eastAsia="Arial" w:hAnsi="Arial"/>
                <w:sz w:val="18"/>
                <w:szCs w:val="18"/>
                <w:color w:val="auto"/>
              </w:rPr>
              <w:t>and outstanding as of June 30, 2022 and December 31, 2021, respectively</w:t>
            </w:r>
          </w:p>
        </w:tc>
        <w:tc>
          <w:tcPr>
            <w:tcW w:w="200" w:type="dxa"/>
            <w:vAlign w:val="bottom"/>
          </w:tcPr>
          <w:p>
            <w:pPr>
              <w:spacing w:after="0"/>
              <w:rPr>
                <w:sz w:val="20"/>
                <w:szCs w:val="20"/>
                <w:color w:val="auto"/>
              </w:rPr>
            </w:pPr>
          </w:p>
        </w:tc>
        <w:tc>
          <w:tcPr>
            <w:tcW w:w="148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7820" w:type="dxa"/>
            <w:vAlign w:val="bottom"/>
            <w:shd w:val="clear" w:color="auto" w:fill="CFF0FC"/>
          </w:tcPr>
          <w:p>
            <w:pPr>
              <w:ind w:left="280"/>
              <w:spacing w:after="0" w:line="170" w:lineRule="exact"/>
              <w:rPr>
                <w:sz w:val="20"/>
                <w:szCs w:val="20"/>
                <w:color w:val="auto"/>
              </w:rPr>
            </w:pPr>
            <w:r>
              <w:rPr>
                <w:rFonts w:ascii="Arial" w:cs="Arial" w:eastAsia="Arial" w:hAnsi="Arial"/>
                <w:sz w:val="18"/>
                <w:szCs w:val="18"/>
                <w:color w:val="auto"/>
              </w:rPr>
              <w:t>Class A Common stock, $0.000001 par value. Authorized; 750,000,000 shares; 44,545,080</w:t>
            </w:r>
          </w:p>
        </w:tc>
        <w:tc>
          <w:tcPr>
            <w:tcW w:w="20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820" w:type="dxa"/>
            <w:vAlign w:val="bottom"/>
            <w:shd w:val="clear" w:color="auto" w:fill="CFF0FC"/>
          </w:tcPr>
          <w:p>
            <w:pPr>
              <w:ind w:left="280"/>
              <w:spacing w:after="0" w:line="189" w:lineRule="exact"/>
              <w:rPr>
                <w:sz w:val="20"/>
                <w:szCs w:val="20"/>
                <w:color w:val="auto"/>
              </w:rPr>
            </w:pPr>
            <w:r>
              <w:rPr>
                <w:rFonts w:ascii="Arial" w:cs="Arial" w:eastAsia="Arial" w:hAnsi="Arial"/>
                <w:sz w:val="18"/>
                <w:szCs w:val="18"/>
                <w:color w:val="auto"/>
              </w:rPr>
              <w:t>shares and 43,998,404 shares issued and outstanding as of June 30, 2022 and December</w:t>
            </w:r>
          </w:p>
        </w:tc>
        <w:tc>
          <w:tcPr>
            <w:tcW w:w="200" w:type="dxa"/>
            <w:vAlign w:val="bottom"/>
            <w:shd w:val="clear" w:color="auto" w:fill="CFF0FC"/>
          </w:tcPr>
          <w:p>
            <w:pPr>
              <w:spacing w:after="0"/>
              <w:rPr>
                <w:sz w:val="16"/>
                <w:szCs w:val="16"/>
                <w:color w:val="auto"/>
              </w:rPr>
            </w:pPr>
          </w:p>
        </w:tc>
        <w:tc>
          <w:tcPr>
            <w:tcW w:w="148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8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78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31, 2021, respectively</w:t>
            </w:r>
          </w:p>
        </w:tc>
        <w:tc>
          <w:tcPr>
            <w:tcW w:w="200" w:type="dxa"/>
            <w:vAlign w:val="bottom"/>
            <w:shd w:val="clear" w:color="auto" w:fill="CFF0FC"/>
          </w:tcPr>
          <w:p>
            <w:pPr>
              <w:spacing w:after="0"/>
              <w:rPr>
                <w:sz w:val="20"/>
                <w:szCs w:val="20"/>
                <w:color w:val="auto"/>
              </w:rPr>
            </w:pPr>
          </w:p>
        </w:tc>
        <w:tc>
          <w:tcPr>
            <w:tcW w:w="1480" w:type="dxa"/>
            <w:vAlign w:val="bottom"/>
            <w:gridSpan w:val="2"/>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8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7820" w:type="dxa"/>
            <w:vAlign w:val="bottom"/>
          </w:tcPr>
          <w:p>
            <w:pPr>
              <w:ind w:left="280"/>
              <w:spacing w:after="0" w:line="170" w:lineRule="exact"/>
              <w:rPr>
                <w:sz w:val="20"/>
                <w:szCs w:val="20"/>
                <w:color w:val="auto"/>
              </w:rPr>
            </w:pPr>
            <w:r>
              <w:rPr>
                <w:rFonts w:ascii="Arial" w:cs="Arial" w:eastAsia="Arial" w:hAnsi="Arial"/>
                <w:sz w:val="18"/>
                <w:szCs w:val="18"/>
                <w:color w:val="auto"/>
              </w:rPr>
              <w:t>Class B Common stock, $0.000001 par value. Authorized; 5,000,000 shares; 2,676,154</w:t>
            </w:r>
          </w:p>
        </w:tc>
        <w:tc>
          <w:tcPr>
            <w:tcW w:w="200" w:type="dxa"/>
            <w:vAlign w:val="bottom"/>
          </w:tcPr>
          <w:p>
            <w:pPr>
              <w:spacing w:after="0"/>
              <w:rPr>
                <w:sz w:val="14"/>
                <w:szCs w:val="14"/>
                <w:color w:val="auto"/>
              </w:rPr>
            </w:pPr>
          </w:p>
        </w:tc>
        <w:tc>
          <w:tcPr>
            <w:tcW w:w="14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7820" w:type="dxa"/>
            <w:vAlign w:val="bottom"/>
          </w:tcPr>
          <w:p>
            <w:pPr>
              <w:ind w:left="280"/>
              <w:spacing w:after="0"/>
              <w:rPr>
                <w:sz w:val="20"/>
                <w:szCs w:val="20"/>
                <w:color w:val="auto"/>
              </w:rPr>
            </w:pPr>
            <w:r>
              <w:rPr>
                <w:rFonts w:ascii="Arial" w:cs="Arial" w:eastAsia="Arial" w:hAnsi="Arial"/>
                <w:sz w:val="18"/>
                <w:szCs w:val="18"/>
                <w:color w:val="auto"/>
              </w:rPr>
              <w:t>shares issued and outstanding as of June 30, 2022 and December 31, 2021, respectively</w:t>
            </w:r>
          </w:p>
        </w:tc>
        <w:tc>
          <w:tcPr>
            <w:tcW w:w="200" w:type="dxa"/>
            <w:vAlign w:val="bottom"/>
          </w:tcPr>
          <w:p>
            <w:pPr>
              <w:spacing w:after="0"/>
              <w:rPr>
                <w:sz w:val="20"/>
                <w:szCs w:val="20"/>
                <w:color w:val="auto"/>
              </w:rPr>
            </w:pPr>
          </w:p>
        </w:tc>
        <w:tc>
          <w:tcPr>
            <w:tcW w:w="148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610,331</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597,641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280"/>
              <w:spacing w:after="0"/>
              <w:rPr>
                <w:sz w:val="20"/>
                <w:szCs w:val="20"/>
                <w:color w:val="auto"/>
              </w:rPr>
            </w:pPr>
            <w:r>
              <w:rPr>
                <w:rFonts w:ascii="Arial" w:cs="Arial" w:eastAsia="Arial" w:hAnsi="Arial"/>
                <w:sz w:val="18"/>
                <w:szCs w:val="18"/>
                <w:color w:val="auto"/>
              </w:rPr>
              <w:t>Accumulated other comprehensive income</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Accumulated deficit</w:t>
            </w:r>
          </w:p>
        </w:tc>
        <w:tc>
          <w:tcPr>
            <w:tcW w:w="2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(209,906 )</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(173,341 )</w:t>
            </w:r>
          </w:p>
        </w:tc>
        <w:tc>
          <w:tcPr>
            <w:tcW w:w="0" w:type="dxa"/>
            <w:vAlign w:val="bottom"/>
          </w:tcPr>
          <w:p>
            <w:pPr>
              <w:spacing w:after="0"/>
              <w:rPr>
                <w:sz w:val="1"/>
                <w:szCs w:val="1"/>
                <w:color w:val="auto"/>
              </w:rPr>
            </w:pPr>
          </w:p>
        </w:tc>
      </w:tr>
      <w:tr>
        <w:trPr>
          <w:trHeight w:val="209"/>
        </w:trPr>
        <w:tc>
          <w:tcPr>
            <w:tcW w:w="782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2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400,510</w:t>
            </w:r>
          </w:p>
        </w:tc>
        <w:tc>
          <w:tcPr>
            <w:tcW w:w="10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424,449</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b w:val="1"/>
                <w:bCs w:val="1"/>
                <w:color w:val="auto"/>
              </w:rPr>
              <w:t>Noncontrolling interest</w:t>
            </w:r>
          </w:p>
        </w:tc>
        <w:tc>
          <w:tcPr>
            <w:tcW w:w="20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1,105</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20" w:type="dxa"/>
            <w:vAlign w:val="bottom"/>
          </w:tcPr>
          <w:p>
            <w:pPr>
              <w:ind w:left="520"/>
              <w:spacing w:after="0"/>
              <w:rPr>
                <w:sz w:val="20"/>
                <w:szCs w:val="20"/>
                <w:color w:val="auto"/>
              </w:rPr>
            </w:pPr>
            <w:r>
              <w:rPr>
                <w:rFonts w:ascii="Arial" w:cs="Arial" w:eastAsia="Arial" w:hAnsi="Arial"/>
                <w:sz w:val="18"/>
                <w:szCs w:val="18"/>
                <w:b w:val="1"/>
                <w:bCs w:val="1"/>
                <w:color w:val="auto"/>
              </w:rPr>
              <w:t>Total equity</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401,615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425,483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757,741</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502,586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830"/>
        </w:trPr>
        <w:tc>
          <w:tcPr>
            <w:tcW w:w="782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78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5964555</wp:posOffset>
            </wp:positionH>
            <wp:positionV relativeFrom="paragraph">
              <wp:posOffset>-4768850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-4768850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-3638550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-3638550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-2799080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-2799080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-1215390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-1215390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-932815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-932815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-641350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-624205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-641350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-624205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18" w:right="339" w:bottom="1440" w:gutter="0" w:footer="0" w:header="0"/>
        </w:sectPr>
      </w:pPr>
    </w:p>
    <w:bookmarkStart w:id="10" w:name="page11"/>
    <w:bookmarkEnd w:id="10"/>
    <w:p>
      <w:pPr>
        <w:jc w:val="center"/>
        <w:ind w:right="40"/>
        <w:spacing w:after="0"/>
        <w:rPr>
          <w:sz w:val="20"/>
          <w:szCs w:val="20"/>
          <w:color w:val="auto"/>
        </w:rPr>
      </w:pPr>
      <w:r>
        <w:rPr>
          <w:rFonts w:ascii="Arial" w:cs="Arial" w:eastAsia="Arial" w:hAnsi="Arial"/>
          <w:sz w:val="20"/>
          <w:szCs w:val="20"/>
          <w:b w:val="1"/>
          <w:bCs w:val="1"/>
          <w:color w:val="auto"/>
        </w:rPr>
        <w:t>Xometry, Inc.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Condensed Consolidated Statements of Operations and Comprehensive Loss</w:t>
      </w:r>
    </w:p>
    <w:p>
      <w:pPr>
        <w:jc w:val="center"/>
        <w:spacing w:after="0"/>
        <w:rPr>
          <w:sz w:val="20"/>
          <w:szCs w:val="20"/>
          <w:color w:val="auto"/>
        </w:rPr>
      </w:pPr>
      <w:r>
        <w:rPr>
          <w:rFonts w:ascii="Arial" w:cs="Arial" w:eastAsia="Arial" w:hAnsi="Arial"/>
          <w:sz w:val="20"/>
          <w:szCs w:val="20"/>
          <w:color w:val="auto"/>
        </w:rPr>
        <w:t>(In thousands, except share and per share amounts)</w:t>
      </w:r>
    </w:p>
    <w:tbl>
      <w:tblPr>
        <w:tblLayout w:type="fixed"/>
        <w:tblInd w:w="0" w:type="dxa"/>
        <w:tblCellMar>
          <w:top w:w="0" w:type="dxa"/>
          <w:left w:w="0" w:type="dxa"/>
          <w:bottom w:w="0" w:type="dxa"/>
          <w:right w:w="0" w:type="dxa"/>
        </w:tblCellMar>
      </w:tblPr>
      <w:tr>
        <w:trPr>
          <w:trHeight w:val="173"/>
        </w:trPr>
        <w:tc>
          <w:tcPr>
            <w:tcW w:w="5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60" w:type="dxa"/>
            <w:vAlign w:val="bottom"/>
            <w:gridSpan w:val="5"/>
          </w:tcPr>
          <w:p>
            <w:pPr>
              <w:jc w:val="right"/>
              <w:ind w:right="630"/>
              <w:spacing w:after="0" w:line="173" w:lineRule="exact"/>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5"/>
                <w:szCs w:val="15"/>
                <w:color w:val="auto"/>
              </w:rPr>
            </w:pPr>
          </w:p>
        </w:tc>
        <w:tc>
          <w:tcPr>
            <w:tcW w:w="2680" w:type="dxa"/>
            <w:vAlign w:val="bottom"/>
            <w:gridSpan w:val="5"/>
          </w:tcPr>
          <w:p>
            <w:pPr>
              <w:jc w:val="right"/>
              <w:ind w:right="641"/>
              <w:spacing w:after="0" w:line="173" w:lineRule="exact"/>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5"/>
        </w:trPr>
        <w:tc>
          <w:tcPr>
            <w:tcW w:w="53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95,615</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50,589</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179,286</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94,510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57,919</w:t>
            </w:r>
          </w:p>
        </w:tc>
        <w:tc>
          <w:tcPr>
            <w:tcW w:w="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38,714</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108,651</w:t>
            </w:r>
          </w:p>
        </w:tc>
        <w:tc>
          <w:tcPr>
            <w:tcW w:w="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8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b w:val="1"/>
                <w:bCs w:val="1"/>
                <w:color w:val="auto"/>
              </w:rPr>
              <w:t>Gross profit</w:t>
            </w:r>
          </w:p>
        </w:tc>
        <w:tc>
          <w:tcPr>
            <w:tcW w:w="2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37,696</w:t>
            </w:r>
          </w:p>
        </w:tc>
        <w:tc>
          <w:tcPr>
            <w:tcW w:w="2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11,875</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70,635</w:t>
            </w:r>
          </w:p>
        </w:tc>
        <w:tc>
          <w:tcPr>
            <w:tcW w:w="2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21,710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8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18,145</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8,858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37,430</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16,422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Operations and support</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12,180</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5,489</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24,538</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9,820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20"/>
              <w:spacing w:after="0"/>
              <w:rPr>
                <w:sz w:val="20"/>
                <w:szCs w:val="20"/>
                <w:color w:val="auto"/>
              </w:rPr>
            </w:pPr>
            <w:r>
              <w:rPr>
                <w:rFonts w:ascii="Arial" w:cs="Arial" w:eastAsia="Arial" w:hAnsi="Arial"/>
                <w:sz w:val="18"/>
                <w:szCs w:val="18"/>
                <w:color w:val="auto"/>
              </w:rPr>
              <w:t>Product development</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7,796</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4,091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15,085</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15,057</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5,238</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28,017</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9,562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20"/>
              <w:spacing w:after="0"/>
              <w:rPr>
                <w:sz w:val="20"/>
                <w:szCs w:val="20"/>
                <w:color w:val="auto"/>
              </w:rPr>
            </w:pPr>
            <w:r>
              <w:rPr>
                <w:rFonts w:ascii="Arial" w:cs="Arial" w:eastAsia="Arial" w:hAnsi="Arial"/>
                <w:sz w:val="18"/>
                <w:szCs w:val="18"/>
                <w:color w:val="auto"/>
              </w:rPr>
              <w:t>Impairment of long-lived assets</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53,297</w:t>
            </w:r>
          </w:p>
        </w:tc>
        <w:tc>
          <w:tcPr>
            <w:tcW w:w="2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23,676</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105,189</w:t>
            </w:r>
          </w:p>
        </w:tc>
        <w:tc>
          <w:tcPr>
            <w:tcW w:w="2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43,559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80" w:type="dxa"/>
            <w:vAlign w:val="bottom"/>
          </w:tcPr>
          <w:p>
            <w:pPr>
              <w:ind w:left="280"/>
              <w:spacing w:after="0"/>
              <w:rPr>
                <w:sz w:val="20"/>
                <w:szCs w:val="20"/>
                <w:color w:val="auto"/>
              </w:rPr>
            </w:pPr>
            <w:r>
              <w:rPr>
                <w:rFonts w:ascii="Arial" w:cs="Arial" w:eastAsia="Arial" w:hAnsi="Arial"/>
                <w:sz w:val="18"/>
                <w:szCs w:val="18"/>
                <w:b w:val="1"/>
                <w:bCs w:val="1"/>
                <w:color w:val="auto"/>
              </w:rPr>
              <w:t>Loss from operations</w:t>
            </w:r>
          </w:p>
        </w:tc>
        <w:tc>
          <w:tcPr>
            <w:tcW w:w="220" w:type="dxa"/>
            <w:vAlign w:val="bottom"/>
          </w:tcPr>
          <w:p>
            <w:pPr>
              <w:spacing w:after="0"/>
              <w:rPr>
                <w:sz w:val="18"/>
                <w:szCs w:val="18"/>
                <w:color w:val="auto"/>
              </w:rPr>
            </w:pPr>
          </w:p>
        </w:tc>
        <w:tc>
          <w:tcPr>
            <w:tcW w:w="1280" w:type="dxa"/>
            <w:vAlign w:val="bottom"/>
            <w:gridSpan w:val="2"/>
          </w:tcPr>
          <w:p>
            <w:pPr>
              <w:jc w:val="right"/>
              <w:ind w:right="121"/>
              <w:spacing w:after="0"/>
              <w:rPr>
                <w:sz w:val="20"/>
                <w:szCs w:val="20"/>
                <w:color w:val="auto"/>
              </w:rPr>
            </w:pPr>
            <w:r>
              <w:rPr>
                <w:rFonts w:ascii="Arial" w:cs="Arial" w:eastAsia="Arial" w:hAnsi="Arial"/>
                <w:sz w:val="18"/>
                <w:szCs w:val="18"/>
                <w:color w:val="auto"/>
              </w:rPr>
              <w:t>(15,601 )</w:t>
            </w:r>
          </w:p>
        </w:tc>
        <w:tc>
          <w:tcPr>
            <w:tcW w:w="340" w:type="dxa"/>
            <w:vAlign w:val="bottom"/>
          </w:tcPr>
          <w:p>
            <w:pPr>
              <w:spacing w:after="0"/>
              <w:rPr>
                <w:sz w:val="18"/>
                <w:szCs w:val="18"/>
                <w:color w:val="auto"/>
              </w:rPr>
            </w:pP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(11,801 )</w:t>
            </w:r>
          </w:p>
        </w:tc>
        <w:tc>
          <w:tcPr>
            <w:tcW w:w="200" w:type="dxa"/>
            <w:vAlign w:val="bottom"/>
          </w:tcPr>
          <w:p>
            <w:pPr>
              <w:spacing w:after="0"/>
              <w:rPr>
                <w:sz w:val="18"/>
                <w:szCs w:val="18"/>
                <w:color w:val="auto"/>
              </w:rPr>
            </w:pPr>
          </w:p>
        </w:tc>
        <w:tc>
          <w:tcPr>
            <w:tcW w:w="1240" w:type="dxa"/>
            <w:vAlign w:val="bottom"/>
            <w:gridSpan w:val="2"/>
          </w:tcPr>
          <w:p>
            <w:pPr>
              <w:jc w:val="right"/>
              <w:ind w:right="101"/>
              <w:spacing w:after="0"/>
              <w:rPr>
                <w:sz w:val="20"/>
                <w:szCs w:val="20"/>
                <w:color w:val="auto"/>
              </w:rPr>
            </w:pPr>
            <w:r>
              <w:rPr>
                <w:rFonts w:ascii="Arial" w:cs="Arial" w:eastAsia="Arial" w:hAnsi="Arial"/>
                <w:sz w:val="18"/>
                <w:szCs w:val="18"/>
                <w:color w:val="auto"/>
              </w:rPr>
              <w:t>(34,554 )</w:t>
            </w:r>
          </w:p>
        </w:tc>
        <w:tc>
          <w:tcPr>
            <w:tcW w:w="3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(21,849 )</w:t>
            </w:r>
          </w:p>
        </w:tc>
        <w:tc>
          <w:tcPr>
            <w:tcW w:w="0" w:type="dxa"/>
            <w:vAlign w:val="bottom"/>
          </w:tcPr>
          <w:p>
            <w:pPr>
              <w:spacing w:after="0"/>
              <w:rPr>
                <w:sz w:val="1"/>
                <w:szCs w:val="1"/>
                <w:color w:val="auto"/>
              </w:rPr>
            </w:pPr>
          </w:p>
        </w:tc>
      </w:tr>
      <w:tr>
        <w:trPr>
          <w:trHeight w:val="216"/>
        </w:trPr>
        <w:tc>
          <w:tcPr>
            <w:tcW w:w="53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Other (expenses) income</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8"/>
                <w:szCs w:val="18"/>
                <w:color w:val="auto"/>
              </w:rPr>
            </w:pPr>
          </w:p>
        </w:tc>
        <w:tc>
          <w:tcPr>
            <w:tcW w:w="1280" w:type="dxa"/>
            <w:vAlign w:val="bottom"/>
            <w:gridSpan w:val="2"/>
          </w:tcPr>
          <w:p>
            <w:pPr>
              <w:jc w:val="right"/>
              <w:ind w:right="121"/>
              <w:spacing w:after="0"/>
              <w:rPr>
                <w:sz w:val="20"/>
                <w:szCs w:val="20"/>
                <w:color w:val="auto"/>
              </w:rPr>
            </w:pPr>
            <w:r>
              <w:rPr>
                <w:rFonts w:ascii="Arial" w:cs="Arial" w:eastAsia="Arial" w:hAnsi="Arial"/>
                <w:sz w:val="18"/>
                <w:szCs w:val="18"/>
                <w:color w:val="auto"/>
              </w:rPr>
              <w:t>(1,209 )</w:t>
            </w:r>
          </w:p>
        </w:tc>
        <w:tc>
          <w:tcPr>
            <w:tcW w:w="340" w:type="dxa"/>
            <w:vAlign w:val="bottom"/>
          </w:tcPr>
          <w:p>
            <w:pPr>
              <w:spacing w:after="0"/>
              <w:rPr>
                <w:sz w:val="18"/>
                <w:szCs w:val="18"/>
                <w:color w:val="auto"/>
              </w:rPr>
            </w:pP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(350 )</w:t>
            </w:r>
          </w:p>
        </w:tc>
        <w:tc>
          <w:tcPr>
            <w:tcW w:w="200" w:type="dxa"/>
            <w:vAlign w:val="bottom"/>
          </w:tcPr>
          <w:p>
            <w:pPr>
              <w:spacing w:after="0"/>
              <w:rPr>
                <w:sz w:val="18"/>
                <w:szCs w:val="18"/>
                <w:color w:val="auto"/>
              </w:rPr>
            </w:pPr>
          </w:p>
        </w:tc>
        <w:tc>
          <w:tcPr>
            <w:tcW w:w="1240" w:type="dxa"/>
            <w:vAlign w:val="bottom"/>
            <w:gridSpan w:val="2"/>
          </w:tcPr>
          <w:p>
            <w:pPr>
              <w:jc w:val="right"/>
              <w:ind w:right="101"/>
              <w:spacing w:after="0"/>
              <w:rPr>
                <w:sz w:val="20"/>
                <w:szCs w:val="20"/>
                <w:color w:val="auto"/>
              </w:rPr>
            </w:pPr>
            <w:r>
              <w:rPr>
                <w:rFonts w:ascii="Arial" w:cs="Arial" w:eastAsia="Arial" w:hAnsi="Arial"/>
                <w:sz w:val="18"/>
                <w:szCs w:val="18"/>
                <w:color w:val="auto"/>
              </w:rPr>
              <w:t>(1,978 )</w:t>
            </w:r>
          </w:p>
        </w:tc>
        <w:tc>
          <w:tcPr>
            <w:tcW w:w="3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(681 )</w:t>
            </w:r>
          </w:p>
        </w:tc>
        <w:tc>
          <w:tcPr>
            <w:tcW w:w="0" w:type="dxa"/>
            <w:vAlign w:val="bottom"/>
          </w:tcPr>
          <w:p>
            <w:pPr>
              <w:spacing w:after="0"/>
              <w:rPr>
                <w:sz w:val="1"/>
                <w:szCs w:val="1"/>
                <w:color w:val="auto"/>
              </w:rPr>
            </w:pPr>
          </w:p>
        </w:tc>
      </w:tr>
      <w:tr>
        <w:trPr>
          <w:trHeight w:val="216"/>
        </w:trPr>
        <w:tc>
          <w:tcPr>
            <w:tcW w:w="5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and dividend income</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570</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20"/>
              <w:spacing w:after="0"/>
              <w:rPr>
                <w:sz w:val="20"/>
                <w:szCs w:val="20"/>
                <w:color w:val="auto"/>
              </w:rPr>
            </w:pPr>
            <w:r>
              <w:rPr>
                <w:rFonts w:ascii="Arial" w:cs="Arial" w:eastAsia="Arial" w:hAnsi="Arial"/>
                <w:sz w:val="18"/>
                <w:szCs w:val="18"/>
                <w:color w:val="auto"/>
              </w:rPr>
              <w:t>Other expenses</w:t>
            </w:r>
          </w:p>
        </w:tc>
        <w:tc>
          <w:tcPr>
            <w:tcW w:w="220" w:type="dxa"/>
            <w:vAlign w:val="bottom"/>
          </w:tcPr>
          <w:p>
            <w:pPr>
              <w:spacing w:after="0"/>
              <w:rPr>
                <w:sz w:val="18"/>
                <w:szCs w:val="18"/>
                <w:color w:val="auto"/>
              </w:rPr>
            </w:pPr>
          </w:p>
        </w:tc>
        <w:tc>
          <w:tcPr>
            <w:tcW w:w="1280" w:type="dxa"/>
            <w:vAlign w:val="bottom"/>
            <w:gridSpan w:val="2"/>
          </w:tcPr>
          <w:p>
            <w:pPr>
              <w:jc w:val="right"/>
              <w:ind w:right="121"/>
              <w:spacing w:after="0"/>
              <w:rPr>
                <w:sz w:val="20"/>
                <w:szCs w:val="20"/>
                <w:color w:val="auto"/>
              </w:rPr>
            </w:pPr>
            <w:r>
              <w:rPr>
                <w:rFonts w:ascii="Arial" w:cs="Arial" w:eastAsia="Arial" w:hAnsi="Arial"/>
                <w:sz w:val="18"/>
                <w:szCs w:val="18"/>
                <w:color w:val="auto"/>
              </w:rPr>
              <w:t>(482 )</w:t>
            </w:r>
          </w:p>
        </w:tc>
        <w:tc>
          <w:tcPr>
            <w:tcW w:w="340" w:type="dxa"/>
            <w:vAlign w:val="bottom"/>
          </w:tcPr>
          <w:p>
            <w:pPr>
              <w:spacing w:after="0"/>
              <w:rPr>
                <w:sz w:val="18"/>
                <w:szCs w:val="18"/>
                <w:color w:val="auto"/>
              </w:rPr>
            </w:pP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(113 )</w:t>
            </w:r>
          </w:p>
        </w:tc>
        <w:tc>
          <w:tcPr>
            <w:tcW w:w="200" w:type="dxa"/>
            <w:vAlign w:val="bottom"/>
          </w:tcPr>
          <w:p>
            <w:pPr>
              <w:spacing w:after="0"/>
              <w:rPr>
                <w:sz w:val="18"/>
                <w:szCs w:val="18"/>
                <w:color w:val="auto"/>
              </w:rPr>
            </w:pPr>
          </w:p>
        </w:tc>
        <w:tc>
          <w:tcPr>
            <w:tcW w:w="1240" w:type="dxa"/>
            <w:vAlign w:val="bottom"/>
            <w:gridSpan w:val="2"/>
          </w:tcPr>
          <w:p>
            <w:pPr>
              <w:jc w:val="right"/>
              <w:ind w:right="101"/>
              <w:spacing w:after="0"/>
              <w:rPr>
                <w:sz w:val="20"/>
                <w:szCs w:val="20"/>
                <w:color w:val="auto"/>
              </w:rPr>
            </w:pPr>
            <w:r>
              <w:rPr>
                <w:rFonts w:ascii="Arial" w:cs="Arial" w:eastAsia="Arial" w:hAnsi="Arial"/>
                <w:sz w:val="18"/>
                <w:szCs w:val="18"/>
                <w:color w:val="auto"/>
              </w:rPr>
              <w:t>(1,444 )</w:t>
            </w:r>
          </w:p>
        </w:tc>
        <w:tc>
          <w:tcPr>
            <w:tcW w:w="3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(235 )</w:t>
            </w:r>
          </w:p>
        </w:tc>
        <w:tc>
          <w:tcPr>
            <w:tcW w:w="0" w:type="dxa"/>
            <w:vAlign w:val="bottom"/>
          </w:tcPr>
          <w:p>
            <w:pPr>
              <w:spacing w:after="0"/>
              <w:rPr>
                <w:sz w:val="1"/>
                <w:szCs w:val="1"/>
                <w:color w:val="auto"/>
              </w:rPr>
            </w:pPr>
          </w:p>
        </w:tc>
      </w:tr>
      <w:tr>
        <w:trPr>
          <w:trHeight w:val="216"/>
        </w:trPr>
        <w:tc>
          <w:tcPr>
            <w:tcW w:w="53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Income from unconsolidated joint venture</w:t>
            </w:r>
          </w:p>
        </w:tc>
        <w:tc>
          <w:tcPr>
            <w:tcW w:w="2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w:t>
            </w:r>
          </w:p>
        </w:tc>
        <w:tc>
          <w:tcPr>
            <w:tcW w:w="2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w:t>
            </w:r>
          </w:p>
        </w:tc>
        <w:tc>
          <w:tcPr>
            <w:tcW w:w="2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80" w:type="dxa"/>
            <w:vAlign w:val="bottom"/>
          </w:tcPr>
          <w:p>
            <w:pPr>
              <w:ind w:left="20"/>
              <w:spacing w:after="0"/>
              <w:rPr>
                <w:sz w:val="20"/>
                <w:szCs w:val="20"/>
                <w:color w:val="auto"/>
              </w:rPr>
            </w:pPr>
            <w:r>
              <w:rPr>
                <w:rFonts w:ascii="Arial" w:cs="Arial" w:eastAsia="Arial" w:hAnsi="Arial"/>
                <w:sz w:val="18"/>
                <w:szCs w:val="18"/>
                <w:color w:val="auto"/>
              </w:rPr>
              <w:t>Total other expenses</w:t>
            </w:r>
          </w:p>
        </w:tc>
        <w:tc>
          <w:tcPr>
            <w:tcW w:w="220" w:type="dxa"/>
            <w:vAlign w:val="bottom"/>
          </w:tcPr>
          <w:p>
            <w:pPr>
              <w:spacing w:after="0"/>
              <w:rPr>
                <w:sz w:val="18"/>
                <w:szCs w:val="18"/>
                <w:color w:val="auto"/>
              </w:rPr>
            </w:pPr>
          </w:p>
        </w:tc>
        <w:tc>
          <w:tcPr>
            <w:tcW w:w="1280" w:type="dxa"/>
            <w:vAlign w:val="bottom"/>
            <w:gridSpan w:val="2"/>
          </w:tcPr>
          <w:p>
            <w:pPr>
              <w:jc w:val="right"/>
              <w:ind w:right="121"/>
              <w:spacing w:after="0"/>
              <w:rPr>
                <w:sz w:val="20"/>
                <w:szCs w:val="20"/>
                <w:color w:val="auto"/>
              </w:rPr>
            </w:pPr>
            <w:r>
              <w:rPr>
                <w:rFonts w:ascii="Arial" w:cs="Arial" w:eastAsia="Arial" w:hAnsi="Arial"/>
                <w:sz w:val="18"/>
                <w:szCs w:val="18"/>
                <w:color w:val="auto"/>
              </w:rPr>
              <w:t>(948 )</w:t>
            </w:r>
          </w:p>
        </w:tc>
        <w:tc>
          <w:tcPr>
            <w:tcW w:w="340" w:type="dxa"/>
            <w:vAlign w:val="bottom"/>
          </w:tcPr>
          <w:p>
            <w:pPr>
              <w:spacing w:after="0"/>
              <w:rPr>
                <w:sz w:val="18"/>
                <w:szCs w:val="18"/>
                <w:color w:val="auto"/>
              </w:rPr>
            </w:pP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(463 )</w:t>
            </w:r>
          </w:p>
        </w:tc>
        <w:tc>
          <w:tcPr>
            <w:tcW w:w="200" w:type="dxa"/>
            <w:vAlign w:val="bottom"/>
          </w:tcPr>
          <w:p>
            <w:pPr>
              <w:spacing w:after="0"/>
              <w:rPr>
                <w:sz w:val="18"/>
                <w:szCs w:val="18"/>
                <w:color w:val="auto"/>
              </w:rPr>
            </w:pPr>
          </w:p>
        </w:tc>
        <w:tc>
          <w:tcPr>
            <w:tcW w:w="1240" w:type="dxa"/>
            <w:vAlign w:val="bottom"/>
            <w:gridSpan w:val="2"/>
          </w:tcPr>
          <w:p>
            <w:pPr>
              <w:jc w:val="right"/>
              <w:ind w:right="101"/>
              <w:spacing w:after="0"/>
              <w:rPr>
                <w:sz w:val="20"/>
                <w:szCs w:val="20"/>
                <w:color w:val="auto"/>
              </w:rPr>
            </w:pPr>
            <w:r>
              <w:rPr>
                <w:rFonts w:ascii="Arial" w:cs="Arial" w:eastAsia="Arial" w:hAnsi="Arial"/>
                <w:sz w:val="18"/>
                <w:szCs w:val="18"/>
                <w:color w:val="auto"/>
              </w:rPr>
              <w:t>(2,549 )</w:t>
            </w:r>
          </w:p>
        </w:tc>
        <w:tc>
          <w:tcPr>
            <w:tcW w:w="3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(916 )</w:t>
            </w:r>
          </w:p>
        </w:tc>
        <w:tc>
          <w:tcPr>
            <w:tcW w:w="0" w:type="dxa"/>
            <w:vAlign w:val="bottom"/>
          </w:tcPr>
          <w:p>
            <w:pPr>
              <w:spacing w:after="0"/>
              <w:rPr>
                <w:sz w:val="1"/>
                <w:szCs w:val="1"/>
                <w:color w:val="auto"/>
              </w:rPr>
            </w:pPr>
          </w:p>
        </w:tc>
      </w:tr>
      <w:tr>
        <w:trPr>
          <w:trHeight w:val="209"/>
        </w:trPr>
        <w:tc>
          <w:tcPr>
            <w:tcW w:w="5380" w:type="dxa"/>
            <w:vAlign w:val="bottom"/>
            <w:shd w:val="clear" w:color="auto" w:fill="CFF0FC"/>
          </w:tcPr>
          <w:p>
            <w:pPr>
              <w:ind w:left="280"/>
              <w:spacing w:after="0"/>
              <w:rPr>
                <w:sz w:val="20"/>
                <w:szCs w:val="20"/>
                <w:color w:val="auto"/>
              </w:rPr>
            </w:pPr>
            <w:r>
              <w:rPr>
                <w:rFonts w:ascii="Arial" w:cs="Arial" w:eastAsia="Arial" w:hAnsi="Arial"/>
                <w:sz w:val="18"/>
                <w:szCs w:val="18"/>
                <w:b w:val="1"/>
                <w:bCs w:val="1"/>
                <w:color w:val="auto"/>
              </w:rPr>
              <w:t>Loss before income taxes</w:t>
            </w:r>
          </w:p>
        </w:tc>
        <w:tc>
          <w:tcPr>
            <w:tcW w:w="2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(16,549</w:t>
            </w:r>
          </w:p>
        </w:tc>
        <w:tc>
          <w:tcPr>
            <w:tcW w:w="260" w:type="dxa"/>
            <w:vAlign w:val="bottom"/>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(12,264</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(37,103</w:t>
            </w:r>
          </w:p>
        </w:tc>
        <w:tc>
          <w:tcPr>
            <w:tcW w:w="24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3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(22,765</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5380" w:type="dxa"/>
            <w:vAlign w:val="bottom"/>
          </w:tcPr>
          <w:p>
            <w:pPr>
              <w:ind w:left="20"/>
              <w:spacing w:after="0"/>
              <w:rPr>
                <w:sz w:val="20"/>
                <w:szCs w:val="20"/>
                <w:color w:val="auto"/>
              </w:rPr>
            </w:pPr>
            <w:r>
              <w:rPr>
                <w:rFonts w:ascii="Arial" w:cs="Arial" w:eastAsia="Arial" w:hAnsi="Arial"/>
                <w:sz w:val="18"/>
                <w:szCs w:val="18"/>
                <w:color w:val="auto"/>
              </w:rPr>
              <w:t>Benefit for income taxes</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w:t>
            </w:r>
          </w:p>
        </w:tc>
        <w:tc>
          <w:tcPr>
            <w:tcW w:w="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80" w:type="dxa"/>
            <w:vAlign w:val="bottom"/>
            <w:shd w:val="clear" w:color="auto" w:fill="CFF0FC"/>
          </w:tcPr>
          <w:p>
            <w:pPr>
              <w:ind w:left="280"/>
              <w:spacing w:after="0"/>
              <w:rPr>
                <w:sz w:val="20"/>
                <w:szCs w:val="20"/>
                <w:color w:val="auto"/>
              </w:rPr>
            </w:pPr>
            <w:r>
              <w:rPr>
                <w:rFonts w:ascii="Arial" w:cs="Arial" w:eastAsia="Arial" w:hAnsi="Arial"/>
                <w:sz w:val="18"/>
                <w:szCs w:val="18"/>
                <w:b w:val="1"/>
                <w:bCs w:val="1"/>
                <w:color w:val="auto"/>
              </w:rPr>
              <w:t>Net loss</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(16,549</w:t>
            </w:r>
          </w:p>
        </w:tc>
        <w:tc>
          <w:tcPr>
            <w:tcW w:w="260" w:type="dxa"/>
            <w:vAlign w:val="bottom"/>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3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(12,264</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(36,544</w:t>
            </w:r>
          </w:p>
        </w:tc>
        <w:tc>
          <w:tcPr>
            <w:tcW w:w="24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3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(22,765</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5380" w:type="dxa"/>
            <w:vAlign w:val="bottom"/>
          </w:tcPr>
          <w:p>
            <w:pPr>
              <w:ind w:left="20"/>
              <w:spacing w:after="0"/>
              <w:rPr>
                <w:sz w:val="20"/>
                <w:szCs w:val="20"/>
                <w:color w:val="auto"/>
              </w:rPr>
            </w:pPr>
            <w:r>
              <w:rPr>
                <w:rFonts w:ascii="Arial" w:cs="Arial" w:eastAsia="Arial" w:hAnsi="Arial"/>
                <w:sz w:val="18"/>
                <w:szCs w:val="18"/>
                <w:color w:val="auto"/>
              </w:rPr>
              <w:t>Net income attributable to noncontrolling interest</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38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b w:val="1"/>
                <w:bCs w:val="1"/>
                <w:color w:val="auto"/>
              </w:rPr>
              <w:t>Net loss attributable to common stockholders</w:t>
            </w: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(16,553</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(12,264</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(36,565</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(22,765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6"/>
        </w:trPr>
        <w:tc>
          <w:tcPr>
            <w:tcW w:w="5380" w:type="dxa"/>
            <w:vAlign w:val="bottom"/>
          </w:tcPr>
          <w:p>
            <w:pPr>
              <w:ind w:left="20"/>
              <w:spacing w:after="0" w:line="196" w:lineRule="exact"/>
              <w:rPr>
                <w:sz w:val="20"/>
                <w:szCs w:val="20"/>
                <w:color w:val="auto"/>
              </w:rPr>
            </w:pPr>
            <w:r>
              <w:rPr>
                <w:rFonts w:ascii="Arial" w:cs="Arial" w:eastAsia="Arial" w:hAnsi="Arial"/>
                <w:sz w:val="18"/>
                <w:szCs w:val="18"/>
                <w:color w:val="auto"/>
              </w:rPr>
              <w:t>Net loss per share, basic and diluted</w:t>
            </w:r>
          </w:p>
        </w:tc>
        <w:tc>
          <w:tcPr>
            <w:tcW w:w="220" w:type="dxa"/>
            <w:vAlign w:val="bottom"/>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121"/>
              <w:spacing w:after="0" w:line="196" w:lineRule="exact"/>
              <w:rPr>
                <w:sz w:val="20"/>
                <w:szCs w:val="20"/>
                <w:color w:val="auto"/>
              </w:rPr>
            </w:pPr>
            <w:r>
              <w:rPr>
                <w:rFonts w:ascii="Arial" w:cs="Arial" w:eastAsia="Arial" w:hAnsi="Arial"/>
                <w:sz w:val="18"/>
                <w:szCs w:val="18"/>
                <w:color w:val="auto"/>
              </w:rPr>
              <w:t>(0.35 )</w:t>
            </w:r>
          </w:p>
        </w:tc>
        <w:tc>
          <w:tcPr>
            <w:tcW w:w="34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(1.46 )</w:t>
            </w:r>
          </w:p>
        </w:tc>
        <w:tc>
          <w:tcPr>
            <w:tcW w:w="20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01"/>
              <w:spacing w:after="0" w:line="196" w:lineRule="exact"/>
              <w:rPr>
                <w:sz w:val="20"/>
                <w:szCs w:val="20"/>
                <w:color w:val="auto"/>
              </w:rPr>
            </w:pPr>
            <w:r>
              <w:rPr>
                <w:rFonts w:ascii="Arial" w:cs="Arial" w:eastAsia="Arial" w:hAnsi="Arial"/>
                <w:sz w:val="18"/>
                <w:szCs w:val="18"/>
                <w:color w:val="auto"/>
              </w:rPr>
              <w:t>(0.78 )</w:t>
            </w:r>
          </w:p>
        </w:tc>
        <w:tc>
          <w:tcPr>
            <w:tcW w:w="380" w:type="dxa"/>
            <w:vAlign w:val="bottom"/>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(2.79 )</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380" w:type="dxa"/>
            <w:vAlign w:val="bottom"/>
            <w:shd w:val="clear" w:color="auto" w:fill="CFF0FC"/>
          </w:tcPr>
          <w:p>
            <w:pPr>
              <w:ind w:left="20"/>
              <w:spacing w:after="0" w:line="150" w:lineRule="exact"/>
              <w:rPr>
                <w:sz w:val="20"/>
                <w:szCs w:val="20"/>
                <w:color w:val="auto"/>
              </w:rPr>
            </w:pPr>
            <w:r>
              <w:rPr>
                <w:rFonts w:ascii="Arial" w:cs="Arial" w:eastAsia="Arial" w:hAnsi="Arial"/>
                <w:sz w:val="17"/>
                <w:szCs w:val="17"/>
                <w:color w:val="auto"/>
              </w:rPr>
              <w:t>Weighted-average number of shares outstanding used to</w:t>
            </w:r>
          </w:p>
        </w:tc>
        <w:tc>
          <w:tcPr>
            <w:tcW w:w="22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380" w:type="dxa"/>
            <w:vAlign w:val="bottom"/>
            <w:shd w:val="clear" w:color="auto" w:fill="CFF0FC"/>
          </w:tcPr>
          <w:p>
            <w:pPr>
              <w:ind w:left="20"/>
              <w:spacing w:after="0" w:line="189" w:lineRule="exact"/>
              <w:rPr>
                <w:sz w:val="20"/>
                <w:szCs w:val="20"/>
                <w:color w:val="auto"/>
              </w:rPr>
            </w:pPr>
            <w:r>
              <w:rPr>
                <w:rFonts w:ascii="Arial" w:cs="Arial" w:eastAsia="Arial" w:hAnsi="Arial"/>
                <w:sz w:val="18"/>
                <w:szCs w:val="18"/>
                <w:color w:val="auto"/>
              </w:rPr>
              <w:t>compute</w:t>
            </w:r>
          </w:p>
        </w:tc>
        <w:tc>
          <w:tcPr>
            <w:tcW w:w="220" w:type="dxa"/>
            <w:vAlign w:val="bottom"/>
            <w:shd w:val="clear" w:color="auto" w:fill="CFF0FC"/>
          </w:tcPr>
          <w:p>
            <w:pPr>
              <w:spacing w:after="0"/>
              <w:rPr>
                <w:sz w:val="16"/>
                <w:szCs w:val="16"/>
                <w:color w:val="auto"/>
              </w:rPr>
            </w:pP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47,074,246</w:t>
            </w:r>
          </w:p>
        </w:tc>
        <w:tc>
          <w:tcPr>
            <w:tcW w:w="2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8,390,088</w:t>
            </w: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46,932,702</w:t>
            </w:r>
          </w:p>
        </w:tc>
        <w:tc>
          <w:tcPr>
            <w:tcW w:w="2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8,158,753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380" w:type="dxa"/>
            <w:vAlign w:val="bottom"/>
            <w:tcBorders>
              <w:bottom w:val="single" w:sz="8" w:color="CFF0FC"/>
            </w:tcBorders>
            <w:shd w:val="clear" w:color="auto" w:fill="CFF0FC"/>
          </w:tcPr>
          <w:p>
            <w:pPr>
              <w:ind w:left="180"/>
              <w:spacing w:after="0" w:line="195" w:lineRule="exact"/>
              <w:rPr>
                <w:sz w:val="20"/>
                <w:szCs w:val="20"/>
                <w:color w:val="auto"/>
              </w:rPr>
            </w:pPr>
            <w:r>
              <w:rPr>
                <w:rFonts w:ascii="Arial" w:cs="Arial" w:eastAsia="Arial" w:hAnsi="Arial"/>
                <w:sz w:val="18"/>
                <w:szCs w:val="18"/>
                <w:color w:val="auto"/>
              </w:rPr>
              <w:t>net loss per share, basic and diluted</w:t>
            </w:r>
          </w:p>
        </w:tc>
        <w:tc>
          <w:tcPr>
            <w:tcW w:w="2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vMerge w:val="continue"/>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628"/>
        </w:trPr>
        <w:tc>
          <w:tcPr>
            <w:tcW w:w="538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Foreign currency translation</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(13 )</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(14 )</w:t>
            </w: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80" w:type="dxa"/>
            <w:vAlign w:val="bottom"/>
          </w:tcPr>
          <w:p>
            <w:pPr>
              <w:ind w:left="520"/>
              <w:spacing w:after="0"/>
              <w:rPr>
                <w:sz w:val="20"/>
                <w:szCs w:val="20"/>
                <w:color w:val="auto"/>
              </w:rPr>
            </w:pPr>
            <w:r>
              <w:rPr>
                <w:rFonts w:ascii="Arial" w:cs="Arial" w:eastAsia="Arial" w:hAnsi="Arial"/>
                <w:sz w:val="18"/>
                <w:szCs w:val="18"/>
                <w:color w:val="auto"/>
              </w:rPr>
              <w:t>Total other comprehensive (loss) income</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(13 )</w:t>
            </w:r>
          </w:p>
        </w:tc>
        <w:tc>
          <w:tcPr>
            <w:tcW w:w="200" w:type="dxa"/>
            <w:vAlign w:val="bottom"/>
          </w:tcPr>
          <w:p>
            <w:pPr>
              <w:spacing w:after="0"/>
              <w:rPr>
                <w:sz w:val="18"/>
                <w:szCs w:val="18"/>
                <w:color w:val="auto"/>
              </w:rPr>
            </w:pPr>
          </w:p>
        </w:tc>
        <w:tc>
          <w:tcPr>
            <w:tcW w:w="1240" w:type="dxa"/>
            <w:vAlign w:val="bottom"/>
            <w:gridSpan w:val="2"/>
          </w:tcPr>
          <w:p>
            <w:pPr>
              <w:jc w:val="right"/>
              <w:ind w:right="101"/>
              <w:spacing w:after="0"/>
              <w:rPr>
                <w:sz w:val="20"/>
                <w:szCs w:val="20"/>
                <w:color w:val="auto"/>
              </w:rPr>
            </w:pPr>
            <w:r>
              <w:rPr>
                <w:rFonts w:ascii="Arial" w:cs="Arial" w:eastAsia="Arial" w:hAnsi="Arial"/>
                <w:sz w:val="18"/>
                <w:szCs w:val="18"/>
                <w:color w:val="auto"/>
              </w:rPr>
              <w:t>(14 )</w:t>
            </w: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Net loss</w:t>
            </w: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(16,549</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(12,264</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(36,544</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(22,765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9"/>
        </w:trPr>
        <w:tc>
          <w:tcPr>
            <w:tcW w:w="5380" w:type="dxa"/>
            <w:vAlign w:val="bottom"/>
          </w:tcPr>
          <w:p>
            <w:pPr>
              <w:ind w:left="20"/>
              <w:spacing w:after="0"/>
              <w:rPr>
                <w:sz w:val="20"/>
                <w:szCs w:val="20"/>
                <w:color w:val="auto"/>
              </w:rPr>
            </w:pPr>
            <w:r>
              <w:rPr>
                <w:rFonts w:ascii="Arial" w:cs="Arial" w:eastAsia="Arial" w:hAnsi="Arial"/>
                <w:sz w:val="18"/>
                <w:szCs w:val="18"/>
                <w:b w:val="1"/>
                <w:bCs w:val="1"/>
                <w:color w:val="auto"/>
              </w:rPr>
              <w:t>Comprehensive loss</w:t>
            </w:r>
          </w:p>
        </w:tc>
        <w:tc>
          <w:tcPr>
            <w:tcW w:w="220" w:type="dxa"/>
            <w:vAlign w:val="bottom"/>
          </w:tcPr>
          <w:p>
            <w:pPr>
              <w:spacing w:after="0"/>
              <w:rPr>
                <w:sz w:val="18"/>
                <w:szCs w:val="18"/>
                <w:color w:val="auto"/>
              </w:rPr>
            </w:pPr>
          </w:p>
        </w:tc>
        <w:tc>
          <w:tcPr>
            <w:tcW w:w="1280" w:type="dxa"/>
            <w:vAlign w:val="bottom"/>
            <w:gridSpan w:val="2"/>
          </w:tcPr>
          <w:p>
            <w:pPr>
              <w:jc w:val="right"/>
              <w:ind w:right="121"/>
              <w:spacing w:after="0"/>
              <w:rPr>
                <w:sz w:val="20"/>
                <w:szCs w:val="20"/>
                <w:color w:val="auto"/>
              </w:rPr>
            </w:pPr>
            <w:r>
              <w:rPr>
                <w:rFonts w:ascii="Arial" w:cs="Arial" w:eastAsia="Arial" w:hAnsi="Arial"/>
                <w:sz w:val="18"/>
                <w:szCs w:val="18"/>
                <w:color w:val="auto"/>
              </w:rPr>
              <w:t>(16,535 )</w:t>
            </w:r>
          </w:p>
        </w:tc>
        <w:tc>
          <w:tcPr>
            <w:tcW w:w="340" w:type="dxa"/>
            <w:vAlign w:val="bottom"/>
          </w:tcPr>
          <w:p>
            <w:pPr>
              <w:spacing w:after="0"/>
              <w:rPr>
                <w:sz w:val="18"/>
                <w:szCs w:val="18"/>
                <w:color w:val="auto"/>
              </w:rPr>
            </w:pP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(12,277 )</w:t>
            </w:r>
          </w:p>
        </w:tc>
        <w:tc>
          <w:tcPr>
            <w:tcW w:w="200" w:type="dxa"/>
            <w:vAlign w:val="bottom"/>
          </w:tcPr>
          <w:p>
            <w:pPr>
              <w:spacing w:after="0"/>
              <w:rPr>
                <w:sz w:val="18"/>
                <w:szCs w:val="18"/>
                <w:color w:val="auto"/>
              </w:rPr>
            </w:pPr>
          </w:p>
        </w:tc>
        <w:tc>
          <w:tcPr>
            <w:tcW w:w="1240" w:type="dxa"/>
            <w:vAlign w:val="bottom"/>
            <w:gridSpan w:val="2"/>
          </w:tcPr>
          <w:p>
            <w:pPr>
              <w:jc w:val="right"/>
              <w:ind w:right="101"/>
              <w:spacing w:after="0"/>
              <w:rPr>
                <w:sz w:val="20"/>
                <w:szCs w:val="20"/>
                <w:color w:val="auto"/>
              </w:rPr>
            </w:pPr>
            <w:r>
              <w:rPr>
                <w:rFonts w:ascii="Arial" w:cs="Arial" w:eastAsia="Arial" w:hAnsi="Arial"/>
                <w:sz w:val="18"/>
                <w:szCs w:val="18"/>
                <w:color w:val="auto"/>
              </w:rPr>
              <w:t>(36,558 )</w:t>
            </w:r>
          </w:p>
        </w:tc>
        <w:tc>
          <w:tcPr>
            <w:tcW w:w="3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(22,748 )</w:t>
            </w:r>
          </w:p>
        </w:tc>
        <w:tc>
          <w:tcPr>
            <w:tcW w:w="0" w:type="dxa"/>
            <w:vAlign w:val="bottom"/>
          </w:tcPr>
          <w:p>
            <w:pPr>
              <w:spacing w:after="0"/>
              <w:rPr>
                <w:sz w:val="1"/>
                <w:szCs w:val="1"/>
                <w:color w:val="auto"/>
              </w:rPr>
            </w:pPr>
          </w:p>
        </w:tc>
      </w:tr>
      <w:tr>
        <w:trPr>
          <w:trHeight w:val="216"/>
        </w:trPr>
        <w:tc>
          <w:tcPr>
            <w:tcW w:w="53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Comprehensive income attributable to noncontrolling interest</w:t>
            </w:r>
          </w:p>
        </w:tc>
        <w:tc>
          <w:tcPr>
            <w:tcW w:w="2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2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5380" w:type="dxa"/>
            <w:vAlign w:val="bottom"/>
          </w:tcPr>
          <w:p>
            <w:pPr>
              <w:ind w:left="20"/>
              <w:spacing w:after="0" w:line="163" w:lineRule="exact"/>
              <w:rPr>
                <w:sz w:val="20"/>
                <w:szCs w:val="20"/>
                <w:color w:val="auto"/>
              </w:rPr>
            </w:pPr>
            <w:r>
              <w:rPr>
                <w:rFonts w:ascii="Arial" w:cs="Arial" w:eastAsia="Arial" w:hAnsi="Arial"/>
                <w:sz w:val="18"/>
                <w:szCs w:val="18"/>
                <w:b w:val="1"/>
                <w:bCs w:val="1"/>
                <w:color w:val="auto"/>
              </w:rPr>
              <w:t>Total comprehensive loss attributable to common</w:t>
            </w: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gridSpan w:val="2"/>
            <w:vMerge w:val="restart"/>
          </w:tcPr>
          <w:p>
            <w:pPr>
              <w:jc w:val="right"/>
              <w:ind w:right="121"/>
              <w:spacing w:after="0"/>
              <w:rPr>
                <w:sz w:val="20"/>
                <w:szCs w:val="20"/>
                <w:color w:val="auto"/>
              </w:rPr>
            </w:pPr>
            <w:r>
              <w:rPr>
                <w:rFonts w:ascii="Arial" w:cs="Arial" w:eastAsia="Arial" w:hAnsi="Arial"/>
                <w:sz w:val="18"/>
                <w:szCs w:val="18"/>
                <w:color w:val="auto"/>
              </w:rPr>
              <w:t>(16,572 )</w:t>
            </w: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gridSpan w:val="2"/>
            <w:vMerge w:val="restart"/>
          </w:tcPr>
          <w:p>
            <w:pPr>
              <w:jc w:val="right"/>
              <w:ind w:right="70"/>
              <w:spacing w:after="0"/>
              <w:rPr>
                <w:sz w:val="20"/>
                <w:szCs w:val="20"/>
                <w:color w:val="auto"/>
              </w:rPr>
            </w:pPr>
            <w:r>
              <w:rPr>
                <w:rFonts w:ascii="Arial" w:cs="Arial" w:eastAsia="Arial" w:hAnsi="Arial"/>
                <w:sz w:val="18"/>
                <w:szCs w:val="18"/>
                <w:color w:val="auto"/>
              </w:rPr>
              <w:t>(12,277 )</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vMerge w:val="restart"/>
          </w:tcPr>
          <w:p>
            <w:pPr>
              <w:jc w:val="right"/>
              <w:ind w:right="101"/>
              <w:spacing w:after="0"/>
              <w:rPr>
                <w:sz w:val="20"/>
                <w:szCs w:val="20"/>
                <w:color w:val="auto"/>
              </w:rPr>
            </w:pPr>
            <w:r>
              <w:rPr>
                <w:rFonts w:ascii="Arial" w:cs="Arial" w:eastAsia="Arial" w:hAnsi="Arial"/>
                <w:sz w:val="18"/>
                <w:szCs w:val="18"/>
                <w:color w:val="auto"/>
              </w:rPr>
              <w:t>(36,629 )</w:t>
            </w: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gridSpan w:val="2"/>
            <w:vMerge w:val="restart"/>
          </w:tcPr>
          <w:p>
            <w:pPr>
              <w:jc w:val="right"/>
              <w:spacing w:after="0"/>
              <w:rPr>
                <w:sz w:val="20"/>
                <w:szCs w:val="20"/>
                <w:color w:val="auto"/>
              </w:rPr>
            </w:pPr>
            <w:r>
              <w:rPr>
                <w:rFonts w:ascii="Arial" w:cs="Arial" w:eastAsia="Arial" w:hAnsi="Arial"/>
                <w:sz w:val="18"/>
                <w:szCs w:val="18"/>
                <w:color w:val="auto"/>
              </w:rPr>
              <w:t>(22,748 )</w:t>
            </w:r>
          </w:p>
        </w:tc>
        <w:tc>
          <w:tcPr>
            <w:tcW w:w="0" w:type="dxa"/>
            <w:vAlign w:val="bottom"/>
          </w:tcPr>
          <w:p>
            <w:pPr>
              <w:spacing w:after="0"/>
              <w:rPr>
                <w:sz w:val="1"/>
                <w:szCs w:val="1"/>
                <w:color w:val="auto"/>
              </w:rPr>
            </w:pPr>
          </w:p>
        </w:tc>
      </w:tr>
      <w:tr>
        <w:trPr>
          <w:trHeight w:val="194"/>
        </w:trPr>
        <w:tc>
          <w:tcPr>
            <w:tcW w:w="5380" w:type="dxa"/>
            <w:vAlign w:val="bottom"/>
          </w:tcPr>
          <w:p>
            <w:pPr>
              <w:ind w:left="20"/>
              <w:spacing w:after="0" w:line="195" w:lineRule="exact"/>
              <w:rPr>
                <w:sz w:val="20"/>
                <w:szCs w:val="20"/>
                <w:color w:val="auto"/>
              </w:rPr>
            </w:pPr>
            <w:r>
              <w:rPr>
                <w:rFonts w:ascii="Arial" w:cs="Arial" w:eastAsia="Arial" w:hAnsi="Arial"/>
                <w:sz w:val="18"/>
                <w:szCs w:val="18"/>
                <w:b w:val="1"/>
                <w:bCs w:val="1"/>
                <w:color w:val="auto"/>
              </w:rPr>
              <w:t>stockholders</w:t>
            </w:r>
          </w:p>
        </w:tc>
        <w:tc>
          <w:tcPr>
            <w:tcW w:w="220" w:type="dxa"/>
            <w:vAlign w:val="bottom"/>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380" w:type="dxa"/>
            <w:vAlign w:val="bottom"/>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-4477385</wp:posOffset>
            </wp:positionV>
            <wp:extent cx="768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-4477385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-4477385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-4477385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4200525</wp:posOffset>
            </wp:positionH>
            <wp:positionV relativeFrom="paragraph">
              <wp:posOffset>-3638550</wp:posOffset>
            </wp:positionV>
            <wp:extent cx="768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-3638550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-3638550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-3638550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4200525</wp:posOffset>
            </wp:positionH>
            <wp:positionV relativeFrom="paragraph">
              <wp:posOffset>-2807970</wp:posOffset>
            </wp:positionV>
            <wp:extent cx="768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-2807970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-2807970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-2807970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4200525</wp:posOffset>
            </wp:positionH>
            <wp:positionV relativeFrom="paragraph">
              <wp:posOffset>-1951355</wp:posOffset>
            </wp:positionV>
            <wp:extent cx="768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4200525</wp:posOffset>
            </wp:positionH>
            <wp:positionV relativeFrom="paragraph">
              <wp:posOffset>-1934210</wp:posOffset>
            </wp:positionV>
            <wp:extent cx="768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-1951355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-1934210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-1951355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-1934210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-1951355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-1934210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4200525</wp:posOffset>
            </wp:positionH>
            <wp:positionV relativeFrom="paragraph">
              <wp:posOffset>-1412240</wp:posOffset>
            </wp:positionV>
            <wp:extent cx="768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4200525</wp:posOffset>
            </wp:positionH>
            <wp:positionV relativeFrom="paragraph">
              <wp:posOffset>-1395095</wp:posOffset>
            </wp:positionV>
            <wp:extent cx="768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-1412240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-1395095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-1412240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-1395095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-1412240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-1395095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4200525</wp:posOffset>
            </wp:positionH>
            <wp:positionV relativeFrom="paragraph">
              <wp:posOffset>-838200</wp:posOffset>
            </wp:positionV>
            <wp:extent cx="768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-838200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-838200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-838200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4200525</wp:posOffset>
            </wp:positionH>
            <wp:positionV relativeFrom="paragraph">
              <wp:posOffset>-547370</wp:posOffset>
            </wp:positionV>
            <wp:extent cx="768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-547370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-547370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-547370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4200525</wp:posOffset>
            </wp:positionH>
            <wp:positionV relativeFrom="paragraph">
              <wp:posOffset>-264795</wp:posOffset>
            </wp:positionV>
            <wp:extent cx="768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-264795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-264795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-264795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8"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20"/>
          <w:szCs w:val="20"/>
          <w:b w:val="1"/>
          <w:bCs w:val="1"/>
          <w:color w:val="auto"/>
        </w:rPr>
        <w:t>Xometry, Inc. and Subsidiaries</w:t>
      </w:r>
    </w:p>
    <w:p>
      <w:pPr>
        <w:spacing w:after="0" w:line="19"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Unaudited Condensed Consolidated Statements of Cash Flows</w:t>
      </w:r>
    </w:p>
    <w:p>
      <w:pPr>
        <w:jc w:val="center"/>
        <w:spacing w:after="0"/>
        <w:rPr>
          <w:sz w:val="20"/>
          <w:szCs w:val="20"/>
          <w:color w:val="auto"/>
        </w:rPr>
      </w:pPr>
      <w:r>
        <w:rPr>
          <w:rFonts w:ascii="Arial" w:cs="Arial" w:eastAsia="Arial" w:hAnsi="Arial"/>
          <w:sz w:val="20"/>
          <w:szCs w:val="20"/>
          <w:color w:val="auto"/>
        </w:rPr>
        <w:t>(In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60" w:type="dxa"/>
            <w:vAlign w:val="bottom"/>
            <w:gridSpan w:val="6"/>
          </w:tcPr>
          <w:p>
            <w:pPr>
              <w:jc w:val="right"/>
              <w:ind w:right="541"/>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09"/>
        </w:trPr>
        <w:tc>
          <w:tcPr>
            <w:tcW w:w="778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280"/>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(36,544 )</w:t>
            </w:r>
          </w:p>
        </w:tc>
        <w:tc>
          <w:tcPr>
            <w:tcW w:w="140" w:type="dxa"/>
            <w:vAlign w:val="bottom"/>
          </w:tcPr>
          <w:p>
            <w:pPr>
              <w:spacing w:after="0"/>
              <w:rPr>
                <w:sz w:val="18"/>
                <w:szCs w:val="18"/>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(22,765 )</w:t>
            </w: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5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3,807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ind w:left="520"/>
              <w:spacing w:after="0"/>
              <w:rPr>
                <w:sz w:val="20"/>
                <w:szCs w:val="20"/>
                <w:color w:val="auto"/>
              </w:rPr>
            </w:pPr>
            <w:r>
              <w:rPr>
                <w:rFonts w:ascii="Arial" w:cs="Arial" w:eastAsia="Arial" w:hAnsi="Arial"/>
                <w:sz w:val="18"/>
                <w:szCs w:val="18"/>
                <w:color w:val="auto"/>
              </w:rPr>
              <w:t>Impairment of long-lived assets</w:t>
            </w:r>
          </w:p>
        </w:tc>
        <w:tc>
          <w:tcPr>
            <w:tcW w:w="3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520"/>
              <w:spacing w:after="0"/>
              <w:rPr>
                <w:sz w:val="20"/>
                <w:szCs w:val="20"/>
                <w:color w:val="auto"/>
              </w:rPr>
            </w:pPr>
            <w:r>
              <w:rPr>
                <w:rFonts w:ascii="Arial" w:cs="Arial" w:eastAsia="Arial" w:hAnsi="Arial"/>
                <w:sz w:val="18"/>
                <w:szCs w:val="18"/>
                <w:color w:val="auto"/>
              </w:rPr>
              <w:t>Reduction in carrying amount of right-of-use asset</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3,540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ind w:left="520"/>
              <w:spacing w:after="0"/>
              <w:rPr>
                <w:sz w:val="20"/>
                <w:szCs w:val="20"/>
                <w:color w:val="auto"/>
              </w:rPr>
            </w:pPr>
            <w:r>
              <w:rPr>
                <w:rFonts w:ascii="Arial" w:cs="Arial" w:eastAsia="Arial" w:hAnsi="Arial"/>
                <w:sz w:val="18"/>
                <w:szCs w:val="18"/>
                <w:color w:val="auto"/>
              </w:rPr>
              <w:t>Stock based compensation</w:t>
            </w:r>
          </w:p>
        </w:tc>
        <w:tc>
          <w:tcPr>
            <w:tcW w:w="3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8,935</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520"/>
              <w:spacing w:after="0"/>
              <w:rPr>
                <w:sz w:val="20"/>
                <w:szCs w:val="20"/>
                <w:color w:val="auto"/>
              </w:rPr>
            </w:pPr>
            <w:r>
              <w:rPr>
                <w:rFonts w:ascii="Arial" w:cs="Arial" w:eastAsia="Arial" w:hAnsi="Arial"/>
                <w:sz w:val="18"/>
                <w:szCs w:val="18"/>
                <w:color w:val="auto"/>
              </w:rPr>
              <w:t>Non-cash interest expense</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ind w:left="520"/>
              <w:spacing w:after="0"/>
              <w:rPr>
                <w:sz w:val="20"/>
                <w:szCs w:val="20"/>
                <w:color w:val="auto"/>
              </w:rPr>
            </w:pPr>
            <w:r>
              <w:rPr>
                <w:rFonts w:ascii="Arial" w:cs="Arial" w:eastAsia="Arial" w:hAnsi="Arial"/>
                <w:sz w:val="18"/>
                <w:szCs w:val="18"/>
                <w:color w:val="auto"/>
              </w:rPr>
              <w:t>Revaluation of contingent consideration</w:t>
            </w:r>
          </w:p>
        </w:tc>
        <w:tc>
          <w:tcPr>
            <w:tcW w:w="3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520"/>
              <w:spacing w:after="0"/>
              <w:rPr>
                <w:sz w:val="20"/>
                <w:szCs w:val="20"/>
                <w:color w:val="auto"/>
              </w:rPr>
            </w:pPr>
            <w:r>
              <w:rPr>
                <w:rFonts w:ascii="Arial" w:cs="Arial" w:eastAsia="Arial" w:hAnsi="Arial"/>
                <w:sz w:val="18"/>
                <w:szCs w:val="18"/>
                <w:color w:val="auto"/>
              </w:rPr>
              <w:t>Income from unconsolidated joint venture</w:t>
            </w:r>
          </w:p>
        </w:tc>
        <w:tc>
          <w:tcPr>
            <w:tcW w:w="30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(103 )</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ind w:left="520"/>
              <w:spacing w:after="0"/>
              <w:rPr>
                <w:sz w:val="20"/>
                <w:szCs w:val="20"/>
                <w:color w:val="auto"/>
              </w:rPr>
            </w:pPr>
            <w:r>
              <w:rPr>
                <w:rFonts w:ascii="Arial" w:cs="Arial" w:eastAsia="Arial" w:hAnsi="Arial"/>
                <w:sz w:val="18"/>
                <w:szCs w:val="18"/>
                <w:color w:val="auto"/>
              </w:rPr>
              <w:t>Donation of common stock</w:t>
            </w:r>
          </w:p>
        </w:tc>
        <w:tc>
          <w:tcPr>
            <w:tcW w:w="3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1,285</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520"/>
              <w:spacing w:after="0"/>
              <w:rPr>
                <w:sz w:val="20"/>
                <w:szCs w:val="20"/>
                <w:color w:val="auto"/>
              </w:rPr>
            </w:pPr>
            <w:r>
              <w:rPr>
                <w:rFonts w:ascii="Arial" w:cs="Arial" w:eastAsia="Arial" w:hAnsi="Arial"/>
                <w:sz w:val="18"/>
                <w:szCs w:val="18"/>
                <w:color w:val="auto"/>
              </w:rPr>
              <w:t>Unrealized loss on marketable securities</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1,190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ind w:left="520"/>
              <w:spacing w:after="0"/>
              <w:rPr>
                <w:sz w:val="20"/>
                <w:szCs w:val="20"/>
                <w:color w:val="auto"/>
              </w:rPr>
            </w:pPr>
            <w:r>
              <w:rPr>
                <w:rFonts w:ascii="Arial" w:cs="Arial" w:eastAsia="Arial" w:hAnsi="Arial"/>
                <w:sz w:val="18"/>
                <w:szCs w:val="18"/>
                <w:color w:val="auto"/>
              </w:rPr>
              <w:t>Non-cash income tax benefit</w:t>
            </w:r>
          </w:p>
        </w:tc>
        <w:tc>
          <w:tcPr>
            <w:tcW w:w="3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(559 )</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520"/>
              <w:spacing w:after="0"/>
              <w:rPr>
                <w:sz w:val="20"/>
                <w:szCs w:val="20"/>
                <w:color w:val="auto"/>
              </w:rPr>
            </w:pPr>
            <w:r>
              <w:rPr>
                <w:rFonts w:ascii="Arial" w:cs="Arial" w:eastAsia="Arial" w:hAnsi="Arial"/>
                <w:sz w:val="18"/>
                <w:szCs w:val="18"/>
                <w:color w:val="auto"/>
              </w:rPr>
              <w:t>Loss on sale of property and equipment</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ind w:left="520"/>
              <w:spacing w:after="0"/>
              <w:rPr>
                <w:sz w:val="20"/>
                <w:szCs w:val="20"/>
                <w:color w:val="auto"/>
              </w:rPr>
            </w:pPr>
            <w:r>
              <w:rPr>
                <w:rFonts w:ascii="Arial" w:cs="Arial" w:eastAsia="Arial" w:hAnsi="Arial"/>
                <w:sz w:val="18"/>
                <w:szCs w:val="18"/>
                <w:color w:val="auto"/>
              </w:rPr>
              <w:t>Amortization of deferred costs on convertible notes</w:t>
            </w:r>
          </w:p>
        </w:tc>
        <w:tc>
          <w:tcPr>
            <w:tcW w:w="3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781</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520"/>
              <w:spacing w:after="0"/>
              <w:rPr>
                <w:sz w:val="20"/>
                <w:szCs w:val="20"/>
                <w:color w:val="auto"/>
              </w:rPr>
            </w:pPr>
            <w:r>
              <w:rPr>
                <w:rFonts w:ascii="Arial" w:cs="Arial" w:eastAsia="Arial" w:hAnsi="Arial"/>
                <w:sz w:val="18"/>
                <w:szCs w:val="18"/>
                <w:color w:val="auto"/>
              </w:rPr>
              <w:t>Deferred taxes benefit</w:t>
            </w:r>
          </w:p>
        </w:tc>
        <w:tc>
          <w:tcPr>
            <w:tcW w:w="30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(2 )</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ind w:left="520"/>
              <w:spacing w:after="0"/>
              <w:rPr>
                <w:sz w:val="20"/>
                <w:szCs w:val="20"/>
                <w:color w:val="auto"/>
              </w:rPr>
            </w:pPr>
            <w:r>
              <w:rPr>
                <w:rFonts w:ascii="Arial" w:cs="Arial" w:eastAsia="Arial" w:hAnsi="Arial"/>
                <w:sz w:val="18"/>
                <w:szCs w:val="18"/>
                <w:color w:val="auto"/>
              </w:rPr>
              <w:t>Changes in other assets and liabilities:</w:t>
            </w:r>
          </w:p>
        </w:tc>
        <w:tc>
          <w:tcPr>
            <w:tcW w:w="3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780"/>
              <w:spacing w:after="0"/>
              <w:rPr>
                <w:sz w:val="20"/>
                <w:szCs w:val="20"/>
                <w:color w:val="auto"/>
              </w:rPr>
            </w:pPr>
            <w:r>
              <w:rPr>
                <w:rFonts w:ascii="Arial" w:cs="Arial" w:eastAsia="Arial" w:hAnsi="Arial"/>
                <w:sz w:val="18"/>
                <w:szCs w:val="18"/>
                <w:color w:val="auto"/>
              </w:rPr>
              <w:t>Accounts receivable, net</w:t>
            </w:r>
          </w:p>
        </w:tc>
        <w:tc>
          <w:tcPr>
            <w:tcW w:w="30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(11,833 )</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(6,874 )</w:t>
            </w: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ind w:left="780"/>
              <w:spacing w:after="0"/>
              <w:rPr>
                <w:sz w:val="20"/>
                <w:szCs w:val="20"/>
                <w:color w:val="auto"/>
              </w:rPr>
            </w:pPr>
            <w:r>
              <w:rPr>
                <w:rFonts w:ascii="Arial" w:cs="Arial" w:eastAsia="Arial" w:hAnsi="Arial"/>
                <w:sz w:val="18"/>
                <w:szCs w:val="18"/>
                <w:color w:val="auto"/>
              </w:rPr>
              <w:t>Inventory</w:t>
            </w:r>
          </w:p>
        </w:tc>
        <w:tc>
          <w:tcPr>
            <w:tcW w:w="3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780"/>
              <w:spacing w:after="0"/>
              <w:rPr>
                <w:sz w:val="20"/>
                <w:szCs w:val="20"/>
                <w:color w:val="auto"/>
              </w:rPr>
            </w:pPr>
            <w:r>
              <w:rPr>
                <w:rFonts w:ascii="Arial" w:cs="Arial" w:eastAsia="Arial" w:hAnsi="Arial"/>
                <w:sz w:val="18"/>
                <w:szCs w:val="18"/>
                <w:color w:val="auto"/>
              </w:rPr>
              <w:t>Prepaid expenses</w:t>
            </w:r>
          </w:p>
        </w:tc>
        <w:tc>
          <w:tcPr>
            <w:tcW w:w="30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(1,649 )</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(5,270 )</w:t>
            </w: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ind w:left="780"/>
              <w:spacing w:after="0"/>
              <w:rPr>
                <w:sz w:val="20"/>
                <w:szCs w:val="20"/>
                <w:color w:val="auto"/>
              </w:rPr>
            </w:pPr>
            <w:r>
              <w:rPr>
                <w:rFonts w:ascii="Arial" w:cs="Arial" w:eastAsia="Arial" w:hAnsi="Arial"/>
                <w:sz w:val="18"/>
                <w:szCs w:val="18"/>
                <w:color w:val="auto"/>
              </w:rPr>
              <w:t>Other assets</w:t>
            </w:r>
          </w:p>
        </w:tc>
        <w:tc>
          <w:tcPr>
            <w:tcW w:w="3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(3,861 )</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78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1,873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7,522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ind w:left="780"/>
              <w:spacing w:after="0"/>
              <w:rPr>
                <w:sz w:val="20"/>
                <w:szCs w:val="20"/>
                <w:color w:val="auto"/>
              </w:rPr>
            </w:pPr>
            <w:r>
              <w:rPr>
                <w:rFonts w:ascii="Arial" w:cs="Arial" w:eastAsia="Arial" w:hAnsi="Arial"/>
                <w:sz w:val="18"/>
                <w:szCs w:val="18"/>
                <w:color w:val="auto"/>
              </w:rPr>
              <w:t>Accrued expenses</w:t>
            </w:r>
          </w:p>
        </w:tc>
        <w:tc>
          <w:tcPr>
            <w:tcW w:w="3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(2,041 )</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(453 )</w:t>
            </w:r>
          </w:p>
        </w:tc>
        <w:tc>
          <w:tcPr>
            <w:tcW w:w="0" w:type="dxa"/>
            <w:vAlign w:val="bottom"/>
          </w:tcPr>
          <w:p>
            <w:pPr>
              <w:spacing w:after="0"/>
              <w:rPr>
                <w:sz w:val="1"/>
                <w:szCs w:val="1"/>
                <w:color w:val="auto"/>
              </w:rPr>
            </w:pPr>
          </w:p>
        </w:tc>
      </w:tr>
      <w:tr>
        <w:trPr>
          <w:trHeight w:val="216"/>
        </w:trPr>
        <w:tc>
          <w:tcPr>
            <w:tcW w:w="7780" w:type="dxa"/>
            <w:vAlign w:val="bottom"/>
          </w:tcPr>
          <w:p>
            <w:pPr>
              <w:ind w:left="780"/>
              <w:spacing w:after="0"/>
              <w:rPr>
                <w:sz w:val="20"/>
                <w:szCs w:val="20"/>
                <w:color w:val="auto"/>
              </w:rPr>
            </w:pPr>
            <w:r>
              <w:rPr>
                <w:rFonts w:ascii="Arial" w:cs="Arial" w:eastAsia="Arial" w:hAnsi="Arial"/>
                <w:sz w:val="18"/>
                <w:szCs w:val="18"/>
                <w:color w:val="auto"/>
              </w:rPr>
              <w:t>Contract liabilities</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2,862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ind w:left="780"/>
              <w:spacing w:after="0"/>
              <w:rPr>
                <w:sz w:val="20"/>
                <w:szCs w:val="20"/>
                <w:color w:val="auto"/>
              </w:rPr>
            </w:pPr>
            <w:r>
              <w:rPr>
                <w:rFonts w:ascii="Arial" w:cs="Arial" w:eastAsia="Arial" w:hAnsi="Arial"/>
                <w:sz w:val="18"/>
                <w:szCs w:val="18"/>
                <w:color w:val="auto"/>
              </w:rPr>
              <w:t>Lease liabilities</w:t>
            </w:r>
          </w:p>
        </w:tc>
        <w:tc>
          <w:tcPr>
            <w:tcW w:w="3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(2,773 )</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(534 )</w:t>
            </w:r>
          </w:p>
        </w:tc>
        <w:tc>
          <w:tcPr>
            <w:tcW w:w="0" w:type="dxa"/>
            <w:vAlign w:val="bottom"/>
          </w:tcPr>
          <w:p>
            <w:pPr>
              <w:spacing w:after="0"/>
              <w:rPr>
                <w:sz w:val="1"/>
                <w:szCs w:val="1"/>
                <w:color w:val="auto"/>
              </w:rPr>
            </w:pPr>
          </w:p>
        </w:tc>
      </w:tr>
      <w:tr>
        <w:trPr>
          <w:trHeight w:val="20"/>
        </w:trPr>
        <w:tc>
          <w:tcPr>
            <w:tcW w:w="77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80" w:type="dxa"/>
            <w:vAlign w:val="bottom"/>
          </w:tcPr>
          <w:p>
            <w:pPr>
              <w:ind w:left="520"/>
              <w:spacing w:after="0"/>
              <w:rPr>
                <w:sz w:val="20"/>
                <w:szCs w:val="20"/>
                <w:color w:val="auto"/>
              </w:rPr>
            </w:pPr>
            <w:r>
              <w:rPr>
                <w:rFonts w:ascii="Arial" w:cs="Arial" w:eastAsia="Arial" w:hAnsi="Arial"/>
                <w:sz w:val="18"/>
                <w:szCs w:val="18"/>
                <w:b w:val="1"/>
                <w:bCs w:val="1"/>
                <w:color w:val="auto"/>
              </w:rPr>
              <w:t>Net cash used in operating activities</w:t>
            </w:r>
          </w:p>
        </w:tc>
        <w:tc>
          <w:tcPr>
            <w:tcW w:w="30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(34,196 )</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(20,560 )</w:t>
            </w:r>
          </w:p>
        </w:tc>
        <w:tc>
          <w:tcPr>
            <w:tcW w:w="0" w:type="dxa"/>
            <w:vAlign w:val="bottom"/>
          </w:tcPr>
          <w:p>
            <w:pPr>
              <w:spacing w:after="0"/>
              <w:rPr>
                <w:sz w:val="1"/>
                <w:szCs w:val="1"/>
                <w:color w:val="auto"/>
              </w:rPr>
            </w:pPr>
          </w:p>
        </w:tc>
      </w:tr>
      <w:tr>
        <w:trPr>
          <w:trHeight w:val="209"/>
        </w:trPr>
        <w:tc>
          <w:tcPr>
            <w:tcW w:w="77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280"/>
              <w:spacing w:after="0"/>
              <w:rPr>
                <w:sz w:val="20"/>
                <w:szCs w:val="20"/>
                <w:color w:val="auto"/>
              </w:rPr>
            </w:pPr>
            <w:r>
              <w:rPr>
                <w:rFonts w:ascii="Arial" w:cs="Arial" w:eastAsia="Arial" w:hAnsi="Arial"/>
                <w:sz w:val="18"/>
                <w:szCs w:val="18"/>
                <w:color w:val="auto"/>
              </w:rPr>
              <w:t>Purchase of marketable securities</w:t>
            </w:r>
          </w:p>
        </w:tc>
        <w:tc>
          <w:tcPr>
            <w:tcW w:w="30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(280,559 )</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Proceeds from sale of marketable securities</w:t>
            </w:r>
          </w:p>
        </w:tc>
        <w:tc>
          <w:tcPr>
            <w:tcW w:w="3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280"/>
              <w:spacing w:after="0"/>
              <w:rPr>
                <w:sz w:val="20"/>
                <w:szCs w:val="20"/>
                <w:color w:val="auto"/>
              </w:rPr>
            </w:pPr>
            <w:r>
              <w:rPr>
                <w:rFonts w:ascii="Arial" w:cs="Arial" w:eastAsia="Arial" w:hAnsi="Arial"/>
                <w:sz w:val="18"/>
                <w:szCs w:val="18"/>
                <w:color w:val="auto"/>
              </w:rPr>
              <w:t>Purchases of property and equipment</w:t>
            </w:r>
          </w:p>
        </w:tc>
        <w:tc>
          <w:tcPr>
            <w:tcW w:w="30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(5,436 )</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(2,748 )</w:t>
            </w: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Proceeds from sale of property and equipment</w:t>
            </w:r>
          </w:p>
        </w:tc>
        <w:tc>
          <w:tcPr>
            <w:tcW w:w="30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80" w:type="dxa"/>
            <w:vAlign w:val="bottom"/>
          </w:tcPr>
          <w:p>
            <w:pPr>
              <w:ind w:left="520"/>
              <w:spacing w:after="0"/>
              <w:rPr>
                <w:sz w:val="20"/>
                <w:szCs w:val="20"/>
                <w:color w:val="auto"/>
              </w:rPr>
            </w:pPr>
            <w:r>
              <w:rPr>
                <w:rFonts w:ascii="Arial" w:cs="Arial" w:eastAsia="Arial" w:hAnsi="Arial"/>
                <w:sz w:val="18"/>
                <w:szCs w:val="18"/>
                <w:b w:val="1"/>
                <w:bCs w:val="1"/>
                <w:color w:val="auto"/>
              </w:rPr>
              <w:t>Net cash used in investing activities</w:t>
            </w: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(285,826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9"/>
        </w:trPr>
        <w:tc>
          <w:tcPr>
            <w:tcW w:w="77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280"/>
              <w:spacing w:after="0"/>
              <w:rPr>
                <w:sz w:val="20"/>
                <w:szCs w:val="20"/>
                <w:color w:val="auto"/>
              </w:rPr>
            </w:pPr>
            <w:r>
              <w:rPr>
                <w:rFonts w:ascii="Arial" w:cs="Arial" w:eastAsia="Arial" w:hAnsi="Arial"/>
                <w:sz w:val="18"/>
                <w:szCs w:val="18"/>
                <w:color w:val="auto"/>
              </w:rPr>
              <w:t>Payments in connection with initial public offering</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(524 )</w:t>
            </w: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Proceeds from stock options exercised</w:t>
            </w:r>
          </w:p>
        </w:tc>
        <w:tc>
          <w:tcPr>
            <w:tcW w:w="3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2,470</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280"/>
              <w:spacing w:after="0"/>
              <w:rPr>
                <w:sz w:val="20"/>
                <w:szCs w:val="20"/>
                <w:color w:val="auto"/>
              </w:rPr>
            </w:pPr>
            <w:r>
              <w:rPr>
                <w:rFonts w:ascii="Arial" w:cs="Arial" w:eastAsia="Arial" w:hAnsi="Arial"/>
                <w:sz w:val="18"/>
                <w:szCs w:val="18"/>
                <w:color w:val="auto"/>
              </w:rPr>
              <w:t>Proceeds from issuance of convertible notes</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287,500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Costs incurred in connection with issuance of convertible notes</w:t>
            </w:r>
          </w:p>
        </w:tc>
        <w:tc>
          <w:tcPr>
            <w:tcW w:w="3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(9,309 )</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280"/>
              <w:spacing w:after="0"/>
              <w:rPr>
                <w:sz w:val="20"/>
                <w:szCs w:val="20"/>
                <w:color w:val="auto"/>
              </w:rPr>
            </w:pPr>
            <w:r>
              <w:rPr>
                <w:rFonts w:ascii="Arial" w:cs="Arial" w:eastAsia="Arial" w:hAnsi="Arial"/>
                <w:sz w:val="18"/>
                <w:szCs w:val="18"/>
                <w:color w:val="auto"/>
              </w:rPr>
              <w:t>Payments on finance lease obligations</w:t>
            </w:r>
          </w:p>
        </w:tc>
        <w:tc>
          <w:tcPr>
            <w:tcW w:w="30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(2 )</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09"/>
        </w:trPr>
        <w:tc>
          <w:tcPr>
            <w:tcW w:w="778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b w:val="1"/>
                <w:bCs w:val="1"/>
                <w:color w:val="auto"/>
              </w:rPr>
              <w:t>Net cash provided by financing activities</w:t>
            </w: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280,659</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80" w:type="dxa"/>
            <w:vAlign w:val="bottom"/>
          </w:tcPr>
          <w:p>
            <w:pPr>
              <w:ind w:left="280"/>
              <w:spacing w:after="0"/>
              <w:rPr>
                <w:sz w:val="20"/>
                <w:szCs w:val="20"/>
                <w:color w:val="auto"/>
              </w:rPr>
            </w:pPr>
            <w:r>
              <w:rPr>
                <w:rFonts w:ascii="Arial" w:cs="Arial" w:eastAsia="Arial" w:hAnsi="Arial"/>
                <w:sz w:val="18"/>
                <w:szCs w:val="18"/>
                <w:color w:val="auto"/>
              </w:rPr>
              <w:t>Effect of foreign currency translation on cash and cash equivalents</w:t>
            </w:r>
          </w:p>
        </w:tc>
        <w:tc>
          <w:tcPr>
            <w:tcW w:w="30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(66 )</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7780" w:type="dxa"/>
            <w:vAlign w:val="bottom"/>
            <w:shd w:val="clear" w:color="auto" w:fill="CFF0FC"/>
          </w:tcPr>
          <w:p>
            <w:pPr>
              <w:ind w:left="520"/>
              <w:spacing w:after="0"/>
              <w:rPr>
                <w:sz w:val="20"/>
                <w:szCs w:val="20"/>
                <w:color w:val="auto"/>
              </w:rPr>
            </w:pPr>
            <w:r>
              <w:rPr>
                <w:rFonts w:ascii="Arial" w:cs="Arial" w:eastAsia="Arial" w:hAnsi="Arial"/>
                <w:sz w:val="18"/>
                <w:szCs w:val="18"/>
                <w:b w:val="1"/>
                <w:bCs w:val="1"/>
                <w:color w:val="auto"/>
              </w:rPr>
              <w:t>Net decrease in cash and cash equivalents</w:t>
            </w:r>
          </w:p>
        </w:tc>
        <w:tc>
          <w:tcPr>
            <w:tcW w:w="300" w:type="dxa"/>
            <w:vAlign w:val="bottom"/>
            <w:shd w:val="clear" w:color="auto" w:fill="CFF0FC"/>
          </w:tcPr>
          <w:p>
            <w:pPr>
              <w:spacing w:after="0"/>
              <w:rPr>
                <w:sz w:val="20"/>
                <w:szCs w:val="20"/>
                <w:color w:val="auto"/>
              </w:rPr>
            </w:pPr>
          </w:p>
        </w:tc>
        <w:tc>
          <w:tcPr>
            <w:tcW w:w="130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(39,429 )</w:t>
            </w:r>
          </w:p>
        </w:tc>
        <w:tc>
          <w:tcPr>
            <w:tcW w:w="1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6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(22,523 )</w:t>
            </w:r>
          </w:p>
        </w:tc>
        <w:tc>
          <w:tcPr>
            <w:tcW w:w="0" w:type="dxa"/>
            <w:vAlign w:val="bottom"/>
          </w:tcPr>
          <w:p>
            <w:pPr>
              <w:spacing w:after="0"/>
              <w:rPr>
                <w:sz w:val="1"/>
                <w:szCs w:val="1"/>
                <w:color w:val="auto"/>
              </w:rPr>
            </w:pPr>
          </w:p>
        </w:tc>
      </w:tr>
      <w:tr>
        <w:trPr>
          <w:trHeight w:val="158"/>
        </w:trPr>
        <w:tc>
          <w:tcPr>
            <w:tcW w:w="77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300" w:type="dxa"/>
            <w:vAlign w:val="bottom"/>
            <w:gridSpan w:val="2"/>
            <w:vMerge w:val="continue"/>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360" w:type="dxa"/>
            <w:vAlign w:val="bottom"/>
            <w:gridSpan w:val="2"/>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 at beginning of the period</w:t>
            </w: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86,262</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Cash and cash equivalents at end of the period</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46,833</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37,351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78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Supplemental cash flow information:</w:t>
            </w: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paid for interest</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20"/>
              <w:spacing w:after="0"/>
              <w:rPr>
                <w:sz w:val="20"/>
                <w:szCs w:val="20"/>
                <w:color w:val="auto"/>
              </w:rPr>
            </w:pPr>
            <w:r>
              <w:rPr>
                <w:rFonts w:ascii="Arial" w:cs="Arial" w:eastAsia="Arial" w:hAnsi="Arial"/>
                <w:sz w:val="18"/>
                <w:szCs w:val="18"/>
                <w:b w:val="1"/>
                <w:bCs w:val="1"/>
                <w:color w:val="auto"/>
              </w:rPr>
              <w:t>Non-cash investing activity:</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Non-cash purchase of property and equipment</w:t>
            </w:r>
          </w:p>
        </w:tc>
        <w:tc>
          <w:tcPr>
            <w:tcW w:w="3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(150 )</w:t>
            </w:r>
          </w:p>
        </w:tc>
        <w:tc>
          <w:tcPr>
            <w:tcW w:w="0" w:type="dxa"/>
            <w:vAlign w:val="bottom"/>
          </w:tcPr>
          <w:p>
            <w:pPr>
              <w:spacing w:after="0"/>
              <w:rPr>
                <w:sz w:val="1"/>
                <w:szCs w:val="1"/>
                <w:color w:val="auto"/>
              </w:rPr>
            </w:pPr>
          </w:p>
        </w:tc>
      </w:tr>
      <w:tr>
        <w:trPr>
          <w:trHeight w:val="216"/>
        </w:trPr>
        <w:tc>
          <w:tcPr>
            <w:tcW w:w="7780" w:type="dxa"/>
            <w:vAlign w:val="bottom"/>
          </w:tcPr>
          <w:p>
            <w:pPr>
              <w:ind w:left="20"/>
              <w:spacing w:after="0"/>
              <w:rPr>
                <w:sz w:val="20"/>
                <w:szCs w:val="20"/>
                <w:color w:val="auto"/>
              </w:rPr>
            </w:pPr>
            <w:r>
              <w:rPr>
                <w:rFonts w:ascii="Arial" w:cs="Arial" w:eastAsia="Arial" w:hAnsi="Arial"/>
                <w:sz w:val="18"/>
                <w:szCs w:val="18"/>
                <w:b w:val="1"/>
                <w:bCs w:val="1"/>
                <w:color w:val="auto"/>
              </w:rPr>
              <w:t>Non-cash financing activity:</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Non-cash amounts incurred in connection with initial public offering</w:t>
            </w:r>
          </w:p>
        </w:tc>
        <w:tc>
          <w:tcPr>
            <w:tcW w:w="3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(25,938 )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5887085</wp:posOffset>
            </wp:positionH>
            <wp:positionV relativeFrom="paragraph">
              <wp:posOffset>-3501390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-3501390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5874385</wp:posOffset>
            </wp:positionH>
            <wp:positionV relativeFrom="paragraph">
              <wp:posOffset>-2675255</wp:posOffset>
            </wp:positionV>
            <wp:extent cx="93980" cy="1797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-2675255</wp:posOffset>
            </wp:positionV>
            <wp:extent cx="93980" cy="1797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-1540510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-1540510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-847090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-829945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-847090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-829945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8" w:right="339" w:bottom="1440" w:gutter="0" w:footer="0" w:header="0"/>
        </w:sectPr>
      </w:pPr>
    </w:p>
    <w:bookmarkStart w:id="12" w:name="page13"/>
    <w:bookmarkEnd w:id="12"/>
    <w:p>
      <w:pPr>
        <w:jc w:val="center"/>
        <w:ind w:right="40"/>
        <w:spacing w:after="0"/>
        <w:rPr>
          <w:sz w:val="20"/>
          <w:szCs w:val="20"/>
          <w:color w:val="auto"/>
        </w:rPr>
      </w:pPr>
      <w:r>
        <w:rPr>
          <w:rFonts w:ascii="Arial" w:cs="Arial" w:eastAsia="Arial" w:hAnsi="Arial"/>
          <w:sz w:val="20"/>
          <w:szCs w:val="20"/>
          <w:b w:val="1"/>
          <w:bCs w:val="1"/>
          <w:color w:val="auto"/>
        </w:rPr>
        <w:t>Xometry, Inc. and Subsidiaries</w:t>
      </w:r>
    </w:p>
    <w:p>
      <w:pPr>
        <w:spacing w:after="0" w:line="19"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Unaudited Reconciliations of Non-GAAP Financial Measures</w:t>
      </w:r>
    </w:p>
    <w:p>
      <w:pPr>
        <w:jc w:val="center"/>
        <w:spacing w:after="0"/>
        <w:rPr>
          <w:sz w:val="20"/>
          <w:szCs w:val="20"/>
          <w:color w:val="auto"/>
        </w:rPr>
      </w:pPr>
      <w:r>
        <w:rPr>
          <w:rFonts w:ascii="Arial" w:cs="Arial" w:eastAsia="Arial" w:hAnsi="Arial"/>
          <w:sz w:val="20"/>
          <w:szCs w:val="20"/>
          <w:color w:val="auto"/>
        </w:rPr>
        <w:t>(In thousands)</w:t>
      </w:r>
    </w:p>
    <w:tbl>
      <w:tblPr>
        <w:tblLayout w:type="fixed"/>
        <w:tblInd w:w="80" w:type="dxa"/>
        <w:tblCellMar>
          <w:top w:w="0" w:type="dxa"/>
          <w:left w:w="0" w:type="dxa"/>
          <w:bottom w:w="0" w:type="dxa"/>
          <w:right w:w="0" w:type="dxa"/>
        </w:tblCellMar>
      </w:tblPr>
      <w:tr>
        <w:trPr>
          <w:trHeight w:val="173"/>
        </w:trPr>
        <w:tc>
          <w:tcPr>
            <w:tcW w:w="154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20" w:type="dxa"/>
            <w:vAlign w:val="bottom"/>
            <w:gridSpan w:val="5"/>
          </w:tcPr>
          <w:p>
            <w:pPr>
              <w:jc w:val="right"/>
              <w:ind w:right="550"/>
              <w:spacing w:after="0" w:line="173" w:lineRule="exact"/>
              <w:rPr>
                <w:sz w:val="20"/>
                <w:szCs w:val="20"/>
                <w:color w:val="auto"/>
              </w:rPr>
            </w:pPr>
            <w:r>
              <w:rPr>
                <w:rFonts w:ascii="Arial" w:cs="Arial" w:eastAsia="Arial" w:hAnsi="Arial"/>
                <w:sz w:val="18"/>
                <w:szCs w:val="18"/>
                <w:b w:val="1"/>
                <w:bCs w:val="1"/>
                <w:color w:val="auto"/>
              </w:rPr>
              <w:t>For the Three Months</w:t>
            </w:r>
          </w:p>
        </w:tc>
        <w:tc>
          <w:tcPr>
            <w:tcW w:w="240" w:type="dxa"/>
            <w:vAlign w:val="bottom"/>
          </w:tcPr>
          <w:p>
            <w:pPr>
              <w:spacing w:after="0"/>
              <w:rPr>
                <w:sz w:val="15"/>
                <w:szCs w:val="15"/>
                <w:color w:val="auto"/>
              </w:rPr>
            </w:pPr>
          </w:p>
        </w:tc>
        <w:tc>
          <w:tcPr>
            <w:tcW w:w="2420" w:type="dxa"/>
            <w:vAlign w:val="bottom"/>
            <w:gridSpan w:val="5"/>
          </w:tcPr>
          <w:p>
            <w:pPr>
              <w:jc w:val="right"/>
              <w:ind w:right="501"/>
              <w:spacing w:after="0" w:line="173" w:lineRule="exact"/>
              <w:rPr>
                <w:sz w:val="20"/>
                <w:szCs w:val="20"/>
                <w:color w:val="auto"/>
              </w:rPr>
            </w:pPr>
            <w:r>
              <w:rPr>
                <w:rFonts w:ascii="Arial" w:cs="Arial" w:eastAsia="Arial" w:hAnsi="Arial"/>
                <w:sz w:val="18"/>
                <w:szCs w:val="18"/>
                <w:b w:val="1"/>
                <w:bCs w:val="1"/>
                <w:color w:val="auto"/>
              </w:rPr>
              <w:t>For the Six Months</w:t>
            </w:r>
          </w:p>
        </w:tc>
      </w:tr>
      <w:tr>
        <w:trPr>
          <w:trHeight w:val="235"/>
        </w:trPr>
        <w:tc>
          <w:tcPr>
            <w:tcW w:w="15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20" w:type="dxa"/>
            <w:vAlign w:val="bottom"/>
            <w:gridSpan w:val="5"/>
          </w:tcPr>
          <w:p>
            <w:pPr>
              <w:jc w:val="right"/>
              <w:ind w:right="810"/>
              <w:spacing w:after="0"/>
              <w:rPr>
                <w:sz w:val="20"/>
                <w:szCs w:val="20"/>
                <w:color w:val="auto"/>
              </w:rPr>
            </w:pPr>
            <w:r>
              <w:rPr>
                <w:rFonts w:ascii="Arial" w:cs="Arial" w:eastAsia="Arial" w:hAnsi="Arial"/>
                <w:sz w:val="18"/>
                <w:szCs w:val="18"/>
                <w:b w:val="1"/>
                <w:bCs w:val="1"/>
                <w:color w:val="auto"/>
              </w:rPr>
              <w:t>Ended June 30,</w:t>
            </w:r>
          </w:p>
        </w:tc>
        <w:tc>
          <w:tcPr>
            <w:tcW w:w="240" w:type="dxa"/>
            <w:vAlign w:val="bottom"/>
          </w:tcPr>
          <w:p>
            <w:pPr>
              <w:spacing w:after="0"/>
              <w:rPr>
                <w:sz w:val="20"/>
                <w:szCs w:val="20"/>
                <w:color w:val="auto"/>
              </w:rPr>
            </w:pPr>
          </w:p>
        </w:tc>
        <w:tc>
          <w:tcPr>
            <w:tcW w:w="2420" w:type="dxa"/>
            <w:vAlign w:val="bottom"/>
            <w:gridSpan w:val="5"/>
          </w:tcPr>
          <w:p>
            <w:pPr>
              <w:jc w:val="right"/>
              <w:ind w:right="661"/>
              <w:spacing w:after="0"/>
              <w:rPr>
                <w:sz w:val="20"/>
                <w:szCs w:val="20"/>
                <w:color w:val="auto"/>
              </w:rPr>
            </w:pPr>
            <w:r>
              <w:rPr>
                <w:rFonts w:ascii="Arial" w:cs="Arial" w:eastAsia="Arial" w:hAnsi="Arial"/>
                <w:sz w:val="18"/>
                <w:szCs w:val="18"/>
                <w:b w:val="1"/>
                <w:bCs w:val="1"/>
                <w:color w:val="auto"/>
              </w:rPr>
              <w:t>Ended June 30,</w:t>
            </w:r>
          </w:p>
        </w:tc>
      </w:tr>
      <w:tr>
        <w:trPr>
          <w:trHeight w:val="209"/>
        </w:trPr>
        <w:tc>
          <w:tcPr>
            <w:tcW w:w="154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189"/>
        </w:trPr>
        <w:tc>
          <w:tcPr>
            <w:tcW w:w="5560" w:type="dxa"/>
            <w:vAlign w:val="bottom"/>
            <w:gridSpan w:val="2"/>
            <w:shd w:val="clear" w:color="auto" w:fill="CFF0FC"/>
          </w:tcPr>
          <w:p>
            <w:pPr>
              <w:spacing w:after="0" w:line="169" w:lineRule="exact"/>
              <w:rPr>
                <w:sz w:val="20"/>
                <w:szCs w:val="20"/>
                <w:color w:val="auto"/>
              </w:rPr>
            </w:pPr>
            <w:r>
              <w:rPr>
                <w:rFonts w:ascii="Arial" w:cs="Arial" w:eastAsia="Arial" w:hAnsi="Arial"/>
                <w:sz w:val="18"/>
                <w:szCs w:val="18"/>
                <w:b w:val="1"/>
                <w:bCs w:val="1"/>
                <w:color w:val="auto"/>
              </w:rPr>
              <w:t>Adjusted EBITDA:</w:t>
            </w:r>
          </w:p>
        </w:tc>
        <w:tc>
          <w:tcPr>
            <w:tcW w:w="26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15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Net loss</w:t>
            </w:r>
          </w:p>
        </w:tc>
        <w:tc>
          <w:tcPr>
            <w:tcW w:w="4020" w:type="dxa"/>
            <w:vAlign w:val="bottom"/>
            <w:tcBorders>
              <w:top w:val="single" w:sz="8" w:color="CFF0FC"/>
            </w:tcBorders>
          </w:tcPr>
          <w:p>
            <w:pPr>
              <w:spacing w:after="0"/>
              <w:rPr>
                <w:sz w:val="18"/>
                <w:szCs w:val="18"/>
                <w:color w:val="auto"/>
              </w:rPr>
            </w:pPr>
          </w:p>
        </w:tc>
        <w:tc>
          <w:tcPr>
            <w:tcW w:w="260" w:type="dxa"/>
            <w:vAlign w:val="bottom"/>
            <w:tcBorders>
              <w:top w:val="single" w:sz="8" w:color="CFF0FC"/>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CFF0FC"/>
            </w:tcBorders>
            <w:gridSpan w:val="2"/>
          </w:tcPr>
          <w:p>
            <w:pPr>
              <w:jc w:val="right"/>
              <w:ind w:right="101"/>
              <w:spacing w:after="0"/>
              <w:rPr>
                <w:sz w:val="20"/>
                <w:szCs w:val="20"/>
                <w:color w:val="auto"/>
              </w:rPr>
            </w:pPr>
            <w:r>
              <w:rPr>
                <w:rFonts w:ascii="Arial" w:cs="Arial" w:eastAsia="Arial" w:hAnsi="Arial"/>
                <w:sz w:val="18"/>
                <w:szCs w:val="18"/>
                <w:color w:val="auto"/>
              </w:rPr>
              <w:t>(16,549 )</w:t>
            </w:r>
          </w:p>
        </w:tc>
        <w:tc>
          <w:tcPr>
            <w:tcW w:w="240" w:type="dxa"/>
            <w:vAlign w:val="bottom"/>
            <w:tcBorders>
              <w:top w:val="single" w:sz="8" w:color="CFF0FC"/>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CFF0FC"/>
            </w:tcBorders>
            <w:gridSpan w:val="2"/>
          </w:tcPr>
          <w:p>
            <w:pPr>
              <w:jc w:val="right"/>
              <w:ind w:right="70"/>
              <w:spacing w:after="0"/>
              <w:rPr>
                <w:sz w:val="20"/>
                <w:szCs w:val="20"/>
                <w:color w:val="auto"/>
              </w:rPr>
            </w:pPr>
            <w:r>
              <w:rPr>
                <w:rFonts w:ascii="Arial" w:cs="Arial" w:eastAsia="Arial" w:hAnsi="Arial"/>
                <w:sz w:val="18"/>
                <w:szCs w:val="18"/>
                <w:color w:val="auto"/>
              </w:rPr>
              <w:t>(12,264 )</w:t>
            </w:r>
          </w:p>
        </w:tc>
        <w:tc>
          <w:tcPr>
            <w:tcW w:w="240" w:type="dxa"/>
            <w:vAlign w:val="bottom"/>
            <w:tcBorders>
              <w:top w:val="single" w:sz="8" w:color="CFF0FC"/>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CFF0FC"/>
            </w:tcBorders>
            <w:gridSpan w:val="2"/>
          </w:tcPr>
          <w:p>
            <w:pPr>
              <w:jc w:val="right"/>
              <w:ind w:right="81"/>
              <w:spacing w:after="0"/>
              <w:rPr>
                <w:sz w:val="20"/>
                <w:szCs w:val="20"/>
                <w:color w:val="auto"/>
              </w:rPr>
            </w:pPr>
            <w:r>
              <w:rPr>
                <w:rFonts w:ascii="Arial" w:cs="Arial" w:eastAsia="Arial" w:hAnsi="Arial"/>
                <w:sz w:val="18"/>
                <w:szCs w:val="18"/>
                <w:color w:val="auto"/>
              </w:rPr>
              <w:t>(36,544 )</w:t>
            </w:r>
          </w:p>
        </w:tc>
        <w:tc>
          <w:tcPr>
            <w:tcW w:w="240" w:type="dxa"/>
            <w:vAlign w:val="bottom"/>
            <w:tcBorders>
              <w:top w:val="single" w:sz="8" w:color="CFF0FC"/>
            </w:tcBorders>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CFF0FC"/>
            </w:tcBorders>
            <w:gridSpan w:val="2"/>
          </w:tcPr>
          <w:p>
            <w:pPr>
              <w:jc w:val="right"/>
              <w:spacing w:after="0"/>
              <w:rPr>
                <w:sz w:val="20"/>
                <w:szCs w:val="20"/>
                <w:color w:val="auto"/>
              </w:rPr>
            </w:pPr>
            <w:r>
              <w:rPr>
                <w:rFonts w:ascii="Arial" w:cs="Arial" w:eastAsia="Arial" w:hAnsi="Arial"/>
                <w:sz w:val="18"/>
                <w:szCs w:val="18"/>
                <w:color w:val="auto"/>
              </w:rPr>
              <w:t>(22,765 )</w:t>
            </w:r>
          </w:p>
        </w:tc>
      </w:tr>
      <w:tr>
        <w:trPr>
          <w:trHeight w:val="216"/>
        </w:trPr>
        <w:tc>
          <w:tcPr>
            <w:tcW w:w="5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Add (deduct):</w:t>
            </w: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Interest expense, interest and dividend income and other expenses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1,217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2,852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916</w:t>
            </w:r>
          </w:p>
        </w:tc>
        <w:tc>
          <w:tcPr>
            <w:tcW w:w="100" w:type="dxa"/>
            <w:vAlign w:val="bottom"/>
          </w:tcPr>
          <w:p>
            <w:pPr>
              <w:spacing w:after="0"/>
              <w:rPr>
                <w:sz w:val="18"/>
                <w:szCs w:val="18"/>
                <w:color w:val="auto"/>
              </w:rPr>
            </w:pPr>
          </w:p>
        </w:tc>
      </w:tr>
      <w:tr>
        <w:trPr>
          <w:trHeight w:val="216"/>
        </w:trPr>
        <w:tc>
          <w:tcPr>
            <w:tcW w:w="5560" w:type="dxa"/>
            <w:vAlign w:val="bottom"/>
            <w:gridSpan w:val="2"/>
            <w:shd w:val="clear" w:color="auto" w:fill="CFF0FC"/>
          </w:tcPr>
          <w:p>
            <w:pPr>
              <w:spacing w:after="0" w:line="216" w:lineRule="exact"/>
              <w:rPr>
                <w:sz w:val="20"/>
                <w:szCs w:val="20"/>
                <w:color w:val="auto"/>
              </w:rPr>
            </w:pPr>
            <w:r>
              <w:rPr>
                <w:rFonts w:ascii="Arial" w:cs="Arial" w:eastAsia="Arial" w:hAnsi="Arial"/>
                <w:sz w:val="18"/>
                <w:szCs w:val="18"/>
                <w:color w:val="auto"/>
              </w:rPr>
              <w:t>Depreciation and amortization expense</w:t>
            </w:r>
            <w:r>
              <w:rPr>
                <w:rFonts w:ascii="Arial" w:cs="Arial" w:eastAsia="Arial" w:hAnsi="Arial"/>
                <w:sz w:val="24"/>
                <w:szCs w:val="24"/>
                <w:color w:val="auto"/>
                <w:vertAlign w:val="superscript"/>
              </w:rPr>
              <w:t>(1)</w:t>
            </w: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2,008</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753</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3,807</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1,487</w:t>
            </w:r>
          </w:p>
        </w:tc>
        <w:tc>
          <w:tcPr>
            <w:tcW w:w="100" w:type="dxa"/>
            <w:vAlign w:val="bottom"/>
            <w:shd w:val="clear" w:color="auto" w:fill="CFF0FC"/>
          </w:tcPr>
          <w:p>
            <w:pPr>
              <w:spacing w:after="0"/>
              <w:rPr>
                <w:sz w:val="18"/>
                <w:szCs w:val="18"/>
                <w:color w:val="auto"/>
              </w:rPr>
            </w:pP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Income tax benefit</w:t>
            </w:r>
          </w:p>
        </w:tc>
        <w:tc>
          <w:tcPr>
            <w:tcW w:w="260" w:type="dxa"/>
            <w:vAlign w:val="bottom"/>
          </w:tcPr>
          <w:p>
            <w:pPr>
              <w:spacing w:after="0"/>
              <w:rPr>
                <w:sz w:val="18"/>
                <w:szCs w:val="18"/>
                <w:color w:val="auto"/>
              </w:rPr>
            </w:pPr>
          </w:p>
        </w:tc>
        <w:tc>
          <w:tcPr>
            <w:tcW w:w="118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(559 )</w:t>
            </w:r>
          </w:p>
        </w:tc>
        <w:tc>
          <w:tcPr>
            <w:tcW w:w="240" w:type="dxa"/>
            <w:vAlign w:val="bottom"/>
          </w:tcPr>
          <w:p>
            <w:pPr>
              <w:spacing w:after="0"/>
              <w:rPr>
                <w:sz w:val="18"/>
                <w:szCs w:val="18"/>
                <w:color w:val="auto"/>
              </w:rPr>
            </w:pPr>
          </w:p>
        </w:tc>
        <w:tc>
          <w:tcPr>
            <w:tcW w:w="104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16"/>
        </w:trPr>
        <w:tc>
          <w:tcPr>
            <w:tcW w:w="5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Amortization of lease intangible</w:t>
            </w: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16"/>
        </w:trPr>
        <w:tc>
          <w:tcPr>
            <w:tcW w:w="5560" w:type="dxa"/>
            <w:vAlign w:val="bottom"/>
            <w:gridSpan w:val="2"/>
          </w:tcPr>
          <w:p>
            <w:pPr>
              <w:spacing w:after="0" w:line="216" w:lineRule="exact"/>
              <w:rPr>
                <w:sz w:val="20"/>
                <w:szCs w:val="20"/>
                <w:color w:val="auto"/>
              </w:rPr>
            </w:pPr>
            <w:r>
              <w:rPr>
                <w:rFonts w:ascii="Arial" w:cs="Arial" w:eastAsia="Arial" w:hAnsi="Arial"/>
                <w:sz w:val="18"/>
                <w:szCs w:val="18"/>
                <w:color w:val="auto"/>
              </w:rPr>
              <w:t>Stock-based compensation</w:t>
            </w:r>
            <w:r>
              <w:rPr>
                <w:rFonts w:ascii="Arial" w:cs="Arial" w:eastAsia="Arial" w:hAnsi="Arial"/>
                <w:sz w:val="24"/>
                <w:szCs w:val="24"/>
                <w:color w:val="auto"/>
                <w:vertAlign w:val="superscript"/>
              </w:rPr>
              <w:t>(2)</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5,479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1,975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8,935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2,480</w:t>
            </w:r>
          </w:p>
        </w:tc>
        <w:tc>
          <w:tcPr>
            <w:tcW w:w="100" w:type="dxa"/>
            <w:vAlign w:val="bottom"/>
          </w:tcPr>
          <w:p>
            <w:pPr>
              <w:spacing w:after="0"/>
              <w:rPr>
                <w:sz w:val="18"/>
                <w:szCs w:val="18"/>
                <w:color w:val="auto"/>
              </w:rPr>
            </w:pPr>
          </w:p>
        </w:tc>
      </w:tr>
      <w:tr>
        <w:trPr>
          <w:trHeight w:val="216"/>
        </w:trPr>
        <w:tc>
          <w:tcPr>
            <w:tcW w:w="5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Charitable contribution of common stock</w:t>
            </w: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1,285</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1,285</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Income from unconsolidated joint venture</w:t>
            </w:r>
          </w:p>
        </w:tc>
        <w:tc>
          <w:tcPr>
            <w:tcW w:w="260" w:type="dxa"/>
            <w:vAlign w:val="bottom"/>
          </w:tcPr>
          <w:p>
            <w:pPr>
              <w:spacing w:after="0"/>
              <w:rPr>
                <w:sz w:val="18"/>
                <w:szCs w:val="18"/>
                <w:color w:val="auto"/>
              </w:rPr>
            </w:pPr>
          </w:p>
        </w:tc>
        <w:tc>
          <w:tcPr>
            <w:tcW w:w="1180" w:type="dxa"/>
            <w:vAlign w:val="bottom"/>
            <w:gridSpan w:val="2"/>
          </w:tcPr>
          <w:p>
            <w:pPr>
              <w:jc w:val="right"/>
              <w:ind w:right="101"/>
              <w:spacing w:after="0"/>
              <w:rPr>
                <w:sz w:val="20"/>
                <w:szCs w:val="20"/>
                <w:color w:val="auto"/>
              </w:rPr>
            </w:pPr>
            <w:r>
              <w:rPr>
                <w:rFonts w:ascii="Arial" w:cs="Arial" w:eastAsia="Arial" w:hAnsi="Arial"/>
                <w:sz w:val="18"/>
                <w:szCs w:val="18"/>
                <w:color w:val="auto"/>
              </w:rPr>
              <w:t>(269 )</w:t>
            </w:r>
          </w:p>
        </w:tc>
        <w:tc>
          <w:tcPr>
            <w:tcW w:w="240" w:type="dxa"/>
            <w:vAlign w:val="bottom"/>
          </w:tcPr>
          <w:p>
            <w:pPr>
              <w:spacing w:after="0"/>
              <w:rPr>
                <w:sz w:val="18"/>
                <w:szCs w:val="18"/>
                <w:color w:val="auto"/>
              </w:rPr>
            </w:pPr>
          </w:p>
        </w:tc>
        <w:tc>
          <w:tcPr>
            <w:tcW w:w="12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(303 )</w:t>
            </w:r>
          </w:p>
        </w:tc>
        <w:tc>
          <w:tcPr>
            <w:tcW w:w="240" w:type="dxa"/>
            <w:vAlign w:val="bottom"/>
          </w:tcPr>
          <w:p>
            <w:pPr>
              <w:spacing w:after="0"/>
              <w:rPr>
                <w:sz w:val="18"/>
                <w:szCs w:val="18"/>
                <w:color w:val="auto"/>
              </w:rPr>
            </w:pPr>
          </w:p>
        </w:tc>
        <w:tc>
          <w:tcPr>
            <w:tcW w:w="104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16"/>
        </w:trPr>
        <w:tc>
          <w:tcPr>
            <w:tcW w:w="5560" w:type="dxa"/>
            <w:vAlign w:val="bottom"/>
            <w:gridSpan w:val="2"/>
            <w:shd w:val="clear" w:color="auto" w:fill="CFF0FC"/>
          </w:tcPr>
          <w:p>
            <w:pPr>
              <w:spacing w:after="0" w:line="216" w:lineRule="exact"/>
              <w:rPr>
                <w:sz w:val="20"/>
                <w:szCs w:val="20"/>
                <w:color w:val="auto"/>
              </w:rPr>
            </w:pPr>
            <w:r>
              <w:rPr>
                <w:rFonts w:ascii="Arial" w:cs="Arial" w:eastAsia="Arial" w:hAnsi="Arial"/>
                <w:sz w:val="18"/>
                <w:szCs w:val="18"/>
                <w:color w:val="auto"/>
              </w:rPr>
              <w:t>Acquisition and other</w:t>
            </w:r>
            <w:r>
              <w:rPr>
                <w:rFonts w:ascii="Arial" w:cs="Arial" w:eastAsia="Arial" w:hAnsi="Arial"/>
                <w:sz w:val="24"/>
                <w:szCs w:val="24"/>
                <w:color w:val="auto"/>
                <w:vertAlign w:val="superscript"/>
              </w:rPr>
              <w:t>(3)</w:t>
            </w: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(1,923 )</w:t>
            </w:r>
          </w:p>
        </w:tc>
        <w:tc>
          <w:tcPr>
            <w:tcW w:w="2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(1,284 )</w:t>
            </w: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Impairment of long-lived assets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49"/>
        </w:trPr>
        <w:tc>
          <w:tcPr>
            <w:tcW w:w="55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Adjusted EBITDA</w:t>
            </w:r>
          </w:p>
        </w:tc>
        <w:tc>
          <w:tcPr>
            <w:tcW w:w="2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(8,300</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(9,073</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(21,026</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(17,882</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4337685</wp:posOffset>
            </wp:positionH>
            <wp:positionV relativeFrom="paragraph">
              <wp:posOffset>-24765</wp:posOffset>
            </wp:positionV>
            <wp:extent cx="768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4337685</wp:posOffset>
            </wp:positionH>
            <wp:positionV relativeFrom="paragraph">
              <wp:posOffset>-7620</wp:posOffset>
            </wp:positionV>
            <wp:extent cx="768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5262245</wp:posOffset>
            </wp:positionH>
            <wp:positionV relativeFrom="paragraph">
              <wp:posOffset>-24765</wp:posOffset>
            </wp:positionV>
            <wp:extent cx="768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5262245</wp:posOffset>
            </wp:positionH>
            <wp:positionV relativeFrom="paragraph">
              <wp:posOffset>-7620</wp:posOffset>
            </wp:positionV>
            <wp:extent cx="768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-24765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-7620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-24765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-7620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8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For the Three Months</w:t>
            </w:r>
          </w:p>
        </w:tc>
        <w:tc>
          <w:tcPr>
            <w:tcW w:w="200" w:type="dxa"/>
            <w:vAlign w:val="bottom"/>
          </w:tcPr>
          <w:p>
            <w:pPr>
              <w:spacing w:after="0"/>
              <w:rPr>
                <w:sz w:val="17"/>
                <w:szCs w:val="17"/>
                <w:color w:val="auto"/>
              </w:rPr>
            </w:pPr>
          </w:p>
        </w:tc>
        <w:tc>
          <w:tcPr>
            <w:tcW w:w="256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For the Six Months</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gridSpan w:val="5"/>
          </w:tcPr>
          <w:p>
            <w:pPr>
              <w:jc w:val="right"/>
              <w:ind w:right="900"/>
              <w:spacing w:after="0"/>
              <w:rPr>
                <w:sz w:val="20"/>
                <w:szCs w:val="20"/>
                <w:color w:val="auto"/>
              </w:rPr>
            </w:pPr>
            <w:r>
              <w:rPr>
                <w:rFonts w:ascii="Arial" w:cs="Arial" w:eastAsia="Arial" w:hAnsi="Arial"/>
                <w:sz w:val="18"/>
                <w:szCs w:val="18"/>
                <w:b w:val="1"/>
                <w:bCs w:val="1"/>
                <w:color w:val="auto"/>
              </w:rPr>
              <w:t>Ended June 30,</w:t>
            </w:r>
          </w:p>
        </w:tc>
        <w:tc>
          <w:tcPr>
            <w:tcW w:w="200" w:type="dxa"/>
            <w:vAlign w:val="bottom"/>
          </w:tcPr>
          <w:p>
            <w:pPr>
              <w:spacing w:after="0"/>
              <w:rPr>
                <w:sz w:val="20"/>
                <w:szCs w:val="20"/>
                <w:color w:val="auto"/>
              </w:rPr>
            </w:pPr>
          </w:p>
        </w:tc>
        <w:tc>
          <w:tcPr>
            <w:tcW w:w="2560" w:type="dxa"/>
            <w:vAlign w:val="bottom"/>
            <w:gridSpan w:val="5"/>
          </w:tcPr>
          <w:p>
            <w:pPr>
              <w:jc w:val="right"/>
              <w:ind w:right="760"/>
              <w:spacing w:after="0"/>
              <w:rPr>
                <w:sz w:val="20"/>
                <w:szCs w:val="20"/>
                <w:color w:val="auto"/>
              </w:rPr>
            </w:pPr>
            <w:r>
              <w:rPr>
                <w:rFonts w:ascii="Arial" w:cs="Arial" w:eastAsia="Arial" w:hAnsi="Arial"/>
                <w:sz w:val="18"/>
                <w:szCs w:val="18"/>
                <w:b w:val="1"/>
                <w:bCs w:val="1"/>
                <w:color w:val="auto"/>
              </w:rPr>
              <w:t>Ended June 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Non-GAAP Net Loss:</w:t>
            </w: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5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5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(16,549 )</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(12,264 )</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(36,544 )</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(22,765 )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Add (deduct):</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5560" w:type="dxa"/>
            <w:vAlign w:val="bottom"/>
            <w:gridSpan w:val="2"/>
            <w:shd w:val="clear" w:color="auto" w:fill="CFF0FC"/>
          </w:tcPr>
          <w:p>
            <w:pPr>
              <w:spacing w:after="0" w:line="216" w:lineRule="exact"/>
              <w:rPr>
                <w:sz w:val="20"/>
                <w:szCs w:val="20"/>
                <w:color w:val="auto"/>
              </w:rPr>
            </w:pPr>
            <w:r>
              <w:rPr>
                <w:rFonts w:ascii="Arial" w:cs="Arial" w:eastAsia="Arial" w:hAnsi="Arial"/>
                <w:sz w:val="18"/>
                <w:szCs w:val="18"/>
                <w:color w:val="auto"/>
              </w:rPr>
              <w:t>Depreciation and amortization expense</w:t>
            </w:r>
            <w:r>
              <w:rPr>
                <w:rFonts w:ascii="Arial" w:cs="Arial" w:eastAsia="Arial" w:hAnsi="Arial"/>
                <w:sz w:val="24"/>
                <w:szCs w:val="24"/>
                <w:color w:val="auto"/>
                <w:vertAlign w:val="superscript"/>
              </w:rPr>
              <w:t>(1)</w:t>
            </w: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2,008</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753</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3,807</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spacing w:after="0" w:line="216" w:lineRule="exact"/>
              <w:rPr>
                <w:sz w:val="20"/>
                <w:szCs w:val="20"/>
                <w:color w:val="auto"/>
              </w:rPr>
            </w:pPr>
            <w:r>
              <w:rPr>
                <w:rFonts w:ascii="Arial" w:cs="Arial" w:eastAsia="Arial" w:hAnsi="Arial"/>
                <w:sz w:val="18"/>
                <w:szCs w:val="18"/>
                <w:color w:val="auto"/>
              </w:rPr>
              <w:t>Stock-based compensation</w:t>
            </w:r>
            <w:r>
              <w:rPr>
                <w:rFonts w:ascii="Arial" w:cs="Arial" w:eastAsia="Arial" w:hAnsi="Arial"/>
                <w:sz w:val="24"/>
                <w:szCs w:val="24"/>
                <w:color w:val="auto"/>
                <w:vertAlign w:val="superscript"/>
              </w:rPr>
              <w:t>(2)</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5,479</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1,975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8,935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5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Amortization of lease intangible</w:t>
            </w: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Amortization of deferred costs on convertible notes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469</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5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Unrealized loss on marketable securities</w:t>
            </w: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1,190</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spacing w:after="0" w:line="216" w:lineRule="exact"/>
              <w:rPr>
                <w:sz w:val="20"/>
                <w:szCs w:val="20"/>
                <w:color w:val="auto"/>
              </w:rPr>
            </w:pPr>
            <w:r>
              <w:rPr>
                <w:rFonts w:ascii="Arial" w:cs="Arial" w:eastAsia="Arial" w:hAnsi="Arial"/>
                <w:sz w:val="18"/>
                <w:szCs w:val="18"/>
                <w:color w:val="auto"/>
              </w:rPr>
              <w:t>Acquisition and other</w:t>
            </w:r>
            <w:r>
              <w:rPr>
                <w:rFonts w:ascii="Arial" w:cs="Arial" w:eastAsia="Arial" w:hAnsi="Arial"/>
                <w:sz w:val="24"/>
                <w:szCs w:val="24"/>
                <w:color w:val="auto"/>
                <w:vertAlign w:val="superscript"/>
              </w:rPr>
              <w:t>(3)</w:t>
            </w:r>
          </w:p>
        </w:tc>
        <w:tc>
          <w:tcPr>
            <w:tcW w:w="2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(1,923 )</w:t>
            </w:r>
          </w:p>
        </w:tc>
        <w:tc>
          <w:tcPr>
            <w:tcW w:w="2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(1,284 )</w:t>
            </w:r>
          </w:p>
        </w:tc>
        <w:tc>
          <w:tcPr>
            <w:tcW w:w="2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5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(Gain) loss on sale of property and equipment</w:t>
            </w:r>
          </w:p>
        </w:tc>
        <w:tc>
          <w:tcPr>
            <w:tcW w:w="2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(2 )</w:t>
            </w: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Charitable contribution of common stock</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1,285</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1,285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Borders>
              <w:bottom w:val="single" w:sz="8" w:color="CFF0FC"/>
            </w:tcBorders>
            <w:shd w:val="clear" w:color="auto" w:fill="CFF0FC"/>
          </w:tcPr>
          <w:p>
            <w:pPr>
              <w:spacing w:after="0"/>
              <w:rPr>
                <w:sz w:val="18"/>
                <w:szCs w:val="18"/>
                <w:color w:val="auto"/>
              </w:rPr>
            </w:pPr>
          </w:p>
        </w:tc>
        <w:tc>
          <w:tcPr>
            <w:tcW w:w="55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Impairment of long-lived assets</w:t>
            </w:r>
          </w:p>
        </w:tc>
        <w:tc>
          <w:tcPr>
            <w:tcW w:w="2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b w:val="1"/>
                <w:bCs w:val="1"/>
                <w:color w:val="auto"/>
              </w:rPr>
              <w:t>Non-GAAP Net Loss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(8,447 )</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(9,538 )</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(20,974 )</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(18,800 )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FF0FC"/>
          </w:tcPr>
          <w:p>
            <w:pPr>
              <w:spacing w:after="0"/>
              <w:rPr>
                <w:sz w:val="14"/>
                <w:szCs w:val="14"/>
                <w:color w:val="auto"/>
              </w:rPr>
            </w:pPr>
          </w:p>
        </w:tc>
        <w:tc>
          <w:tcPr>
            <w:tcW w:w="5560" w:type="dxa"/>
            <w:vAlign w:val="bottom"/>
            <w:gridSpan w:val="2"/>
            <w:shd w:val="clear" w:color="auto" w:fill="CFF0FC"/>
          </w:tcPr>
          <w:p>
            <w:pPr>
              <w:spacing w:after="0" w:line="170" w:lineRule="exact"/>
              <w:rPr>
                <w:sz w:val="20"/>
                <w:szCs w:val="20"/>
                <w:color w:val="auto"/>
              </w:rPr>
            </w:pPr>
            <w:r>
              <w:rPr>
                <w:rFonts w:ascii="Arial" w:cs="Arial" w:eastAsia="Arial" w:hAnsi="Arial"/>
                <w:sz w:val="18"/>
                <w:szCs w:val="18"/>
                <w:color w:val="auto"/>
              </w:rPr>
              <w:t>Weighted-average number of shares outstanding used to compute</w:t>
            </w:r>
          </w:p>
        </w:tc>
        <w:tc>
          <w:tcPr>
            <w:tcW w:w="220" w:type="dxa"/>
            <w:vAlign w:val="bottom"/>
            <w:shd w:val="clear" w:color="auto" w:fill="CFF0FC"/>
          </w:tcPr>
          <w:p>
            <w:pPr>
              <w:spacing w:after="0"/>
              <w:rPr>
                <w:sz w:val="14"/>
                <w:szCs w:val="14"/>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47,074,246</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8,390,088</w:t>
            </w: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46,932,702</w:t>
            </w: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8,158,753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Borders>
              <w:bottom w:val="single" w:sz="8" w:color="CFF0FC"/>
            </w:tcBorders>
            <w:shd w:val="clear" w:color="auto" w:fill="CFF0FC"/>
          </w:tcPr>
          <w:p>
            <w:pPr>
              <w:spacing w:after="0"/>
              <w:rPr>
                <w:sz w:val="19"/>
                <w:szCs w:val="19"/>
                <w:color w:val="auto"/>
              </w:rPr>
            </w:pPr>
          </w:p>
        </w:tc>
        <w:tc>
          <w:tcPr>
            <w:tcW w:w="55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Non-GAAP Net Loss per share, basic and diluted</w:t>
            </w:r>
          </w:p>
        </w:tc>
        <w:tc>
          <w:tcPr>
            <w:tcW w:w="2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vMerge w:val="continue"/>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vMerge w:val="continue"/>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vMerge w:val="continue"/>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Non-GAAP EPS, basic and diluted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(0.18 )</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(1.14 )</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(0.45 )</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(2.30 )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4320540</wp:posOffset>
            </wp:positionH>
            <wp:positionV relativeFrom="paragraph">
              <wp:posOffset>-864235</wp:posOffset>
            </wp:positionV>
            <wp:extent cx="768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5253990</wp:posOffset>
            </wp:positionH>
            <wp:positionV relativeFrom="paragraph">
              <wp:posOffset>-864235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-864235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-864235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4320540</wp:posOffset>
            </wp:positionH>
            <wp:positionV relativeFrom="paragraph">
              <wp:posOffset>-307340</wp:posOffset>
            </wp:positionV>
            <wp:extent cx="768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5253990</wp:posOffset>
            </wp:positionH>
            <wp:positionV relativeFrom="paragraph">
              <wp:posOffset>-307340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-307340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-307340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1" w:lineRule="exact"/>
        <w:rPr>
          <w:sz w:val="20"/>
          <w:szCs w:val="20"/>
          <w:color w:val="auto"/>
        </w:rPr>
      </w:pPr>
    </w:p>
    <w:p>
      <w:pPr>
        <w:ind w:left="380" w:right="320" w:hanging="372"/>
        <w:spacing w:after="0" w:line="248" w:lineRule="auto"/>
        <w:tabs>
          <w:tab w:leader="none" w:pos="380" w:val="left"/>
        </w:tabs>
        <w:numPr>
          <w:ilvl w:val="0"/>
          <w:numId w:val="8"/>
        </w:numPr>
        <w:rPr>
          <w:rFonts w:ascii="Arial" w:cs="Arial" w:eastAsia="Arial" w:hAnsi="Arial"/>
          <w:sz w:val="20"/>
          <w:szCs w:val="20"/>
          <w:color w:val="auto"/>
        </w:rPr>
      </w:pPr>
      <w:r>
        <w:rPr>
          <w:rFonts w:ascii="Arial" w:cs="Arial" w:eastAsia="Arial" w:hAnsi="Arial"/>
          <w:sz w:val="20"/>
          <w:szCs w:val="20"/>
          <w:color w:val="auto"/>
        </w:rPr>
        <w:t>Represents depreciation expense of the Company’s long-lived tangible assets and amortization expense of its finite-lived intangible assets, as included in the Company’s GAAP results of operations.</w:t>
      </w:r>
    </w:p>
    <w:p>
      <w:pPr>
        <w:spacing w:after="0" w:line="1" w:lineRule="exact"/>
        <w:rPr>
          <w:rFonts w:ascii="Arial" w:cs="Arial" w:eastAsia="Arial" w:hAnsi="Arial"/>
          <w:sz w:val="20"/>
          <w:szCs w:val="20"/>
          <w:color w:val="auto"/>
        </w:rPr>
      </w:pPr>
    </w:p>
    <w:p>
      <w:pPr>
        <w:ind w:left="380" w:right="520" w:hanging="372"/>
        <w:spacing w:after="0" w:line="239" w:lineRule="auto"/>
        <w:tabs>
          <w:tab w:leader="none" w:pos="380" w:val="left"/>
        </w:tabs>
        <w:numPr>
          <w:ilvl w:val="0"/>
          <w:numId w:val="8"/>
        </w:numPr>
        <w:rPr>
          <w:rFonts w:ascii="Arial" w:cs="Arial" w:eastAsia="Arial" w:hAnsi="Arial"/>
          <w:sz w:val="20"/>
          <w:szCs w:val="20"/>
          <w:color w:val="auto"/>
        </w:rPr>
      </w:pPr>
      <w:r>
        <w:rPr>
          <w:rFonts w:ascii="Arial" w:cs="Arial" w:eastAsia="Arial" w:hAnsi="Arial"/>
          <w:sz w:val="20"/>
          <w:szCs w:val="20"/>
          <w:color w:val="auto"/>
        </w:rPr>
        <w:t>Represents the non-cash expense related to stock-based awards granted to employees, as included in the Company’s GAAP results of operations.</w:t>
      </w:r>
    </w:p>
    <w:p>
      <w:pPr>
        <w:ind w:left="380" w:hanging="372"/>
        <w:spacing w:after="0"/>
        <w:tabs>
          <w:tab w:leader="none" w:pos="380" w:val="left"/>
        </w:tabs>
        <w:numPr>
          <w:ilvl w:val="0"/>
          <w:numId w:val="8"/>
        </w:numPr>
        <w:rPr>
          <w:rFonts w:ascii="Arial" w:cs="Arial" w:eastAsia="Arial" w:hAnsi="Arial"/>
          <w:sz w:val="20"/>
          <w:szCs w:val="20"/>
          <w:color w:val="auto"/>
        </w:rPr>
      </w:pPr>
      <w:r>
        <w:rPr>
          <w:rFonts w:ascii="Arial" w:cs="Arial" w:eastAsia="Arial" w:hAnsi="Arial"/>
          <w:sz w:val="20"/>
          <w:szCs w:val="20"/>
          <w:color w:val="auto"/>
        </w:rPr>
        <w:t>Includes adjustments related to purchase accounting, the revaluation of contingent consideration and transaction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8" w:right="339" w:bottom="1440" w:gutter="0" w:footer="0" w:header="0"/>
        </w:sectPr>
      </w:pPr>
    </w:p>
    <w:bookmarkStart w:id="13" w:name="page14"/>
    <w:bookmarkEnd w:id="13"/>
    <w:p>
      <w:pPr>
        <w:jc w:val="center"/>
        <w:ind w:right="40"/>
        <w:spacing w:after="0"/>
        <w:rPr>
          <w:sz w:val="20"/>
          <w:szCs w:val="20"/>
          <w:color w:val="auto"/>
        </w:rPr>
      </w:pPr>
      <w:r>
        <w:rPr>
          <w:rFonts w:ascii="Arial" w:cs="Arial" w:eastAsia="Arial" w:hAnsi="Arial"/>
          <w:sz w:val="20"/>
          <w:szCs w:val="20"/>
          <w:b w:val="1"/>
          <w:bCs w:val="1"/>
          <w:color w:val="auto"/>
        </w:rPr>
        <w:t>Xometry, Inc.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Segment Results</w:t>
      </w:r>
    </w:p>
    <w:p>
      <w:pPr>
        <w:jc w:val="center"/>
        <w:spacing w:after="0"/>
        <w:rPr>
          <w:sz w:val="20"/>
          <w:szCs w:val="20"/>
          <w:color w:val="auto"/>
        </w:rPr>
      </w:pPr>
      <w:r>
        <w:rPr>
          <w:rFonts w:ascii="Arial" w:cs="Arial" w:eastAsia="Arial" w:hAnsi="Arial"/>
          <w:sz w:val="20"/>
          <w:szCs w:val="20"/>
          <w:color w:val="auto"/>
        </w:rPr>
        <w:t>(In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20" w:type="dxa"/>
            <w:vAlign w:val="bottom"/>
            <w:gridSpan w:val="6"/>
          </w:tcPr>
          <w:p>
            <w:pPr>
              <w:jc w:val="center"/>
              <w:ind w:right="420"/>
              <w:spacing w:after="0"/>
              <w:rPr>
                <w:sz w:val="20"/>
                <w:szCs w:val="20"/>
                <w:color w:val="auto"/>
              </w:rPr>
            </w:pPr>
            <w:r>
              <w:rPr>
                <w:rFonts w:ascii="Arial" w:cs="Arial" w:eastAsia="Arial" w:hAnsi="Arial"/>
                <w:sz w:val="18"/>
                <w:szCs w:val="18"/>
                <w:b w:val="1"/>
                <w:bCs w:val="1"/>
                <w:color w:val="auto"/>
                <w:w w:val="99"/>
              </w:rPr>
              <w:t>For the Three Months Ended June</w:t>
            </w:r>
          </w:p>
        </w:tc>
        <w:tc>
          <w:tcPr>
            <w:tcW w:w="120" w:type="dxa"/>
            <w:vAlign w:val="bottom"/>
          </w:tcPr>
          <w:p>
            <w:pPr>
              <w:spacing w:after="0"/>
              <w:rPr>
                <w:sz w:val="17"/>
                <w:szCs w:val="17"/>
                <w:color w:val="auto"/>
              </w:rPr>
            </w:pPr>
          </w:p>
        </w:tc>
        <w:tc>
          <w:tcPr>
            <w:tcW w:w="3220" w:type="dxa"/>
            <w:vAlign w:val="bottom"/>
            <w:gridSpan w:val="5"/>
            <w:vMerge w:val="restart"/>
          </w:tcPr>
          <w:p>
            <w:pPr>
              <w:jc w:val="right"/>
              <w:ind w:right="240"/>
              <w:spacing w:after="0"/>
              <w:rPr>
                <w:sz w:val="20"/>
                <w:szCs w:val="20"/>
                <w:color w:val="auto"/>
              </w:rPr>
            </w:pPr>
            <w:r>
              <w:rPr>
                <w:rFonts w:ascii="Arial" w:cs="Arial" w:eastAsia="Arial" w:hAnsi="Arial"/>
                <w:sz w:val="18"/>
                <w:szCs w:val="18"/>
                <w:b w:val="1"/>
                <w:bCs w:val="1"/>
                <w:color w:val="auto"/>
                <w:w w:val="98"/>
              </w:rPr>
              <w:t>For the Six Months Ended June 30,</w:t>
            </w:r>
          </w:p>
        </w:tc>
        <w:tc>
          <w:tcPr>
            <w:tcW w:w="0" w:type="dxa"/>
            <w:vAlign w:val="bottom"/>
          </w:tcPr>
          <w:p>
            <w:pPr>
              <w:spacing w:after="0"/>
              <w:rPr>
                <w:sz w:val="1"/>
                <w:szCs w:val="1"/>
                <w:color w:val="auto"/>
              </w:rPr>
            </w:pPr>
          </w:p>
        </w:tc>
      </w:tr>
      <w:tr>
        <w:trPr>
          <w:trHeight w:val="235"/>
        </w:trPr>
        <w:tc>
          <w:tcPr>
            <w:tcW w:w="4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rPr>
              <w:t>30,</w:t>
            </w: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20" w:type="dxa"/>
            <w:vAlign w:val="bottom"/>
            <w:gridSpan w:val="5"/>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4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top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Segment Revenue:</w:t>
            </w:r>
          </w:p>
        </w:tc>
        <w:tc>
          <w:tcPr>
            <w:tcW w:w="120" w:type="dxa"/>
            <w:vAlign w:val="bottom"/>
            <w:shd w:val="clear" w:color="auto" w:fill="CFF0FC"/>
          </w:tcPr>
          <w:p>
            <w:pPr>
              <w:spacing w:after="0"/>
              <w:rPr>
                <w:sz w:val="18"/>
                <w:szCs w:val="18"/>
                <w:color w:val="auto"/>
              </w:rPr>
            </w:pPr>
          </w:p>
        </w:tc>
        <w:tc>
          <w:tcPr>
            <w:tcW w:w="2040" w:type="dxa"/>
            <w:vAlign w:val="bottom"/>
            <w:gridSpan w:val="4"/>
            <w:shd w:val="clear" w:color="auto" w:fill="CFF0FC"/>
          </w:tcPr>
          <w:p>
            <w:pPr>
              <w:jc w:val="center"/>
              <w:ind w:left="810"/>
              <w:spacing w:after="0"/>
              <w:rPr>
                <w:sz w:val="20"/>
                <w:szCs w:val="20"/>
                <w:color w:val="auto"/>
              </w:rPr>
            </w:pPr>
            <w:r>
              <w:rPr>
                <w:rFonts w:ascii="Arial" w:cs="Arial" w:eastAsia="Arial" w:hAnsi="Arial"/>
                <w:sz w:val="18"/>
                <w:szCs w:val="18"/>
                <w:b w:val="1"/>
                <w:bCs w:val="1"/>
                <w:color w:val="auto"/>
                <w:w w:val="99"/>
              </w:rPr>
              <w:t>(unaudited)</w:t>
            </w: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w w:val="73"/>
              </w:rPr>
              <w:t>(unaudited)</w:t>
            </w: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20"/>
              <w:spacing w:after="0"/>
              <w:rPr>
                <w:sz w:val="20"/>
                <w:szCs w:val="20"/>
                <w:color w:val="auto"/>
              </w:rPr>
            </w:pPr>
            <w:r>
              <w:rPr>
                <w:rFonts w:ascii="Arial" w:cs="Arial" w:eastAsia="Arial" w:hAnsi="Arial"/>
                <w:sz w:val="18"/>
                <w:szCs w:val="18"/>
                <w:color w:val="auto"/>
              </w:rPr>
              <w:t>U.S.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87,675</w:t>
            </w:r>
          </w:p>
        </w:tc>
        <w:tc>
          <w:tcPr>
            <w:tcW w:w="80" w:type="dxa"/>
            <w:vAlign w:val="bottom"/>
          </w:tcPr>
          <w:p>
            <w:pPr>
              <w:spacing w:after="0"/>
              <w:rPr>
                <w:sz w:val="18"/>
                <w:szCs w:val="18"/>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47,228</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163,724</w:t>
            </w:r>
          </w:p>
        </w:tc>
        <w:tc>
          <w:tcPr>
            <w:tcW w:w="260" w:type="dxa"/>
            <w:vAlign w:val="bottom"/>
          </w:tcPr>
          <w:p>
            <w:pPr>
              <w:spacing w:after="0"/>
              <w:rPr>
                <w:sz w:val="18"/>
                <w:szCs w:val="18"/>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88,526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International</w:t>
            </w:r>
          </w:p>
        </w:tc>
        <w:tc>
          <w:tcPr>
            <w:tcW w:w="1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7,940</w:t>
            </w: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3,361</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15,562</w:t>
            </w:r>
          </w:p>
        </w:tc>
        <w:tc>
          <w:tcPr>
            <w:tcW w:w="26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5,984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60" w:type="dxa"/>
            <w:vAlign w:val="bottom"/>
          </w:tcPr>
          <w:p>
            <w:pPr>
              <w:ind w:left="280"/>
              <w:spacing w:after="0"/>
              <w:rPr>
                <w:sz w:val="20"/>
                <w:szCs w:val="20"/>
                <w:color w:val="auto"/>
              </w:rPr>
            </w:pPr>
            <w:r>
              <w:rPr>
                <w:rFonts w:ascii="Arial" w:cs="Arial" w:eastAsia="Arial" w:hAnsi="Arial"/>
                <w:sz w:val="18"/>
                <w:szCs w:val="18"/>
                <w:color w:val="auto"/>
              </w:rPr>
              <w:t>Total 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95,615</w:t>
            </w:r>
          </w:p>
        </w:tc>
        <w:tc>
          <w:tcPr>
            <w:tcW w:w="80" w:type="dxa"/>
            <w:vAlign w:val="bottom"/>
          </w:tcPr>
          <w:p>
            <w:pPr>
              <w:spacing w:after="0"/>
              <w:rPr>
                <w:sz w:val="18"/>
                <w:szCs w:val="18"/>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50,589</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179,286</w:t>
            </w:r>
          </w:p>
        </w:tc>
        <w:tc>
          <w:tcPr>
            <w:tcW w:w="260" w:type="dxa"/>
            <w:vAlign w:val="bottom"/>
          </w:tcPr>
          <w:p>
            <w:pPr>
              <w:spacing w:after="0"/>
              <w:rPr>
                <w:sz w:val="18"/>
                <w:szCs w:val="18"/>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94,510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Segment Net Loss:</w:t>
            </w: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20"/>
              <w:spacing w:after="0"/>
              <w:rPr>
                <w:sz w:val="20"/>
                <w:szCs w:val="20"/>
                <w:color w:val="auto"/>
              </w:rPr>
            </w:pPr>
            <w:r>
              <w:rPr>
                <w:rFonts w:ascii="Arial" w:cs="Arial" w:eastAsia="Arial" w:hAnsi="Arial"/>
                <w:sz w:val="18"/>
                <w:szCs w:val="18"/>
                <w:color w:val="auto"/>
              </w:rPr>
              <w:t>U.S.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(11,222 )</w:t>
            </w:r>
          </w:p>
        </w:tc>
        <w:tc>
          <w:tcPr>
            <w:tcW w:w="7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(9,440 )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90"/>
              <w:spacing w:after="0"/>
              <w:rPr>
                <w:sz w:val="20"/>
                <w:szCs w:val="20"/>
                <w:color w:val="auto"/>
              </w:rPr>
            </w:pPr>
            <w:r>
              <w:rPr>
                <w:rFonts w:ascii="Arial" w:cs="Arial" w:eastAsia="Arial" w:hAnsi="Arial"/>
                <w:sz w:val="18"/>
                <w:szCs w:val="18"/>
                <w:color w:val="auto"/>
              </w:rPr>
              <w:t>(26,245 )</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(17,602 )</w:t>
            </w:r>
          </w:p>
        </w:tc>
        <w:tc>
          <w:tcPr>
            <w:tcW w:w="0" w:type="dxa"/>
            <w:vAlign w:val="bottom"/>
          </w:tcPr>
          <w:p>
            <w:pPr>
              <w:spacing w:after="0"/>
              <w:rPr>
                <w:sz w:val="1"/>
                <w:szCs w:val="1"/>
                <w:color w:val="auto"/>
              </w:rPr>
            </w:pPr>
          </w:p>
        </w:tc>
      </w:tr>
      <w:tr>
        <w:trPr>
          <w:trHeight w:val="216"/>
        </w:trPr>
        <w:tc>
          <w:tcPr>
            <w:tcW w:w="4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International</w:t>
            </w:r>
          </w:p>
        </w:tc>
        <w:tc>
          <w:tcPr>
            <w:tcW w:w="1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(5,331 )</w:t>
            </w:r>
          </w:p>
        </w:tc>
        <w:tc>
          <w:tcPr>
            <w:tcW w:w="2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(2,824 )</w:t>
            </w:r>
          </w:p>
        </w:tc>
        <w:tc>
          <w:tcPr>
            <w:tcW w:w="1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(10,320 )</w:t>
            </w:r>
          </w:p>
        </w:tc>
        <w:tc>
          <w:tcPr>
            <w:tcW w:w="5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(5,163 )</w:t>
            </w:r>
          </w:p>
        </w:tc>
        <w:tc>
          <w:tcPr>
            <w:tcW w:w="0" w:type="dxa"/>
            <w:vAlign w:val="bottom"/>
          </w:tcPr>
          <w:p>
            <w:pPr>
              <w:spacing w:after="0"/>
              <w:rPr>
                <w:sz w:val="1"/>
                <w:szCs w:val="1"/>
                <w:color w:val="auto"/>
              </w:rPr>
            </w:pPr>
          </w:p>
        </w:tc>
      </w:tr>
      <w:tr>
        <w:trPr>
          <w:trHeight w:val="20"/>
        </w:trPr>
        <w:tc>
          <w:tcPr>
            <w:tcW w:w="44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60" w:type="dxa"/>
            <w:vAlign w:val="bottom"/>
          </w:tcPr>
          <w:p>
            <w:pPr>
              <w:ind w:left="280"/>
              <w:spacing w:after="0"/>
              <w:rPr>
                <w:sz w:val="20"/>
                <w:szCs w:val="20"/>
                <w:color w:val="auto"/>
              </w:rPr>
            </w:pPr>
            <w:r>
              <w:rPr>
                <w:rFonts w:ascii="Arial" w:cs="Arial" w:eastAsia="Arial" w:hAnsi="Arial"/>
                <w:sz w:val="18"/>
                <w:szCs w:val="18"/>
                <w:color w:val="auto"/>
              </w:rPr>
              <w:t>Total net loss attributable to common stockholders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(16,553 )</w:t>
            </w:r>
          </w:p>
        </w:tc>
        <w:tc>
          <w:tcPr>
            <w:tcW w:w="7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(12,264 )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90"/>
              <w:spacing w:after="0"/>
              <w:rPr>
                <w:sz w:val="20"/>
                <w:szCs w:val="20"/>
                <w:color w:val="auto"/>
              </w:rPr>
            </w:pPr>
            <w:r>
              <w:rPr>
                <w:rFonts w:ascii="Arial" w:cs="Arial" w:eastAsia="Arial" w:hAnsi="Arial"/>
                <w:sz w:val="18"/>
                <w:szCs w:val="18"/>
                <w:color w:val="auto"/>
              </w:rPr>
              <w:t>(36,565 )</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(22,765 )</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3712210</wp:posOffset>
            </wp:positionH>
            <wp:positionV relativeFrom="paragraph">
              <wp:posOffset>-889635</wp:posOffset>
            </wp:positionV>
            <wp:extent cx="768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4851400</wp:posOffset>
            </wp:positionH>
            <wp:positionV relativeFrom="paragraph">
              <wp:posOffset>-889635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-889635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-889635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3712210</wp:posOffset>
            </wp:positionH>
            <wp:positionV relativeFrom="paragraph">
              <wp:posOffset>-170815</wp:posOffset>
            </wp:positionV>
            <wp:extent cx="7683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4851400</wp:posOffset>
            </wp:positionH>
            <wp:positionV relativeFrom="paragraph">
              <wp:posOffset>-170815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-170815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8" w:right="339" w:bottom="1440" w:gutter="0" w:footer="0" w:header="0"/>
        </w:sectPr>
      </w:pPr>
    </w:p>
    <w:bookmarkStart w:id="14" w:name="page15"/>
    <w:bookmarkEnd w:id="14"/>
    <w:p>
      <w:pPr>
        <w:jc w:val="center"/>
        <w:ind w:right="40"/>
        <w:spacing w:after="0"/>
        <w:rPr>
          <w:sz w:val="20"/>
          <w:szCs w:val="20"/>
          <w:color w:val="auto"/>
        </w:rPr>
      </w:pPr>
      <w:r>
        <w:rPr>
          <w:rFonts w:ascii="Arial" w:cs="Arial" w:eastAsia="Arial" w:hAnsi="Arial"/>
          <w:sz w:val="20"/>
          <w:szCs w:val="20"/>
          <w:b w:val="1"/>
          <w:bCs w:val="1"/>
          <w:color w:val="auto"/>
        </w:rPr>
        <w:t>Xometry, Inc. and Subsidiaries</w:t>
      </w:r>
    </w:p>
    <w:p>
      <w:pPr>
        <w:spacing w:after="0" w:line="19"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Unaudited Supplemental Information</w:t>
      </w:r>
    </w:p>
    <w:p>
      <w:pPr>
        <w:jc w:val="center"/>
        <w:spacing w:after="0"/>
        <w:rPr>
          <w:sz w:val="20"/>
          <w:szCs w:val="20"/>
          <w:color w:val="auto"/>
        </w:rPr>
      </w:pPr>
      <w:r>
        <w:rPr>
          <w:rFonts w:ascii="Arial" w:cs="Arial" w:eastAsia="Arial" w:hAnsi="Arial"/>
          <w:sz w:val="20"/>
          <w:szCs w:val="20"/>
          <w:color w:val="auto"/>
        </w:rPr>
        <w:t>(In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20" w:type="dxa"/>
            <w:vAlign w:val="bottom"/>
            <w:gridSpan w:val="3"/>
          </w:tcPr>
          <w:p>
            <w:pPr>
              <w:jc w:val="center"/>
              <w:ind w:left="130"/>
              <w:spacing w:after="0"/>
              <w:rPr>
                <w:sz w:val="20"/>
                <w:szCs w:val="20"/>
                <w:color w:val="auto"/>
              </w:rPr>
            </w:pPr>
            <w:r>
              <w:rPr>
                <w:rFonts w:ascii="Arial" w:cs="Arial" w:eastAsia="Arial" w:hAnsi="Arial"/>
                <w:sz w:val="18"/>
                <w:szCs w:val="18"/>
                <w:b w:val="1"/>
                <w:bCs w:val="1"/>
                <w:color w:val="auto"/>
                <w:w w:val="99"/>
              </w:rPr>
              <w:t>For the Three Months</w:t>
            </w: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40" w:type="dxa"/>
            <w:vAlign w:val="bottom"/>
            <w:gridSpan w:val="4"/>
          </w:tcPr>
          <w:p>
            <w:pPr>
              <w:jc w:val="center"/>
              <w:ind w:right="170"/>
              <w:spacing w:after="0"/>
              <w:rPr>
                <w:sz w:val="20"/>
                <w:szCs w:val="20"/>
                <w:color w:val="auto"/>
              </w:rPr>
            </w:pPr>
            <w:r>
              <w:rPr>
                <w:rFonts w:ascii="Arial" w:cs="Arial" w:eastAsia="Arial" w:hAnsi="Arial"/>
                <w:sz w:val="18"/>
                <w:szCs w:val="18"/>
                <w:b w:val="1"/>
                <w:bCs w:val="1"/>
                <w:color w:val="auto"/>
                <w:w w:val="99"/>
              </w:rPr>
              <w:t>For the Six Months</w:t>
            </w:r>
          </w:p>
        </w:tc>
        <w:tc>
          <w:tcPr>
            <w:tcW w:w="100" w:type="dxa"/>
            <w:vAlign w:val="bottom"/>
          </w:tcPr>
          <w:p>
            <w:pPr>
              <w:spacing w:after="0"/>
              <w:rPr>
                <w:sz w:val="17"/>
                <w:szCs w:val="17"/>
                <w:color w:val="auto"/>
              </w:rPr>
            </w:pPr>
          </w:p>
        </w:tc>
      </w:tr>
      <w:tr>
        <w:trPr>
          <w:trHeight w:val="235"/>
        </w:trPr>
        <w:tc>
          <w:tcPr>
            <w:tcW w:w="50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3"/>
          </w:tcPr>
          <w:p>
            <w:pPr>
              <w:jc w:val="center"/>
              <w:ind w:left="130"/>
              <w:spacing w:after="0"/>
              <w:rPr>
                <w:sz w:val="20"/>
                <w:szCs w:val="20"/>
                <w:color w:val="auto"/>
              </w:rPr>
            </w:pPr>
            <w:r>
              <w:rPr>
                <w:rFonts w:ascii="Arial" w:cs="Arial" w:eastAsia="Arial" w:hAnsi="Arial"/>
                <w:sz w:val="18"/>
                <w:szCs w:val="18"/>
                <w:b w:val="1"/>
                <w:bCs w:val="1"/>
                <w:color w:val="auto"/>
                <w:w w:val="99"/>
              </w:rPr>
              <w:t>Ended June 30,</w:t>
            </w:r>
          </w:p>
        </w:tc>
        <w:tc>
          <w:tcPr>
            <w:tcW w:w="5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4"/>
          </w:tcPr>
          <w:p>
            <w:pPr>
              <w:jc w:val="center"/>
              <w:ind w:right="190"/>
              <w:spacing w:after="0"/>
              <w:rPr>
                <w:sz w:val="20"/>
                <w:szCs w:val="20"/>
                <w:color w:val="auto"/>
              </w:rPr>
            </w:pPr>
            <w:r>
              <w:rPr>
                <w:rFonts w:ascii="Arial" w:cs="Arial" w:eastAsia="Arial" w:hAnsi="Arial"/>
                <w:sz w:val="18"/>
                <w:szCs w:val="18"/>
                <w:b w:val="1"/>
                <w:bCs w:val="1"/>
                <w:color w:val="auto"/>
                <w:w w:val="99"/>
              </w:rPr>
              <w:t>Ended June 30,</w:t>
            </w:r>
          </w:p>
        </w:tc>
        <w:tc>
          <w:tcPr>
            <w:tcW w:w="100" w:type="dxa"/>
            <w:vAlign w:val="bottom"/>
          </w:tcPr>
          <w:p>
            <w:pPr>
              <w:spacing w:after="0"/>
              <w:rPr>
                <w:sz w:val="20"/>
                <w:szCs w:val="20"/>
                <w:color w:val="auto"/>
              </w:rPr>
            </w:pPr>
          </w:p>
        </w:tc>
      </w:tr>
      <w:tr>
        <w:trPr>
          <w:trHeight w:val="209"/>
        </w:trPr>
        <w:tc>
          <w:tcPr>
            <w:tcW w:w="50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Pr>
          <w:p>
            <w:pPr>
              <w:spacing w:after="0"/>
              <w:rPr>
                <w:sz w:val="18"/>
                <w:szCs w:val="18"/>
                <w:color w:val="auto"/>
              </w:rPr>
            </w:pPr>
          </w:p>
        </w:tc>
      </w:tr>
      <w:tr>
        <w:trPr>
          <w:trHeight w:val="209"/>
        </w:trPr>
        <w:tc>
          <w:tcPr>
            <w:tcW w:w="50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Summary of Stock-based Compensation Expense</w:t>
            </w:r>
          </w:p>
        </w:tc>
        <w:tc>
          <w:tcPr>
            <w:tcW w:w="260" w:type="dxa"/>
            <w:vAlign w:val="bottom"/>
            <w:shd w:val="clear" w:color="auto" w:fill="CFF0FC"/>
          </w:tcPr>
          <w:p>
            <w:pPr>
              <w:spacing w:after="0"/>
              <w:rPr>
                <w:sz w:val="18"/>
                <w:szCs w:val="18"/>
                <w:color w:val="auto"/>
              </w:rPr>
            </w:pPr>
          </w:p>
        </w:tc>
        <w:tc>
          <w:tcPr>
            <w:tcW w:w="2220" w:type="dxa"/>
            <w:vAlign w:val="bottom"/>
            <w:gridSpan w:val="3"/>
            <w:shd w:val="clear" w:color="auto" w:fill="CFF0FC"/>
          </w:tcPr>
          <w:p>
            <w:pPr>
              <w:jc w:val="center"/>
              <w:ind w:left="130"/>
              <w:spacing w:after="0"/>
              <w:rPr>
                <w:sz w:val="20"/>
                <w:szCs w:val="20"/>
                <w:color w:val="auto"/>
              </w:rPr>
            </w:pPr>
            <w:r>
              <w:rPr>
                <w:rFonts w:ascii="Arial" w:cs="Arial" w:eastAsia="Arial" w:hAnsi="Arial"/>
                <w:sz w:val="18"/>
                <w:szCs w:val="18"/>
                <w:b w:val="1"/>
                <w:bCs w:val="1"/>
                <w:color w:val="auto"/>
                <w:w w:val="97"/>
              </w:rPr>
              <w:t>(unaudited)</w:t>
            </w:r>
          </w:p>
        </w:tc>
        <w:tc>
          <w:tcPr>
            <w:tcW w:w="5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00" w:type="dxa"/>
            <w:vAlign w:val="bottom"/>
            <w:gridSpan w:val="3"/>
            <w:shd w:val="clear" w:color="auto" w:fill="CFF0FC"/>
          </w:tcPr>
          <w:p>
            <w:pPr>
              <w:jc w:val="center"/>
              <w:ind w:left="590"/>
              <w:spacing w:after="0"/>
              <w:rPr>
                <w:sz w:val="20"/>
                <w:szCs w:val="20"/>
                <w:color w:val="auto"/>
              </w:rPr>
            </w:pPr>
            <w:r>
              <w:rPr>
                <w:rFonts w:ascii="Arial" w:cs="Arial" w:eastAsia="Arial" w:hAnsi="Arial"/>
                <w:sz w:val="18"/>
                <w:szCs w:val="18"/>
                <w:b w:val="1"/>
                <w:bCs w:val="1"/>
                <w:color w:val="auto"/>
                <w:w w:val="99"/>
              </w:rPr>
              <w:t>(unaudited)</w:t>
            </w: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02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1,300</w:t>
            </w:r>
          </w:p>
        </w:tc>
        <w:tc>
          <w:tcPr>
            <w:tcW w:w="122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302</w:t>
            </w:r>
          </w:p>
        </w:tc>
        <w:tc>
          <w:tcPr>
            <w:tcW w:w="5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1,936</w:t>
            </w:r>
          </w:p>
        </w:tc>
        <w:tc>
          <w:tcPr>
            <w:tcW w:w="72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18"/>
                <w:szCs w:val="18"/>
                <w:color w:val="auto"/>
              </w:rPr>
            </w:pPr>
          </w:p>
        </w:tc>
      </w:tr>
      <w:tr>
        <w:trPr>
          <w:trHeight w:val="216"/>
        </w:trPr>
        <w:tc>
          <w:tcPr>
            <w:tcW w:w="5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Operations and support</w:t>
            </w: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1,741</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590</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3,164</w:t>
            </w:r>
          </w:p>
        </w:tc>
        <w:tc>
          <w:tcPr>
            <w:tcW w:w="2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694</w:t>
            </w:r>
          </w:p>
        </w:tc>
        <w:tc>
          <w:tcPr>
            <w:tcW w:w="100" w:type="dxa"/>
            <w:vAlign w:val="bottom"/>
            <w:shd w:val="clear" w:color="auto" w:fill="CFF0FC"/>
          </w:tcPr>
          <w:p>
            <w:pPr>
              <w:spacing w:after="0"/>
              <w:rPr>
                <w:sz w:val="18"/>
                <w:szCs w:val="18"/>
                <w:color w:val="auto"/>
              </w:rPr>
            </w:pPr>
          </w:p>
        </w:tc>
      </w:tr>
      <w:tr>
        <w:trPr>
          <w:trHeight w:val="216"/>
        </w:trPr>
        <w:tc>
          <w:tcPr>
            <w:tcW w:w="5020" w:type="dxa"/>
            <w:vAlign w:val="bottom"/>
          </w:tcPr>
          <w:p>
            <w:pPr>
              <w:ind w:left="20"/>
              <w:spacing w:after="0"/>
              <w:rPr>
                <w:sz w:val="20"/>
                <w:szCs w:val="20"/>
                <w:color w:val="auto"/>
              </w:rPr>
            </w:pPr>
            <w:r>
              <w:rPr>
                <w:rFonts w:ascii="Arial" w:cs="Arial" w:eastAsia="Arial" w:hAnsi="Arial"/>
                <w:sz w:val="18"/>
                <w:szCs w:val="18"/>
                <w:color w:val="auto"/>
              </w:rPr>
              <w:t>Product development</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1,128</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416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18"/>
                <w:szCs w:val="18"/>
                <w:color w:val="auto"/>
              </w:rPr>
            </w:pPr>
          </w:p>
        </w:tc>
      </w:tr>
      <w:tr>
        <w:trPr>
          <w:trHeight w:val="216"/>
        </w:trPr>
        <w:tc>
          <w:tcPr>
            <w:tcW w:w="5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1,310</w:t>
            </w:r>
          </w:p>
        </w:tc>
        <w:tc>
          <w:tcPr>
            <w:tcW w:w="26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667</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1,813</w:t>
            </w:r>
          </w:p>
        </w:tc>
        <w:tc>
          <w:tcPr>
            <w:tcW w:w="22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020" w:type="dxa"/>
            <w:vAlign w:val="bottom"/>
          </w:tcPr>
          <w:p>
            <w:pPr>
              <w:ind w:left="20"/>
              <w:spacing w:after="0"/>
              <w:rPr>
                <w:sz w:val="20"/>
                <w:szCs w:val="20"/>
                <w:color w:val="auto"/>
              </w:rPr>
            </w:pPr>
            <w:r>
              <w:rPr>
                <w:rFonts w:ascii="Arial" w:cs="Arial" w:eastAsia="Arial" w:hAnsi="Arial"/>
                <w:sz w:val="18"/>
                <w:szCs w:val="18"/>
                <w:color w:val="auto"/>
              </w:rPr>
              <w:t>Total stock-based compensation expense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5,479</w:t>
            </w:r>
          </w:p>
        </w:tc>
        <w:tc>
          <w:tcPr>
            <w:tcW w:w="122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1,975</w:t>
            </w:r>
          </w:p>
        </w:tc>
        <w:tc>
          <w:tcPr>
            <w:tcW w:w="5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8,935</w:t>
            </w:r>
          </w:p>
        </w:tc>
        <w:tc>
          <w:tcPr>
            <w:tcW w:w="72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2,480</w:t>
            </w:r>
          </w:p>
        </w:tc>
        <w:tc>
          <w:tcPr>
            <w:tcW w:w="100" w:type="dxa"/>
            <w:vAlign w:val="bottom"/>
          </w:tcPr>
          <w:p>
            <w:pPr>
              <w:spacing w:after="0"/>
              <w:rPr>
                <w:sz w:val="18"/>
                <w:szCs w:val="18"/>
                <w:color w:val="auto"/>
              </w:rPr>
            </w:pPr>
          </w:p>
        </w:tc>
      </w:tr>
      <w:tr>
        <w:trPr>
          <w:trHeight w:val="20"/>
        </w:trPr>
        <w:tc>
          <w:tcPr>
            <w:tcW w:w="50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0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Summary of Depreciation and Amortization Expense</w:t>
            </w: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02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w:t>
            </w:r>
          </w:p>
        </w:tc>
        <w:tc>
          <w:tcPr>
            <w:tcW w:w="122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12</w:t>
            </w:r>
          </w:p>
        </w:tc>
        <w:tc>
          <w:tcPr>
            <w:tcW w:w="5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58</w:t>
            </w:r>
          </w:p>
        </w:tc>
        <w:tc>
          <w:tcPr>
            <w:tcW w:w="72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r>
      <w:tr>
        <w:trPr>
          <w:trHeight w:val="216"/>
        </w:trPr>
        <w:tc>
          <w:tcPr>
            <w:tcW w:w="5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Sales and marketing</w:t>
            </w: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776</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1,550</w:t>
            </w:r>
          </w:p>
        </w:tc>
        <w:tc>
          <w:tcPr>
            <w:tcW w:w="2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FF0FC"/>
          </w:tcPr>
          <w:p>
            <w:pPr>
              <w:spacing w:after="0"/>
              <w:rPr>
                <w:sz w:val="18"/>
                <w:szCs w:val="18"/>
                <w:color w:val="auto"/>
              </w:rPr>
            </w:pPr>
          </w:p>
        </w:tc>
      </w:tr>
      <w:tr>
        <w:trPr>
          <w:trHeight w:val="216"/>
        </w:trPr>
        <w:tc>
          <w:tcPr>
            <w:tcW w:w="5020" w:type="dxa"/>
            <w:vAlign w:val="bottom"/>
          </w:tcPr>
          <w:p>
            <w:pPr>
              <w:ind w:left="20"/>
              <w:spacing w:after="0"/>
              <w:rPr>
                <w:sz w:val="20"/>
                <w:szCs w:val="20"/>
                <w:color w:val="auto"/>
              </w:rPr>
            </w:pPr>
            <w:r>
              <w:rPr>
                <w:rFonts w:ascii="Arial" w:cs="Arial" w:eastAsia="Arial" w:hAnsi="Arial"/>
                <w:sz w:val="18"/>
                <w:szCs w:val="18"/>
                <w:color w:val="auto"/>
              </w:rPr>
              <w:t>Operations and support</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8"/>
                <w:szCs w:val="18"/>
                <w:color w:val="auto"/>
              </w:rPr>
            </w:pPr>
          </w:p>
        </w:tc>
      </w:tr>
      <w:tr>
        <w:trPr>
          <w:trHeight w:val="216"/>
        </w:trPr>
        <w:tc>
          <w:tcPr>
            <w:tcW w:w="5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Product development</w:t>
            </w: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805</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631</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1,599</w:t>
            </w:r>
          </w:p>
        </w:tc>
        <w:tc>
          <w:tcPr>
            <w:tcW w:w="2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1,240</w:t>
            </w:r>
          </w:p>
        </w:tc>
        <w:tc>
          <w:tcPr>
            <w:tcW w:w="100" w:type="dxa"/>
            <w:vAlign w:val="bottom"/>
            <w:shd w:val="clear" w:color="auto" w:fill="CFF0FC"/>
          </w:tcPr>
          <w:p>
            <w:pPr>
              <w:spacing w:after="0"/>
              <w:rPr>
                <w:sz w:val="18"/>
                <w:szCs w:val="18"/>
                <w:color w:val="auto"/>
              </w:rPr>
            </w:pPr>
          </w:p>
        </w:tc>
      </w:tr>
      <w:tr>
        <w:trPr>
          <w:trHeight w:val="216"/>
        </w:trPr>
        <w:tc>
          <w:tcPr>
            <w:tcW w:w="502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w:t>
            </w:r>
          </w:p>
        </w:tc>
        <w:tc>
          <w:tcPr>
            <w:tcW w:w="26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w:t>
            </w:r>
          </w:p>
        </w:tc>
        <w:tc>
          <w:tcPr>
            <w:tcW w:w="2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r>
      <w:tr>
        <w:trPr>
          <w:trHeight w:val="249"/>
        </w:trPr>
        <w:tc>
          <w:tcPr>
            <w:tcW w:w="5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depreciation and amortization expense</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2,008</w:t>
            </w:r>
          </w:p>
        </w:tc>
        <w:tc>
          <w:tcPr>
            <w:tcW w:w="26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77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753</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3,807</w:t>
            </w:r>
          </w:p>
        </w:tc>
        <w:tc>
          <w:tcPr>
            <w:tcW w:w="22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641"/>
        </w:trPr>
        <w:tc>
          <w:tcPr>
            <w:tcW w:w="5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50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3986530</wp:posOffset>
            </wp:positionH>
            <wp:positionV relativeFrom="paragraph">
              <wp:posOffset>-1797685</wp:posOffset>
            </wp:positionV>
            <wp:extent cx="768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5073650</wp:posOffset>
            </wp:positionH>
            <wp:positionV relativeFrom="paragraph">
              <wp:posOffset>-1797685</wp:posOffset>
            </wp:positionV>
            <wp:extent cx="768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6015990</wp:posOffset>
            </wp:positionH>
            <wp:positionV relativeFrom="paragraph">
              <wp:posOffset>-1797685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-1797685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3986530</wp:posOffset>
            </wp:positionH>
            <wp:positionV relativeFrom="paragraph">
              <wp:posOffset>-521970</wp:posOffset>
            </wp:positionV>
            <wp:extent cx="768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3986530</wp:posOffset>
            </wp:positionH>
            <wp:positionV relativeFrom="paragraph">
              <wp:posOffset>-504825</wp:posOffset>
            </wp:positionV>
            <wp:extent cx="768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5073650</wp:posOffset>
            </wp:positionH>
            <wp:positionV relativeFrom="paragraph">
              <wp:posOffset>-521970</wp:posOffset>
            </wp:positionV>
            <wp:extent cx="7683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5073650</wp:posOffset>
            </wp:positionH>
            <wp:positionV relativeFrom="paragraph">
              <wp:posOffset>-504825</wp:posOffset>
            </wp:positionV>
            <wp:extent cx="768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6015990</wp:posOffset>
            </wp:positionH>
            <wp:positionV relativeFrom="paragraph">
              <wp:posOffset>-521970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6015990</wp:posOffset>
            </wp:positionH>
            <wp:positionV relativeFrom="paragraph">
              <wp:posOffset>-504825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-521970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18" w:right="339" w:bottom="1440" w:gutter="0" w:footer="0" w:header="0"/>
        </w:sectPr>
      </w:pPr>
    </w:p>
    <w:bookmarkStart w:id="15" w:name="page16"/>
    <w:bookmarkEnd w:id="1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decimal"/>
      <w:start w:val="2"/>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2022-08-10T07:47:04Z</dcterms:created>
  <dcterms:modified xsi:type="dcterms:W3CDTF">2022-08-10T07:47:04Z</dcterms:modified>
</cp:coreProperties>
</file>