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Altschuler Randolph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Xometry, Inc.</w:t>
              </w:r>
            </w:hyperlink>
            <w:r>
              <w:rPr/>
              <w:t xml:space="preserve"> [ </w:t>
            </w:r>
            <w:r>
              <w:rPr>
                <w:rFonts w:ascii="Times;serif" w:hAnsi="Times;serif"/>
                <w:color w:val="0000FF"/>
                <w:sz w:val="24"/>
                <w:shd w:fill="FFFFFF" w:val="clear"/>
              </w:rPr>
              <w:t>XMTR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2"/>
        <w:gridCol w:w="913"/>
        <w:gridCol w:w="783"/>
        <w:gridCol w:w="661"/>
        <w:gridCol w:w="287"/>
        <w:gridCol w:w="816"/>
        <w:gridCol w:w="427"/>
        <w:gridCol w:w="984"/>
        <w:gridCol w:w="1253"/>
        <w:gridCol w:w="970"/>
        <w:gridCol w:w="103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10/02/2025</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3,535</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49.2799</w:t>
            </w:r>
            <w:r>
              <w:rPr>
                <w:rFonts w:ascii="Times;serif" w:hAnsi="Times;serif"/>
                <w:color w:val="008000"/>
                <w:position w:val="7"/>
                <w:sz w:val="16"/>
                <w:sz w:val="20"/>
                <w:shd w:fill="FFFFFF" w:val="clear"/>
              </w:rPr>
              <w:t>(3)</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316,067</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10/02/2025</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3,825</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50.6853</w:t>
            </w:r>
            <w:r>
              <w:rPr>
                <w:rFonts w:ascii="Times;serif" w:hAnsi="Times;serif"/>
                <w:color w:val="008000"/>
                <w:position w:val="7"/>
                <w:sz w:val="16"/>
                <w:sz w:val="20"/>
                <w:shd w:fill="FFFFFF" w:val="clear"/>
              </w:rPr>
              <w:t>(4)</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312,242</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10/02/2025</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51.3927</w:t>
            </w:r>
            <w:r>
              <w:rPr>
                <w:rFonts w:ascii="Times;serif" w:hAnsi="Times;serif"/>
                <w:color w:val="008000"/>
                <w:position w:val="7"/>
                <w:sz w:val="16"/>
                <w:sz w:val="20"/>
                <w:shd w:fill="FFFFFF" w:val="clear"/>
              </w:rPr>
              <w:t>(5)</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310,298</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10/02/2025</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52.45</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310,271</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1,475,311</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85,582</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r>
              <w:rPr/>
              <w:t xml:space="preserve"> </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324,533</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r>
              <w:rPr/>
              <w:t xml:space="preserve"> </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324,533</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r>
              <w:rPr/>
              <w:t xml:space="preserve"> </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324,533</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r>
              <w:rPr/>
              <w:t xml:space="preserve"> </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631,270</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(10)</w:t>
            </w:r>
            <w:r>
              <w:rPr/>
              <w:t xml:space="preserve"> </w:t>
            </w:r>
          </w:p>
        </w:tc>
      </w:tr>
      <w:tr>
        <w:trPr/>
        <w:tc>
          <w:tcPr>
            <w:tcW w:w="20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475,248</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(11)</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in this Form 4 was effected automatically pursuant to a Rule 10b5-1 trading plan adopted by the reporting person at least 90 days prior to the trading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 portion of these shares were sold by the reporting person to cover tax withholding obligations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$48.88 to $49.69,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(4) and (5)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$49.99 to $50.98,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$51.08 to $51.80,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Held by the 2021 Tigers Trust, over which the Reporting Person may be deemed to exercise voting control.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Held by the Matthew Sladkin Altschuler 2012 Trust, over which the Reporting Person may be deemed to exercise voting control.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Held by the Sasha Sladkin Altschuler 2012 Trust, over which the Reporting Person may be deemed to exercise voting control.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Held by the Noah Sladkin Altschuler 2012 Trust, over which the Reporting Person may be deemed to exercise voting control.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Held by the Reporting Person's spouse.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Held by the Altschuler Family Trust (2020), over which the Reporting Person may be deemed to exercise voting control.</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69814" TargetMode="External"/><Relationship Id="rId5" Type="http://schemas.openxmlformats.org/officeDocument/2006/relationships/hyperlink" Target="http://www.sec.gov/cgi-bin/browse-edgar?action=getcompany&amp;CIK=00016575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954</Words>
  <Characters>5030</Characters>
  <CharactersWithSpaces>5875</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