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HORNIG GEORGE</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40" w:type="dxa"/>
            <w:vAlign w:val="bottom"/>
            <w:gridSpan w:val="6"/>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Xometry,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XMTR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4"/>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34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0" w:type="dxa"/>
            <w:vAlign w:val="bottom"/>
            <w:gridSpan w:val="4"/>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restart"/>
          </w:tcPr>
          <w:p>
            <w:pPr>
              <w:spacing w:after="0"/>
              <w:rPr>
                <w:sz w:val="7"/>
                <w:szCs w:val="7"/>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8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118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vMerge w:val="continue"/>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17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2880" w:type="dxa"/>
            <w:vAlign w:val="bottom"/>
            <w:gridSpan w:val="7"/>
            <w:vMerge w:val="continue"/>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XOMETRY, INC.</w:t>
            </w: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07/05/2022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7529 STANDISH PLACE, SUITE 200</w:t>
            </w:r>
          </w:p>
        </w:tc>
        <w:tc>
          <w:tcPr>
            <w:tcW w:w="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8"/>
            <w:vMerge w:val="continue"/>
          </w:tcPr>
          <w:p>
            <w:pPr>
              <w:spacing w:after="0"/>
              <w:rPr>
                <w:sz w:val="9"/>
                <w:szCs w:val="9"/>
                <w:color w:val="auto"/>
              </w:rPr>
            </w:pPr>
          </w:p>
        </w:tc>
        <w:tc>
          <w:tcPr>
            <w:tcW w:w="80" w:type="dxa"/>
            <w:vAlign w:val="bottom"/>
          </w:tcPr>
          <w:p>
            <w:pPr>
              <w:spacing w:after="0"/>
              <w:rPr>
                <w:sz w:val="9"/>
                <w:szCs w:val="9"/>
                <w:color w:val="auto"/>
              </w:rPr>
            </w:pPr>
          </w:p>
        </w:tc>
        <w:tc>
          <w:tcPr>
            <w:tcW w:w="33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6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380" w:type="dxa"/>
            <w:vAlign w:val="bottom"/>
            <w:gridSpan w:val="8"/>
            <w:vMerge w:val="continue"/>
          </w:tcPr>
          <w:p>
            <w:pPr>
              <w:spacing w:after="0"/>
              <w:rPr>
                <w:sz w:val="7"/>
                <w:szCs w:val="7"/>
                <w:color w:val="auto"/>
              </w:rPr>
            </w:pPr>
          </w:p>
        </w:tc>
        <w:tc>
          <w:tcPr>
            <w:tcW w:w="36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vMerge w:val="restart"/>
          </w:tcPr>
          <w:p>
            <w:pPr>
              <w:spacing w:after="0"/>
              <w:rPr>
                <w:sz w:val="6"/>
                <w:szCs w:val="6"/>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760" w:type="dxa"/>
            <w:vAlign w:val="bottom"/>
            <w:gridSpan w:val="4"/>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DERWOOD</w:t>
            </w: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20855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ind w:left="100"/>
              <w:spacing w:after="0" w:line="146"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500" w:type="dxa"/>
            <w:vAlign w:val="bottom"/>
            <w:tcBorders>
              <w:bottom w:val="single" w:sz="8" w:color="2C2C2C"/>
            </w:tcBorders>
            <w:gridSpan w:val="6"/>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20"/>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300" w:type="dxa"/>
            <w:vAlign w:val="bottom"/>
            <w:gridSpan w:val="4"/>
          </w:tcPr>
          <w:p>
            <w:pPr>
              <w:ind w:left="2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180" w:type="dxa"/>
            <w:vAlign w:val="bottom"/>
            <w:gridSpan w:val="5"/>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gridSpan w:val="4"/>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6"/>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1,548</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32.7706</w:t>
            </w:r>
            <w:r>
              <w:rPr>
                <w:rFonts w:ascii="Times New Roman" w:cs="Times New Roman" w:eastAsia="Times New Roman" w:hAnsi="Times New Roman"/>
                <w:sz w:val="22"/>
                <w:szCs w:val="22"/>
                <w:color w:val="008000"/>
                <w:vertAlign w:val="superscript"/>
              </w:rPr>
              <w:t>(2)</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123,303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07/05/2022</w:t>
            </w:r>
          </w:p>
        </w:tc>
        <w:tc>
          <w:tcPr>
            <w:tcW w:w="6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8,452</w:t>
            </w:r>
          </w:p>
        </w:tc>
        <w:tc>
          <w:tcPr>
            <w:tcW w:w="500" w:type="dxa"/>
            <w:vAlign w:val="bottom"/>
            <w:tcBorders>
              <w:bottom w:val="single" w:sz="8" w:color="2C2C2C"/>
            </w:tcBorders>
          </w:tcPr>
          <w:p>
            <w:pPr>
              <w:jc w:val="center"/>
              <w:ind w:right="56"/>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4"/>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33.8355</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114,851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4"/>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4"/>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4"/>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30 days prior to the trading date.</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$32.345 to $33.19, inclusive. The reporting person undertakes to provide to Xometry, Inc., any security holder of Xometry, Inc. or the staff of the Securities and Exchange Commission, upon request, full information regarding the number of shares sold at each separate price within the ranges set forth in footnotes (2) and (3)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$33.37 to $34.21, inclusive.</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07/05/2022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75810"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2022-07-05T16:28:19Z</dcterms:created>
  <dcterms:modified xsi:type="dcterms:W3CDTF">2022-07-05T16:28:19Z</dcterms:modified>
</cp:coreProperties>
</file>