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00" w:type="dxa"/>
            <w:vAlign w:val="bottom"/>
          </w:tcPr>
          <w:p>
            <w:pPr>
              <w:ind w:left="8120"/>
              <w:spacing w:after="0"/>
              <w:rPr>
                <w:sz w:val="20"/>
                <w:szCs w:val="20"/>
                <w:color w:val="auto"/>
              </w:rPr>
            </w:pPr>
            <w:r>
              <w:rPr>
                <w:rFonts w:ascii="Times New Roman" w:cs="Times New Roman" w:eastAsia="Times New Roman" w:hAnsi="Times New Roman"/>
                <w:sz w:val="18"/>
                <w:szCs w:val="18"/>
                <w:b w:val="1"/>
                <w:bCs w:val="1"/>
                <w:color w:val="auto"/>
                <w:w w:val="99"/>
              </w:rPr>
              <w:t>Registration No. 333-296394</w:t>
            </w:r>
          </w:p>
        </w:tc>
        <w:tc>
          <w:tcPr>
            <w:tcW w:w="0" w:type="dxa"/>
            <w:vAlign w:val="bottom"/>
          </w:tcPr>
          <w:p>
            <w:pPr>
              <w:spacing w:after="0"/>
              <w:rPr>
                <w:sz w:val="1"/>
                <w:szCs w:val="1"/>
                <w:color w:val="auto"/>
              </w:rPr>
            </w:pPr>
          </w:p>
        </w:tc>
      </w:tr>
      <w:tr>
        <w:trPr>
          <w:trHeight w:val="491"/>
        </w:trPr>
        <w:tc>
          <w:tcPr>
            <w:tcW w:w="180" w:type="dxa"/>
            <w:vAlign w:val="bottom"/>
            <w:vMerge w:val="restart"/>
            <w:textDirection w:val="btLr"/>
          </w:tcPr>
          <w:p>
            <w:pPr>
              <w:ind w:left="88"/>
              <w:spacing w:after="0"/>
              <w:rPr>
                <w:sz w:val="20"/>
                <w:szCs w:val="20"/>
                <w:color w:val="auto"/>
              </w:rPr>
            </w:pPr>
            <w:r>
              <w:rPr>
                <w:rFonts w:ascii="Times New Roman" w:cs="Times New Roman" w:eastAsia="Times New Roman" w:hAnsi="Times New Roman"/>
                <w:sz w:val="8"/>
                <w:szCs w:val="8"/>
                <w:b w:val="1"/>
                <w:bCs w:val="1"/>
                <w:color w:val="FF4338"/>
                <w:w w:val="76"/>
              </w:rPr>
              <w:t>relatingtothesesecuritieshas</w:t>
            </w:r>
          </w:p>
        </w:tc>
        <w:tc>
          <w:tcPr>
            <w:tcW w:w="220" w:type="dxa"/>
            <w:vAlign w:val="bottom"/>
            <w:vMerge w:val="restart"/>
            <w:textDirection w:val="btLr"/>
          </w:tcPr>
          <w:p>
            <w:pPr>
              <w:ind w:left="105"/>
              <w:spacing w:after="0"/>
              <w:rPr>
                <w:sz w:val="20"/>
                <w:szCs w:val="20"/>
                <w:color w:val="auto"/>
              </w:rPr>
            </w:pPr>
            <w:r>
              <w:rPr>
                <w:rFonts w:ascii="Times New Roman" w:cs="Times New Roman" w:eastAsia="Times New Roman" w:hAnsi="Times New Roman"/>
                <w:sz w:val="10"/>
                <w:szCs w:val="10"/>
                <w:b w:val="1"/>
                <w:bCs w:val="1"/>
                <w:color w:val="FF4338"/>
                <w:w w:val="70"/>
              </w:rPr>
              <w:t>accompanyingprospectusare</w:t>
            </w:r>
          </w:p>
        </w:tc>
        <w:tc>
          <w:tcPr>
            <w:tcW w:w="320" w:type="dxa"/>
            <w:vAlign w:val="bottom"/>
            <w:vMerge w:val="restart"/>
            <w:textDirection w:val="btLr"/>
          </w:tcPr>
          <w:p>
            <w:pPr>
              <w:ind w:left="129"/>
              <w:spacing w:after="0"/>
              <w:rPr>
                <w:sz w:val="20"/>
                <w:szCs w:val="20"/>
                <w:color w:val="auto"/>
              </w:rPr>
            </w:pPr>
            <w:r>
              <w:rPr>
                <w:rFonts w:ascii="Times New Roman" w:cs="Times New Roman" w:eastAsia="Times New Roman" w:hAnsi="Times New Roman"/>
                <w:sz w:val="10"/>
                <w:szCs w:val="10"/>
                <w:b w:val="1"/>
                <w:bCs w:val="1"/>
                <w:color w:val="FF4338"/>
                <w:w w:val="71"/>
              </w:rPr>
              <w:t>offerorsaleisnotpermitted.</w:t>
            </w:r>
          </w:p>
        </w:tc>
        <w:tc>
          <w:tcPr>
            <w:tcW w:w="10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FF4338"/>
              </w:rPr>
              <w:t>Subject to completion, dated June 1, 2026</w:t>
            </w:r>
          </w:p>
        </w:tc>
        <w:tc>
          <w:tcPr>
            <w:tcW w:w="0" w:type="dxa"/>
            <w:vAlign w:val="bottom"/>
          </w:tcPr>
          <w:p>
            <w:pPr>
              <w:spacing w:after="0"/>
              <w:rPr>
                <w:sz w:val="1"/>
                <w:szCs w:val="1"/>
                <w:color w:val="auto"/>
              </w:rPr>
            </w:pPr>
          </w:p>
        </w:tc>
      </w:tr>
      <w:tr>
        <w:trPr>
          <w:trHeight w:val="378"/>
        </w:trPr>
        <w:tc>
          <w:tcPr>
            <w:tcW w:w="1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10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Preliminary Prospectus Supplement (To Prospectus dated June 1, 2026)</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00" w:type="dxa"/>
            <w:vAlign w:val="bottom"/>
          </w:tcPr>
          <w:p>
            <w:pPr>
              <w:jc w:val="right"/>
              <w:ind w:right="4617"/>
              <w:spacing w:after="0"/>
              <w:rPr>
                <w:sz w:val="20"/>
                <w:szCs w:val="20"/>
                <w:color w:val="auto"/>
              </w:rPr>
            </w:pPr>
            <w:r>
              <w:rPr>
                <w:rFonts w:ascii="Times New Roman" w:cs="Times New Roman" w:eastAsia="Times New Roman" w:hAnsi="Times New Roman"/>
                <w:sz w:val="29"/>
                <w:szCs w:val="29"/>
                <w:b w:val="1"/>
                <w:bCs w:val="1"/>
                <w:color w:val="auto"/>
              </w:rPr>
              <w:t>$225,000,000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149860</wp:posOffset>
            </wp:positionV>
            <wp:extent cx="14573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120" w:type="dxa"/>
        <w:tblCellMar>
          <w:top w:w="0" w:type="dxa"/>
          <w:left w:w="0" w:type="dxa"/>
          <w:bottom w:w="0" w:type="dxa"/>
          <w:right w:w="0" w:type="dxa"/>
        </w:tblCellMar>
      </w:tblPr>
      <w:tr>
        <w:trPr>
          <w:trHeight w:val="575"/>
        </w:trPr>
        <w:tc>
          <w:tcPr>
            <w:tcW w:w="180" w:type="dxa"/>
            <w:vAlign w:val="bottom"/>
            <w:vMerge w:val="restart"/>
            <w:textDirection w:val="btLr"/>
          </w:tcPr>
          <w:p>
            <w:pPr>
              <w:ind w:left="157"/>
              <w:spacing w:after="0"/>
              <w:rPr>
                <w:sz w:val="20"/>
                <w:szCs w:val="20"/>
                <w:color w:val="auto"/>
              </w:rPr>
            </w:pPr>
            <w:r>
              <w:rPr>
                <w:rFonts w:ascii="Times New Roman" w:cs="Times New Roman" w:eastAsia="Times New Roman" w:hAnsi="Times New Roman"/>
                <w:sz w:val="2"/>
                <w:szCs w:val="2"/>
                <w:b w:val="1"/>
                <w:bCs w:val="1"/>
                <w:color w:val="FF4338"/>
                <w:w w:val="96"/>
              </w:rPr>
              <w:t>Theinformationinthispreliminaryprospectussupplementisnotcompleteandmaybechanged.Aregistrationstatement</w:t>
            </w:r>
          </w:p>
        </w:tc>
        <w:tc>
          <w:tcPr>
            <w:tcW w:w="22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2"/>
                <w:szCs w:val="2"/>
                <w:b w:val="1"/>
                <w:bCs w:val="1"/>
                <w:color w:val="FF4338"/>
              </w:rPr>
              <w:t>beenfiledwiththeSecuritiesandExchangeCommissionandiseffective.Thispreliminaryprospectussupplementandthe</w:t>
            </w:r>
          </w:p>
        </w:tc>
        <w:tc>
          <w:tcPr>
            <w:tcW w:w="320" w:type="dxa"/>
            <w:vAlign w:val="bottom"/>
            <w:vMerge w:val="restart"/>
            <w:textDirection w:val="btLr"/>
          </w:tcPr>
          <w:p>
            <w:pPr>
              <w:ind w:left="221"/>
              <w:spacing w:after="0"/>
              <w:rPr>
                <w:sz w:val="20"/>
                <w:szCs w:val="20"/>
                <w:color w:val="auto"/>
              </w:rPr>
            </w:pPr>
            <w:r>
              <w:rPr>
                <w:rFonts w:ascii="Times New Roman" w:cs="Times New Roman" w:eastAsia="Times New Roman" w:hAnsi="Times New Roman"/>
                <w:sz w:val="2"/>
                <w:szCs w:val="2"/>
                <w:b w:val="1"/>
                <w:bCs w:val="1"/>
                <w:color w:val="FF4338"/>
                <w:w w:val="97"/>
              </w:rPr>
              <w:t>notanoffertosellthesesecurities,andtheyarenotsolicitinganoffertobuythesesecuritiesinanyjurisdictionwherethe</w:t>
            </w:r>
          </w:p>
        </w:tc>
        <w:tc>
          <w:tcPr>
            <w:tcW w:w="1260" w:type="dxa"/>
            <w:vAlign w:val="bottom"/>
          </w:tcPr>
          <w:p>
            <w:pPr>
              <w:spacing w:after="0"/>
              <w:rPr>
                <w:sz w:val="24"/>
                <w:szCs w:val="24"/>
                <w:color w:val="auto"/>
              </w:rPr>
            </w:pPr>
          </w:p>
        </w:tc>
        <w:tc>
          <w:tcPr>
            <w:tcW w:w="6300" w:type="dxa"/>
            <w:vAlign w:val="bottom"/>
            <w:gridSpan w:val="5"/>
          </w:tcPr>
          <w:p>
            <w:pPr>
              <w:jc w:val="center"/>
              <w:ind w:left="627"/>
              <w:spacing w:after="0"/>
              <w:rPr>
                <w:sz w:val="20"/>
                <w:szCs w:val="20"/>
                <w:color w:val="auto"/>
              </w:rPr>
            </w:pPr>
            <w:r>
              <w:rPr>
                <w:rFonts w:ascii="Times New Roman" w:cs="Times New Roman" w:eastAsia="Times New Roman" w:hAnsi="Times New Roman"/>
                <w:sz w:val="43"/>
                <w:szCs w:val="43"/>
                <w:b w:val="1"/>
                <w:bCs w:val="1"/>
                <w:color w:val="auto"/>
                <w:w w:val="99"/>
              </w:rPr>
              <w:t>Xometry, Inc.</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6300" w:type="dxa"/>
            <w:vAlign w:val="bottom"/>
            <w:gridSpan w:val="5"/>
            <w:vMerge w:val="restart"/>
          </w:tcPr>
          <w:p>
            <w:pPr>
              <w:jc w:val="center"/>
              <w:ind w:left="627"/>
              <w:spacing w:after="0"/>
              <w:rPr>
                <w:sz w:val="20"/>
                <w:szCs w:val="20"/>
                <w:color w:val="auto"/>
              </w:rPr>
            </w:pPr>
            <w:r>
              <w:rPr>
                <w:rFonts w:ascii="Times New Roman" w:cs="Times New Roman" w:eastAsia="Times New Roman" w:hAnsi="Times New Roman"/>
                <w:sz w:val="25"/>
                <w:szCs w:val="25"/>
                <w:b w:val="1"/>
                <w:bCs w:val="1"/>
                <w:color w:val="auto"/>
                <w:w w:val="99"/>
              </w:rPr>
              <w:t>Class A Common Stock</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300" w:type="dxa"/>
            <w:vAlign w:val="bottom"/>
            <w:gridSpan w:val="5"/>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We are offering $225,000,000 of shares of our Class A common stock.</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“XMTR.” On May 29, 2026,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the last reported sale price of our Class A common stock on the Nasdaq Global Select Market was $95.29 per share. The final</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public offering price will be determined through negotiation between us and the lead underwriters in the offering and the recent</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market price used throughout this prospectus supplement may not be indicative of the actual offering price.</w:t>
            </w: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Xometry, Inc., before expenses</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(1)  See “Underwriting” for a description of the compensation payable to the underwriters.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$33,750,000 of shares of Class A common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stock from us at the public offering price, less underwriting discounts and commissions, within 30 days from the date of this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prospectus supplement. See “Underwriting” for more information.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9"/>
          </w:tcPr>
          <w:p>
            <w:pPr>
              <w:ind w:left="520"/>
              <w:spacing w:after="0"/>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See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9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beginning on page S-4 of this prospectus supplement.</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2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of these securities or determined if this prospectus supplement or the accompanying prospectus is truthful or complete.</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Any representation to the contrary is a criminal offense.</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The underwriters expect to deliver the shares to purchasers on or about </w:t>
            </w:r>
            <w:r>
              <w:rPr>
                <w:rFonts w:ascii="Times New Roman" w:cs="Times New Roman" w:eastAsia="Times New Roman" w:hAnsi="Times New Roman"/>
                <w:sz w:val="18"/>
                <w:szCs w:val="18"/>
                <w:b w:val="1"/>
                <w:bCs w:val="1"/>
                <w:i w:val="1"/>
                <w:iCs w:val="1"/>
                <w:color w:val="auto"/>
              </w:rPr>
              <w:t xml:space="preserve">    </w:t>
            </w: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2026.</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20" w:type="dxa"/>
            <w:vAlign w:val="bottom"/>
          </w:tcPr>
          <w:p>
            <w:pPr>
              <w:jc w:val="center"/>
              <w:ind w:left="2207"/>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2"/>
          </w:tcPr>
          <w:p>
            <w:pPr>
              <w:ind w:left="140"/>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3440" w:type="dxa"/>
            <w:vAlign w:val="bottom"/>
            <w:gridSpan w:val="7"/>
          </w:tcPr>
          <w:p>
            <w:pPr>
              <w:ind w:left="40"/>
              <w:spacing w:after="0"/>
              <w:rPr>
                <w:sz w:val="20"/>
                <w:szCs w:val="20"/>
                <w:color w:val="auto"/>
              </w:rPr>
            </w:pPr>
            <w:r>
              <w:rPr>
                <w:rFonts w:ascii="Times New Roman" w:cs="Times New Roman" w:eastAsia="Times New Roman" w:hAnsi="Times New Roman"/>
                <w:sz w:val="29"/>
                <w:szCs w:val="29"/>
                <w:b w:val="1"/>
                <w:bCs w:val="1"/>
                <w:color w:val="auto"/>
                <w:w w:val="98"/>
              </w:rPr>
              <w:t>Goldman Sachs &amp; Co. LLC</w:t>
            </w:r>
          </w:p>
        </w:tc>
        <w:tc>
          <w:tcPr>
            <w:tcW w:w="0" w:type="dxa"/>
            <w:vAlign w:val="bottom"/>
          </w:tcPr>
          <w:p>
            <w:pPr>
              <w:spacing w:after="0"/>
              <w:rPr>
                <w:sz w:val="1"/>
                <w:szCs w:val="1"/>
                <w:color w:val="auto"/>
              </w:rPr>
            </w:pPr>
          </w:p>
        </w:tc>
      </w:tr>
      <w:tr>
        <w:trPr>
          <w:trHeight w:val="425"/>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20" w:type="dxa"/>
            <w:vAlign w:val="bottom"/>
          </w:tcPr>
          <w:p>
            <w:pPr>
              <w:jc w:val="center"/>
              <w:ind w:left="2207"/>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2026</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60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1480" w:type="dxa"/>
            <w:vAlign w:val="bottom"/>
            <w:tcBorders>
              <w:top w:val="single" w:sz="8" w:color="0000EE"/>
            </w:tcBorders>
            <w:gridSpan w:val="11"/>
          </w:tcPr>
          <w:p>
            <w:pPr>
              <w:spacing w:after="0"/>
              <w:rPr>
                <w:sz w:val="17"/>
                <w:szCs w:val="17"/>
                <w:color w:val="auto"/>
              </w:rPr>
            </w:pPr>
          </w:p>
        </w:tc>
        <w:tc>
          <w:tcPr>
            <w:tcW w:w="61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738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34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561"/>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900" w:type="dxa"/>
            <w:vAlign w:val="bottom"/>
            <w:gridSpan w:val="11"/>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2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63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460" w:type="dxa"/>
            <w:vAlign w:val="bottom"/>
            <w:tcBorders>
              <w:top w:val="single" w:sz="8" w:color="0000EE"/>
            </w:tcBorders>
            <w:gridSpan w:val="2"/>
          </w:tcPr>
          <w:p>
            <w:pPr>
              <w:spacing w:after="0"/>
              <w:rPr>
                <w:sz w:val="17"/>
                <w:szCs w:val="17"/>
                <w:color w:val="auto"/>
              </w:rPr>
            </w:pPr>
          </w:p>
        </w:tc>
        <w:tc>
          <w:tcPr>
            <w:tcW w:w="63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1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40" w:type="dxa"/>
            <w:vAlign w:val="bottom"/>
            <w:gridSpan w:val="18"/>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2860" w:type="dxa"/>
            <w:vAlign w:val="bottom"/>
            <w:gridSpan w:val="17"/>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48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Class A common stock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some of which may not apply to this offering.</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 this prospectus supplement, the accompanying prospectus or in any free writing prospectus that we have authorized for use in connection with this offering. We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Class A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More Information” and “Incorporation of Certain Information by Reference” in this prospectus supplement and in the accompanying prospectus.</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shares of our Class A common stock only in jurisdictions in which offers and sales are permitted. The distribution of this prospectus supplement and the accompanying prospectus and the offering of the Class A common stock in certain jurisdictions may be restricted by law. Persons outside the United States who come into possession of this prospectus supplement and the accompanying prospectus must inform themselves about, and observe any restrictions relating to, the offering of the Class A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 used in this prospectus supplement, unless the context otherwise requires, references to “Xometry,” “we,” “us,” “our” and the “Company” refer to Xometry, Inc. 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7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0760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supplement. This summary does not contain all of the information you should consider before investing in our Class A common stock. Before you decide to invest in our Class A common stock, you should carefully read the prospectus supplement and the accompanying prospectus and any related free writing prospectus, including the section titled “Risk Factors” contained in this prospectus supplement, as well as the information included in any free writing prospectus that we have authorized for use in connection with this offering. You should also carefully read the information incorporated by reference into this prospectus supplement and the accompanying prospectus, including our consolidated financial statements, and the exhibits to the registration statement of which this prospectus supplement and the accompanying prospectus are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Xometry, Inc.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The platform is designed to digitize and modernize the sourcing, pricing, and execution of manufacturing work across a broad range of processes, materials and industries, enabling more efficient matching of manufacturing demand with available production capacity. In addition,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May 2013. Our principal executive offices are located at 6116 Executive Blvd, Suite 800, North Bethesda, MD and our telephone number is (240) 335-7914. Our website address is www.xometry.com. The information contained on, or accessible through, our website is not a part of or incorporated by reference into this prospectus supplement. We have included our website in this prospectus supplement solely as an inactive textual reference.</w:t>
      </w:r>
    </w:p>
    <w:p>
      <w:pPr>
        <w:spacing w:after="0" w:line="3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320" w:top="455" w:right="7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87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Class A 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$225,000,000 of shares of our Class A common stock.</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$33,750,000 of shares of our Class A common stock from us. This option is exercisable, in whole or in part, for a period of 30 days following the date of this prospectus supplement.</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Class A common stock to be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            shares of our Class A common stock (or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if the underwriters</w:t>
      </w:r>
    </w:p>
    <w:p>
      <w:pPr>
        <w:spacing w:after="0" w:line="38" w:lineRule="exact"/>
        <w:rPr>
          <w:sz w:val="20"/>
          <w:szCs w:val="20"/>
          <w:color w:val="auto"/>
        </w:rPr>
      </w:pPr>
    </w:p>
    <w:p>
      <w:pPr>
        <w:sectPr>
          <w:pgSz w:w="11900" w:h="16838" w:orient="portrait"/>
          <w:cols w:equalWidth="0" w:num="4">
            <w:col w:w="3620" w:space="720"/>
            <w:col w:w="4040" w:space="140"/>
            <w:col w:w="40" w:space="140"/>
            <w:col w:w="2200"/>
          </w:cols>
          <w:pgMar w:left="320" w:top="455" w:right="67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b w:val="1"/>
          <w:bCs w:val="1"/>
          <w:color w:val="auto"/>
        </w:rPr>
        <w:t>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exercise their option to purchase additional shares in full).</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     million, or approximately $     million if the underwriters’ option to purchase additional shares of our Class A common stock from us is exercised in full, in each case, after 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7" w:lineRule="exact"/>
        <w:rPr>
          <w:sz w:val="20"/>
          <w:szCs w:val="20"/>
          <w:color w:val="auto"/>
        </w:rPr>
      </w:pPr>
    </w:p>
    <w:p>
      <w:pPr>
        <w:ind w:left="4340" w:right="28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including, but not limited to, general and administrative matters, repayment of debt, capital expenditures and acquisitions of other businesses or assets. See “Use of Proceeds” for additional information.</w:t>
      </w:r>
    </w:p>
    <w:p>
      <w:pPr>
        <w:sectPr>
          <w:pgSz w:w="11900" w:h="16838" w:orient="portrait"/>
          <w:cols w:equalWidth="0" w:num="1">
            <w:col w:w="10900"/>
          </w:cols>
          <w:pgMar w:left="320" w:top="455" w:right="679" w:bottom="1440" w:gutter="0" w:footer="0" w:header="0"/>
          <w:type w:val="continuous"/>
        </w:sect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See “Risk Factors” beginning on page S-4 of this prospectus supplement and other information included and incorporated by reference in this prospectus supplement and the accompanying prospectus for a discussion of factors that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“XMTR”</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9"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to be outstanding immediately after this offering set forth above is based on 50,765,219 shares of our Class A common stock outstanding as of March 31, 2026, but excludes:</w:t>
      </w:r>
    </w:p>
    <w:p>
      <w:pPr>
        <w:spacing w:after="0" w:line="67" w:lineRule="exact"/>
        <w:rPr>
          <w:sz w:val="20"/>
          <w:szCs w:val="20"/>
          <w:color w:val="auto"/>
        </w:rPr>
      </w:pPr>
    </w:p>
    <w:p>
      <w:pPr>
        <w:jc w:val="both"/>
        <w:ind w:left="1240" w:right="22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1,242,975 shares of Class A common stock issuable upon the exercise of stock options outstanding as of March 31, 2026 under our 2021 Equity Incentive Plan, or 2021 Plan, our 2016 Equity Incentive Plan, or 2016 Plan, or the Nextline Manufacturing Corp. 2014 Stock Option Plan, or Nextline Plan, at a weighted-average exercise price of $12.55 per share;</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3,199,910 shares of Class A common stock issuable upon the vesting and settlement of restricted stock units, or RSUs, outstanding under our 2021 Plan as of March 31, 2026;</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582,639 shares of Class A common stock issuable upon the vesting and settlement of performance restricted stock units, or PRSUs, outstanding under our 2021 Plan as of March 31, 2026;</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75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1975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8,735,774 shares of Class A reserved for future issuances under our 2021 Plan as of March 31, 2026;</w:t>
      </w:r>
    </w:p>
    <w:p>
      <w:pPr>
        <w:spacing w:after="0" w:line="130" w:lineRule="exact"/>
        <w:rPr>
          <w:rFonts w:ascii="Times New Roman" w:cs="Times New Roman" w:eastAsia="Times New Roman" w:hAnsi="Times New Roman"/>
          <w:sz w:val="18"/>
          <w:szCs w:val="18"/>
          <w:color w:val="auto"/>
        </w:rPr>
      </w:pPr>
    </w:p>
    <w:p>
      <w:pPr>
        <w:ind w:left="1240" w:right="102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60,397 shares of our Class A common stock that we have reserved for future issuance and may donate to fund our social, environmental and governance initiatives;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reserved for issuance upon conversion of outstanding convertible senior notes; and</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1,475,311 shares of our Class A common stock reserved for issuance upon conversion of Class B common stock outstanding as of March 31, 2026.</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by the underwriters of their option to purchase up to an additional $33,750,000 of shares of our Class A common stock, no exercise of the outstanding stock options summarized above, no vesting or settlement of the outstanding restricted stock units summarized above, and no conversion of outstanding senior convertible notes described above.</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Before making an investment decision, you should carefully consider the risks described below and in our most recent Annual Report on Form 10-K and Quarterly Report on Form 10-Q, as updated or superseded by the risks and uncertainties described in our subsequent filings under the Exchange Act, each of which is incorporated by reference into this prospectus supplement and the accompanying prospectus, and all of the other information in this prospectus supplement and the accompanying prospectus, including our consolidated financial statements and related notes incorporated by reference in this prospectus supplement and the accompanying prospectus. If any of these risks is realized, our business, financial condition, results of operations and prospects could be harmed. In that event, the trading price of our Class A common stock could decline, and you could lose part or all of your investment. Additional risks and uncertainties that are not yet identified or that we think are immaterial may also harm our business, operating results and financial condition and could result in a complete loss of your investment.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trading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Class A common stock in this offering, you will experience immediate and substantial dilution of your investment.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price of our Class A common stock in this offering may be higher than the net tangible book value per share of our Class A common stock. Therefore, if you purchase shares of our Class A common stock in this offering, you may pay a price per share that substantially exceeds our net tangible book value per share. Based on the public offering price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per share, our as adjusted net tangible book value as of March 31, 2026 would have been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million, or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per share, representing an immediate increase in the net tangible book value per share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to existing stockholders and an immediate dilution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in net tangible book value per share to investors purchasing Class A common stock in this offering, representing the difference between our as adjusted net tangible book value per share after giving effect to this offering and the public offering price. To the extent outstanding stock options are exercised or outstanding restricted stock units vest and settle, there will be further dilution to new investors. In addition, to the extent we need to raise additional capital in the future and issue additional shares of Class A common stock or securities convertible or exchangeable for our Class A common stock, our then-existing stockholders may experience dilution, and the new securities may have rights senior to those of our Class A common stock offered in this offering.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experience future dilution.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cannot assure you that we will be able to sell shares of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Class A common stock or other related securities in any other offering at a price per share that is equal to or greater than the price per share paid by investors in this offering. If the price per share at which we sell additional shares of our Class A common stock or related securities in future transactions is less than the price per share in this offering, investors who purchase our Class A common stock in this offering will suffer dilution in their investment.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so any returns will be limited to the value of our stock.</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capital stock. We currently anticipate that we will retain all available funds and future earnings, if any, to fund the development and expansion of our business, and we do not anticipate paying any cash dividends in the foreseeable future. Any return to stockholders will therefore be limited to the appreciation of their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6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financial condition;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previously announced guidance or the expectations of securities analysts or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breaches, disruptions or other incidents involving our platform, marketplace or products or services;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or proprietary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market for technology stocks and the stock market in general have recently experienced significant price and volume fluctuations that have affected and continue to affect the market prices of equity securities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Class A common stock may cause the price of our Class A common stock to decline.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Class A common stock. However, future sales of substantial amounts of our Class A common stock in the public market, including shares issued upon exercise of outstanding options or vesting and settlement of outstanding RSUs and PRSUs, or the perception that such sales may occur, could adversely affect the market price of our Class A common stock.</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J.P. Morgan Securities LLC and Goldman Sachs &amp; Co. LLC may, in their sole discretion, release all or some portion of the shares subject to the lock-up agreements associated with this offering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accompanying prospectus, and the information incorporated by reference herein and therein contain forward-looking statements within the meaning of Section 27A of the Securities Act, and Section 21E of the Securities Exchange Act of 1934, as amended (the “Exchange Act”), which statements involve substantial risks and uncertainties.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 contained in this prospectus supplement and the accompanying prospectus, and the information incorporated by reference herein and therein, including statements regarding our strategy, future operations, future financial position, future revenue, projected costs, prospects, plans, objectives of management and projections of market opportunity,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but are not limited to, statements concerning the following:</w:t>
      </w:r>
    </w:p>
    <w:p>
      <w:pPr>
        <w:spacing w:after="0" w:line="93"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changes in tariff policies and inflationary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supplement and the documents incorporated herein by reference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this prospectus supplement and in our Annual Report on Form 10-K for the year ended December 31, 2025,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supplement and the documents incorporated herein by reference. The results, events and circumstances reflected in the forward-looking statements may not be achieved or occur, and actual results, events or circumstances could differ materially from those described in the forward-looking statements.</w:t>
      </w:r>
    </w:p>
    <w:p>
      <w:pPr>
        <w:spacing w:after="0" w:line="14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made in this prospectus supplement and the documents incorporated herein by reference that “we believe” and similar statements reflect our beliefs and opinions on the relevant subject. These statements are based on information available to us as of the date on which such statements are made.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prospectus supplement and the documents incorporated herein by reference relate only to events as of the date on which the statements are made. We undertake no obligation to update any forward-looking statements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Class A common stock in this offering will be approximately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million, or approximately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million if the underwriters exercise their option to purchase additional shares of our Class A common stock in full, in each case, after deducting underwriting discounts and commissions and estimated offering expenses payable by us.</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including, but not limited to, general and administrative matters, repayment of debt, capital expenditures and acquisitions of other businesses or assets. Pending the use of net proceeds as described above, we intend to invest the net proceeds in short-term, investment-grade, interest bearing instruments in accordance with our investment policy.</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in the section titled “Risk Factors” in this prospectus supplement and the accompanying prospectus, including the information incorporated by reference herein and therein,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amount per share paid by purchasers of shares of Class A common stock in this public offering and the as adjusted net tangible book value per share of our Class A common stock immediately after this offering.</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we had a historical net tangible book value of $(8.1) million, or $(0.16) per share of Class A common stock. Our historical net tangible book value per share represents total tangible assets less total liabilities, divided by the number of shares of Class A common stock outstanding.</w:t>
      </w:r>
    </w:p>
    <w:p>
      <w:pPr>
        <w:spacing w:after="0" w:line="17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After giving effect to the sale by us of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shares of Class A common stock in this offering at the public offering price of $    per share, and after deducting underwriting discounts and commissions and estimated offering expenses payable by us, our as adjusted net tangible book value as of March 31, 2026 would have been approximately $    million, or approximately $    per share. This amount represents an immediate increase in our net tangible book value of approximately $    per share to our existing stockholders and an immediate dilution in our net tangible book value of approximately $    per share to investors purchasing Class A common stock in this offering. We determine dilution by subtracting our as adjusted net tangible book value per share after this offering from the amount of cash paid by an investor for a share of Class A common stock in this offering. The following table illustrates this dilution on a per share basis: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2026</w:t>
            </w:r>
          </w:p>
        </w:tc>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$(0.16)</w:t>
            </w:r>
          </w:p>
        </w:tc>
      </w:tr>
      <w:tr>
        <w:trPr>
          <w:trHeight w:val="198"/>
        </w:trPr>
        <w:tc>
          <w:tcPr>
            <w:tcW w:w="7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shares in</w:t>
            </w:r>
          </w:p>
        </w:tc>
        <w:tc>
          <w:tcPr>
            <w:tcW w:w="1880" w:type="dxa"/>
            <w:vAlign w:val="bottom"/>
            <w:shd w:val="clear" w:color="auto" w:fill="CCEEFF"/>
          </w:tcPr>
          <w:p>
            <w:pPr>
              <w:spacing w:after="0"/>
              <w:rPr>
                <w:sz w:val="17"/>
                <w:szCs w:val="17"/>
                <w:color w:val="auto"/>
              </w:rPr>
            </w:pPr>
          </w:p>
        </w:tc>
      </w:tr>
      <w:tr>
        <w:trPr>
          <w:trHeight w:val="234"/>
        </w:trPr>
        <w:tc>
          <w:tcPr>
            <w:tcW w:w="7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this offering</w:t>
            </w:r>
          </w:p>
        </w:tc>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8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investors purchasing shares in this offering</w:t>
            </w:r>
          </w:p>
        </w:tc>
        <w:tc>
          <w:tcPr>
            <w:tcW w:w="1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94"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If the underwriters exercise in full their option to purchase up to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additional shares of Class A common stock at the public offering price of $    per share, the as adjusted net tangible book value per share after this offering would be approximately $    , representing an increase in net tangible book value of approximately $    per share to our existing stockholders and immediate dilution in net tangible book value of approximately $    per share to new investors purchasing our Class A common stock in this offering at the public offering price.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table and calculations (other than net tangible book value calculations) are based on 50,765,219 shares of our Class A common stock outstanding as of March 31, 2026, and excludes:</w:t>
      </w:r>
    </w:p>
    <w:p>
      <w:pPr>
        <w:spacing w:after="0" w:line="67" w:lineRule="exact"/>
        <w:rPr>
          <w:sz w:val="20"/>
          <w:szCs w:val="20"/>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1,242,975 shares of Class A common stock issuable upon the exercise of stock options outstanding as of March 31, 2026 under our 2021 Plan, our 2016 Plan or our Nextline Plan, at a weighted-average exercise price of $12.55 per share;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3,199,910 shares of Class A common stock issuable upon the vesting and settlement of RSUs outstanding under our 2021 Plan as of March 31, 2026;</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582,639 shares of Class A common stock issuable upon the vesting and settlement of PRSUs outstanding under our 2021 Plan as of March 31,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8,735,774 shares of Class A reserved for future issuances under our 2021 Plan as of March 31, 2026;</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60,397 shares of our Class A common stock that we have reserved for future issuance and may donate to fund our social, environmental and governance initiatives;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reserved for issuance upon conversion of outstanding convertible senior notes;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1,475,311 shares of our Class A common stock reserved for issuance upon conversion of Class B common stock outstanding as of March 31, 2026.</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or PRSUs vest or settle, or new options or restricted stock units are issued under our stock-based compensation plans, or we issue additional shares of Class A common stock in the future, there will be further dilution to investors participating in this offering.</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60"/>
          </w:cols>
          <w:pgMar w:left="320" w:top="45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so as to result in U.S. federal income tax consequences different from those discussed below.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any minimum tax provisions or the special tax accounting rules under Section 451(b) of the Code. In addition, it does not address consequences relevant to Non-U.S. Holders subject to special rules, including, without limitation:</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common stock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employee stock option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shares of our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(actually or constructively) more than 5% of our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domestic or foreign, that is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anticipate declaring or paying any cash dividends for the foreseeable future. However, if we do make distributions of cash or property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our Class A common stock, such distributions will constitute dividends for U.S. federal income tax purposes to the extent paid from our current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earnings and profits, as determined under U.S. federal income tax principles. Distributions in excess of our current and accumulated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earnings and profits will constitute a tax-free return of capital and first be applied against and reduce a Non-U.S. Holder’s adjusted tax basis in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common stock, but not below zero. Any excess will be treated as capital gain and will be treated as described under the subsection titled “—Sale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Other Taxable Disposition” below.</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dividends paid to a Non-U.S. Holder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income tax on a net income basis at the individual rates or corporate rate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 Non-U.S. Holder generally will not be subject to U.S. federal income tax or withholding tax on any gain realized upon the sale or other taxable disposition of our Class A common stock unless:</w:t>
      </w:r>
    </w:p>
    <w:p>
      <w:pPr>
        <w:spacing w:after="0" w:line="67" w:lineRule="exact"/>
        <w:rPr>
          <w:sz w:val="20"/>
          <w:szCs w:val="20"/>
          <w:color w:val="auto"/>
        </w:rPr>
      </w:pPr>
    </w:p>
    <w:p>
      <w:pPr>
        <w:ind w:left="1080" w:right="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(“USRPI”) by reason of our status as a U.S. real property holding corporation (“USRPHC”) for U.S. federal income tax purposes.</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at regular U.S. federal income tax rates on the net gain recognized, generally in the same manner as if it were a U.S. person,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flat rate of 30% (or such lower rate specified by an applicable income tax treaty) on gain realized upon the sale or other taxable disposition of our Class A common stock, which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third bullet point above, we would be a USRPHC if the fair market value of our U.S. real property interests equaled or exceeded 50% of the sum of the fair market value of our worldwide real property interests plus our other assets used or held for use in a trade or business.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specifically defined for purposes of FATCA), unless (i) the foreign financial institution undertakes certain diligence and reporting obligations, (ii) the non-financial foreign entity either certifies it does not have any “substantial United States owners” (as specifically defined for purposes of FATCA)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w:t>
      </w:r>
    </w:p>
    <w:p>
      <w:pPr>
        <w:ind w:left="120" w:right="80" w:hanging="4"/>
        <w:spacing w:after="0" w:line="253"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it must enter into an agreement with the U.S. Department of the Treasury requiring, among other things, that it undertake to identify accounts held by certain “specified United States persons” or “United States owned foreign entities” (each as specifically defined for purposes of FATCA),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applicable Treasury Regulations and administrative guidance, withholding under FATCA generally applies to payments of dividends on our Class A common stock. Although the Code provides that FATCA withholding generally also will apply to payments of gross proceeds from the sale or other disposition of our Class A common stock, proposed Treasury Regulations have been released that, if finalized in their present form, would eliminate the FATCA withholding of 30% applicable to gross proceeds from sales or other dispositions of our Class A common stock (other than amounts treated as dividends). The preamble to the proposed Treasury Regulations states that taxpayers generally may rely on them until final Treasury Regulations are issued.</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Class A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are offering the shares of Class A common stock described in this prospectus through a number of underwriters. J.P. Morgan Securities LLC and Goldman Sachs &amp; Co.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4"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Class A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Class A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7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The underwriters have an option to buy up to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Class A common stock less the amount paid by the underwriters to us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6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With full option</w:t>
            </w:r>
          </w:p>
        </w:tc>
      </w:tr>
      <w:tr>
        <w:trPr>
          <w:trHeight w:val="148"/>
        </w:trPr>
        <w:tc>
          <w:tcPr>
            <w:tcW w:w="2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purchase</w:t>
            </w:r>
          </w:p>
        </w:tc>
      </w:tr>
      <w:tr>
        <w:trPr>
          <w:trHeight w:val="148"/>
        </w:trPr>
        <w:tc>
          <w:tcPr>
            <w:tcW w:w="29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6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c>
          <w:tcPr>
            <w:tcW w:w="11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r>
      <w:tr>
        <w:trPr>
          <w:trHeight w:val="173"/>
        </w:trPr>
        <w:tc>
          <w:tcPr>
            <w:tcW w:w="2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7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One of our directors has indicated an interest in purchasing up to $5.0 million of the shares being offered in this offering. Any such purchase would be made at the public offering price. Such director has provided an indication of interest only and is not obligated to purchase any of our shares of Class A common stock in this offering, nor are we obligated to sell any of our shares of Class A common stock in this offering to such director. The underwriters will receive the same discount on shares of Class A common stock purchased by such director as they will from any other shares of Class A common stock sold to the public in this offering.</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agreed that we will not, and will not publicly disclose the intention to, (i) offer, sell, contract to sell, pledge, grant any option to purchase, make any short sale, lend or otherwise transfer or dispose of, directly or indirectly, or file with or confidentially submit to the Securities and Exchange Commission a registration statement under the Securities Act relating to, any of our securities that are substantially similar to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including, for the avoidance of doubt, our Class B common stock, $0.000001 par value per share (the “Class B Common Stock”) (collectively, for the purposes of this paragraph, the “Securities”) or (ii) enter into any hedging, swap or other agreement that transfers, in whole or in part, any of the economic consequences of ownership of the shares of our Class A common stock or any Securities, whether any such transactions described in clause (i) or (ii) above is to be settled by delivery of our Class A common stock or any Securities, in cash or otherwise, in each case without the prior written consent of J.P. Morgan Securities LLC and Goldman Sachs &amp; Co. LLC for a period of 45 days after the date of this prospectus, other than the shares of our Class A common stock to be sold in this offering.</w:t>
      </w:r>
    </w:p>
    <w:p>
      <w:pPr>
        <w:spacing w:after="0" w:line="19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restrictions on our actions, as described above, do not apply to certain transactions, including (i) the issuance by us of shares of our Class A common stock upon the exercise of options or the settlement of restricted stock units (including any “net” or “cashless” exercises or settlements) outstanding on the date of the underwriting agreement and described in this prospectus or upon the exercise of warrants or the conversion or exchange of convertible or exchangeable securities outstanding on the date of the underwriting agreement (including our outstanding Class B common stock, 1.00% Convertible Senior Notes due 2027 and 0.75% Convertible Senior Notes due 2030), provided that recipients who are also members of our board of directors or executive officers will enter into a lock-up agreement with the underwriters; (ii) the grant of options to purchase or issuance by us of shares of Class A common stock or securities convertible into, exchangeable for or that represent the right to receive shares of Class A common stock, in each case pursuant to the Company’s equity plans described in this prospectus, provided that recipients who are also members of our board of directors or executive officers will enter into a lock-up agreement with the underwriters; (iii) the issuance by us of up to 10% of the outstanding shares of our Class A common stock or securities convertible into, exchangeable for or that represent the right to receive Class A common stock in connection with</w:t>
      </w:r>
    </w:p>
    <w:p>
      <w:pPr>
        <w:spacing w:after="0" w:line="4" w:lineRule="exact"/>
        <w:rPr>
          <w:sz w:val="20"/>
          <w:szCs w:val="20"/>
          <w:color w:val="auto"/>
        </w:rPr>
      </w:pPr>
    </w:p>
    <w:p>
      <w:pPr>
        <w:ind w:left="120" w:right="40" w:hanging="4"/>
        <w:spacing w:after="0" w:line="265" w:lineRule="auto"/>
        <w:tabs>
          <w:tab w:leader="none" w:pos="3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 (y) our joint ventures, commercial relationships and other strategic relationships, provided that such recipients will enter into a lock-up agreement with the underwriters; (iv) the issuance of shares of Class A common stock in charitable contributions pursuant to the program approved by our board of directors as described in our Annual Report on Form 10-K for the year ended December 31, 2025, provided that such recipients will enter into a lock-up agreement with the underwriters; (v) the filing of any registration statement(s) on Form S-8 relating to the securities granted or to be granted pursuant to</w:t>
      </w:r>
    </w:p>
    <w:p>
      <w:pPr>
        <w:ind w:left="340" w:hanging="224"/>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plans that are described in this prospectus or (ii) any assumed employee benefit plan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contemplated by (iii); or (vi) the consummation of the transactions contemplated by, or termination of, capped call confirmations entered into in connection with our 0.75% Convertible Senior Notes due 2030.</w:t>
      </w:r>
    </w:p>
    <w:p>
      <w:pPr>
        <w:spacing w:after="0" w:line="16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Our directors and executive officers (such persons, the “lock-up parties”) have entered into lock-up agreements with the underwriters prior to the commencement of this offering pursuant to which each lock-up party, with limited exceptions, for a period of 45 days after the date of this prospectus (such period, the “restricted period”), may not (and may not cause any of their direct or indirect affiliates to), without the prior written consent of J.P. Morgan Securities LLC and Goldman Sachs &amp; Co. LLC,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(such options, warrants, stock appreciation rights or other securities, collectively, the “derivative instruments”), including without limitation any such shares of Class A common stock or derivative instruments now owned or hereafter acquired by the lock-up party (collectively, the “lock-up securities”),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our Class A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w:t>
      </w:r>
    </w:p>
    <w:p>
      <w:pPr>
        <w:spacing w:after="0" w:line="18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67" w:lineRule="exact"/>
        <w:rPr>
          <w:sz w:val="20"/>
          <w:szCs w:val="20"/>
          <w:color w:val="auto"/>
        </w:rPr>
      </w:pPr>
    </w:p>
    <w:p>
      <w:pPr>
        <w:ind w:left="1080" w:right="6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as a bona fide gift or gifts or for bona fide estate planning purposed, provided that the donee or donees thereof agree to be bound in writing by the lock-up restrictions, and provided further that any Section 16(a) filing required pursuant to the Exchange Act shall clearly state that such transfer is a bona fide gift and that such shares remain subject to the restrictions set forth in the lock-up agreement;</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than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upon death or by will, testamentary document or intestate succession, provided that the transferee agrees to be bound in writing by the lock-up 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in connection with a sale of shares acquired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3"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to the Company in connection with the exercise of options or the vesting or settlement of restricted stock units or other equity awards, including in connection with “net” or “cashless” exercises or in the open market pursuant to a “sell-to-cover” transaction, for the payment of tax withholdings or remittance payments due as a result of the exercise of any such options or vesting or settlement of such restricted stock units or other equity awards in all such cases, (A) pursuant to equity awards granted under a stock incentive plan or other equity award plan that is described herein and (B) provided that any shares of Class A common stock received upon such exercise, vesting or settlement, in each case, that are not transferred to cover any such tax obligations shall be subject to the terms of the lock-up agreement, provided further, (1) that no filing under Section 16(a) of the Exchange Act shall be required or shall be voluntarily made during the lock-up period in connection with an option exercise described in this bullet unless such option would otherwise expire pursuant to its terms within the lock-up period and (2) that any filing under Section 16(a) of the Exchange Act that occurs during the lock-up period, or any other public filing or disclosure of such transfer shall clearly indicate in the footnotes thereto that such transfer relates to the circumstances described in this bullet;</w:t>
      </w:r>
    </w:p>
    <w:p>
      <w:pPr>
        <w:spacing w:after="0" w:line="97" w:lineRule="exact"/>
        <w:rPr>
          <w:rFonts w:ascii="Times New Roman" w:cs="Times New Roman" w:eastAsia="Times New Roman" w:hAnsi="Times New Roman"/>
          <w:sz w:val="18"/>
          <w:szCs w:val="18"/>
          <w:color w:val="auto"/>
        </w:rPr>
      </w:pPr>
    </w:p>
    <w:p>
      <w:pPr>
        <w:ind w:left="1080" w:right="280" w:hanging="424"/>
        <w:spacing w:after="0" w:line="276"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405 as promulgated by the SEC under the Securities Act of 1933, as amended and including such party’s subsidiaries) of the lock-up party,</w:t>
      </w:r>
    </w:p>
    <w:p>
      <w:pPr>
        <w:spacing w:after="0" w:line="9" w:lineRule="exact"/>
        <w:rPr>
          <w:rFonts w:ascii="Times New Roman" w:cs="Times New Roman" w:eastAsia="Times New Roman" w:hAnsi="Times New Roman"/>
          <w:sz w:val="17"/>
          <w:szCs w:val="17"/>
          <w:color w:val="auto"/>
        </w:rPr>
      </w:pPr>
    </w:p>
    <w:p>
      <w:pPr>
        <w:ind w:left="108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to any investment fund or other entity controlling, controlled by, managing or managed by or under common control with the lock-up party or affiliates thereof (including, for the avoidance of doubt, where the lock-up party is a partnership) or (C) as part of a distribution, transfer or disposition by the lock-up party to its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restrictions set forth herein;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93" w:lineRule="exact"/>
        <w:rPr>
          <w:rFonts w:ascii="Times New Roman" w:cs="Times New Roman" w:eastAsia="Times New Roman" w:hAnsi="Times New Roman"/>
          <w:sz w:val="17"/>
          <w:szCs w:val="17"/>
          <w:color w:val="auto"/>
        </w:rPr>
      </w:pPr>
    </w:p>
    <w:p>
      <w:pPr>
        <w:ind w:left="1080" w:right="20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such as pursuant to a qualified domestic order or in connection with a divorce settlement; provided that the transferee agrees to be bound in writing by the lock-up restrictions; and provided further that any filings under Section 16(a) of the Exchange Act, or any other public filing or disclosure of such transfer by or on behalf of the lock-up party, shall clearly indicate in the footnotes thereto that such transfer relates to the circumstances described in this bullet;</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in connection with the repurchase of shares of Class A common stock issued pursuant to an employee benefit plan or stock plan disclosed herein or pursuant to the agreements pursuant to which such shares were issued as disclosed herein, in each case, upon termination of the lock-up party’s relationship with the Company; provided that any filings under Section 16(a) of the Exchange Act, or any other public filing or disclosure of such transfer by or on behalf of the lock-up party, shall clearly indicate in the footnotes thereto that such transfer relates to the circumstances described in this bullet;</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pursuant to a bona fide third-party tender offer, merger, consolidation or other similar transaction made to all holders of the Company’s capital stock and approved by the board of directors of the Company, and the result of which is that any “person” (as defined in Rules 13(d)(3) of the Exchange Act), or group of persons, becomes the beneficial owners (as defined in Rules 13d-3 and 13d-5 of the Exchange Act) of at least 50% of total voting power of the voting stock of the Company or the surviving entity (a “Change of Control Transaction”); provided that in the event of a Change of Control Transaction is not completed, the lock-up party’s shares shall remain subject to the lock-up provisions; provided, further that so long as the locked-up party’s shares are not transferred, sold or tendered, such shares shall remain subject to the lock-up provisions;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with the prior written consent of J.P. Morgan Securities LLC and Goldman Sachs &amp; Co. LLC;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 written plan meeting the requirements of Rule 10b5-1 under the Exchange Act that was established prior to the date hereof; provided that, any filing under Section 16(a) of the Exchange Act that occurs during the lock-up period, or any other public filing or disclosure of such transfer by or on behalf of the lock-up party, shall clearly indicate in the footnotes thereto that such transfer relates to the circumstances described in this bullet.</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and Goldman Sachs &amp; Co.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“XMTR”.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common stock in the open market for the purpose of preventing or retarding a decline in the market price of the common stock while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offering is in progress. These stabilizing transactions may include making short sales of Class A common stock, which involves the sale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of a greater number of shares of Class A common stock than they are required to purchase in this offering, and purchasing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on the open market to cover positions created by short sales. Short sales may be “covered” shorts, which are short positions in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not greater than the underwriters’ option to purchase additional shares referred to above, or may be “naked” shorts, which are short positions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excess of that amount. The underwriters may close out any covered short position either by exercising their option to purchase additional shares,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whole or in part, or by purchasing shares in the open market. In making this determination, the underwriters will consider, among other things, the price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shares available for purchase in the open market compared to the price at which the underwriters may purchase shares through the option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shares. A naked short position is more likely to be created if the underwriters are concerned that there may be downward pressure on the price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common stock in the open market that could adversely affect investors who purchase in this offering. To the extent that the underwriters create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naked short position, they will purchase shares in the open market to cover the position.</w:t>
      </w:r>
    </w:p>
    <w:p>
      <w:pPr>
        <w:spacing w:after="0" w:line="207"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Class A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Class A common stock during a specified period and must be discontinued when such limit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is reached. Passive market making may cause the price of our Class A common stock to be higher than the price that otherwise would exist in the open market in the absence of these transactions. If passive market making is commenced, it may be discontinued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center"/>
        <w:ind w:left="340" w:right="10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Relevant State, all in accordance with the Prospectus Regulation, except that the shares may be offered to the public in that Relevant State at any time:</w:t>
      </w:r>
    </w:p>
    <w:p>
      <w:pPr>
        <w:spacing w:after="0" w:line="131"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any underwriter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supplement a prospectus pursuant to Article 23 of the Prospectus Regulation or publish an Annex IX document pursuant to Article 1(4) of the Prospectus Regulation.</w:t>
      </w:r>
    </w:p>
    <w:p>
      <w:pPr>
        <w:spacing w:after="0" w:line="17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except that the shares may be offered to the public in the United Kingdom at any time:</w:t>
      </w:r>
    </w:p>
    <w:p>
      <w:pPr>
        <w:spacing w:after="0" w:line="67" w:lineRule="exact"/>
        <w:rPr>
          <w:sz w:val="20"/>
          <w:szCs w:val="20"/>
          <w:color w:val="auto"/>
        </w:rPr>
      </w:pPr>
    </w:p>
    <w:p>
      <w:pPr>
        <w:jc w:val="both"/>
        <w:ind w:left="1080" w:hanging="532"/>
        <w:spacing w:after="0" w:line="289"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63"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Ireland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8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underwrite the issue of, or place, the shares otherwise than in conformity with the provisions of the European Communities (Markets in Financial Instruments) Regulations 2007 (Nos. 1 to 3) (as amended, the “MiFID Regulations”) including, without limitation, Regulations 7 (Authorisation) and 152 (Restrictions on advertising) thereof, any codes of conduct made under the MiFID Regulations, and the provisions of the Investor Compensation Act 1998 (as amended);</w:t>
      </w:r>
    </w:p>
    <w:p>
      <w:pPr>
        <w:spacing w:after="0" w:line="85"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underwrite the issue of, or place, the shares otherwise in conformity with the provisions of the Companies Act 2014 (as amended, the “Companies Act”), the Central Bank Acts 1942-2019 (as amended) and any codes of practice made under Section 117(1) of the Central Bank Act 1989 (as amended);</w:t>
      </w:r>
    </w:p>
    <w:p>
      <w:pPr>
        <w:spacing w:after="0" w:line="81"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underwrite the issue of, or place, or do anything in Ireland with respect to the Class A common stock otherwise than in conformity with the provisions of the Prospectus Regulation, the European Union (Prospectus) Regulations 2019 (as amended) and any rules and guidance issued by the Central Bank under Section 1363 of the Companies Act; and</w:t>
      </w:r>
    </w:p>
    <w:p>
      <w:pPr>
        <w:spacing w:after="0" w:line="81"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underwrite the issue of, place or otherwise act in Ireland in respect of, the shares otherwise than in conformity with the Market Abuse Regulatiaon (EU 596/2014) (as amended) and any rules and guidance issued by the Central Bank of Ireland under Section 1370 of the Irish Companies Act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8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shares shall require the Company or any investment bank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have not been and will not be listed or admitted to trading on a trading venue in Switzerland.</w:t>
      </w:r>
    </w:p>
    <w:p>
      <w:pPr>
        <w:spacing w:after="0" w:line="225"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right="4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no shares have been or will be offered or sold and no shares have been or will be made the subject of an invitation for subscription or purchase, and no prospectus supplement or any other document or material in connection with the offer or sale, or invitation for subscription or purchase, of the shares, has been or will be circulated or distributed, whether directly or indirectly, to any person in Singapore other than (i) to an institutional investor (as defined in Section 4A of the Securities and Futures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China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Saudi Arabia</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Qatar</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shares have not been, and are not being, publicly offered, sold, promoted or advertised in the United Arab Emirates (including the Dubai International Financial Centre) other than in compliance with the laws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qualified investors listed in the first addendum, or the Addendum, to the Israeli Securities Law. Qualified investors may be required to submit written confirmation that they fall within the scope of the Addendum.</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40"/>
          </w:cols>
          <w:pgMar w:left="320" w:top="455"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Certain legal matters in connection with the shares of common stock offered hereby will be passed upon for us by Cooley LLP, Boston, Massachusetts. Davis Polk &amp; Wardwell LLP, Redwood City, California, has acted as counsel to the underwriters in connection with this offering.</w:t>
      </w: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Xometry, Inc. incorporated by reference in this prospectus supplement, and the effectiveness of Xometry,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Xometry, Inc. as of and for the fiscal year ended December 31, 2024, incorporated by reference in this prospectus supplement have been audited by KPMG LLP, an independent registered public accounting firm, as stated in their report. Such financial statements are incorporated by reference in reliance upon the report of such firm, given their authority as experts in accounting and auditing.</w:t>
      </w:r>
    </w:p>
    <w:p>
      <w:pPr>
        <w:spacing w:after="0" w:line="15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Xometry, Inc. has agreed to indemnify and hold KPMG LLP harmless against and from any and all legal costs and expenses incurred by KPMG LLP in successful defense of any legal action or proceeding that arises as a result of KPMG LLP’s consent to the incorporation by reference of its audit report on Xometry, Inc.’s past financial statements incorporated by reference in this registration statement.</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we filed with the SEC under the Securities Act and do not contain all of the information set forth in the registration statement and the exhibits thereto.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therein. For further information with respect to us and the Class A common stock we are offering under this prospectus supplement, we refer you to the registration statement and the exhibits and schedules filed as a part of the registration statement.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www.xometry.com. Information contained in or accessible through our website does not constitute a part of this prospectus supplement or the accompanying prospectus and is not incorporated by reference into this prospectus supplement or the accompanying prospectus.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instead of having to repeat the information in this prospectus supplement or the accompanying prospectus. The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incorporated by reference is considered to be part of this prospectus supplement and the accompanying prospectus, and later information that we file with the SEC (Commission File No. 001-40546) will automatically update and supersede this information. We incorporate by reference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after the filing and concurrent effectiveness of the registration statement but prior to the termination of all offerings covered by this prospectus supplement:</w:t>
      </w:r>
    </w:p>
    <w:p>
      <w:pPr>
        <w:spacing w:after="0" w:line="78"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24, 2026;</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2025 from our Definitive Proxy Statement on </w:t>
      </w:r>
      <w:hyperlink r:id="rId4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45">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May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 to the extent the information in such reports is filed and not furnished;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w:t>
      </w:r>
      <w:hyperlink r:id="rId49">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filed with the SEC on March 18, 2022, and any amendment or report filed with the SEC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or the underlying prospectus is delivered, without charge upon the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Xometry, Inc., Attn: Secretary, 6116 Executive Boulevard, Suite 800, North Bethesda, Maryland 20852, and our telephone number is (240) 335-7914.</w:t>
      </w:r>
    </w:p>
    <w:p>
      <w:pPr>
        <w:spacing w:after="0" w:line="183"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173990</wp:posOffset>
            </wp:positionV>
            <wp:extent cx="174879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748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36"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From time to time, we or selling securityholders may offer and sell any combination of shares of the securities described in this prospectus, either individually or in combination with other securities in one or more offerings. We or selling securityholders may also offer securities as may be issuable upon conversion, redemption, repurchase, exchange or exercise of any securities registered hereunder, including any applicable anti-dilution provisions.</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or selling securityholders offer securities pursuant to this prospectus, we will specify in an accompanying prospectus supplement the terms of the securities being offered. We may also authorize one or more free writing prospectuses to be provided to you in connection with these offerings.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any securities unless accompanied by a prospectus supplement.</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“XMTR.” On May 29, 2026, the last reported sale price of our Class A common stock was $95.29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73" w:lineRule="exact"/>
        <w:rPr>
          <w:sz w:val="20"/>
          <w:szCs w:val="20"/>
          <w:color w:val="auto"/>
        </w:rPr>
      </w:pPr>
    </w:p>
    <w:p>
      <w:pPr>
        <w:ind w:left="120" w:right="80" w:firstLine="4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on page 5 of this prospectus and in any applicable prospectus supplement and related free writing prospectus we have authorized for use in connection with a specific offering, and under similar headings in the other documents that are incorporated by reference into this prospectus.</w:t>
      </w:r>
    </w:p>
    <w:p>
      <w:pPr>
        <w:spacing w:after="0" w:line="187"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 2026.</w:t>
      </w:r>
    </w:p>
    <w:p>
      <w:pPr>
        <w:sectPr>
          <w:pgSz w:w="11900" w:h="16838" w:orient="portrait"/>
          <w:cols w:equalWidth="0" w:num="1">
            <w:col w:w="11100"/>
          </w:cols>
          <w:pgMar w:left="320" w:top="455" w:right="4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560" w:type="dxa"/>
            <w:vAlign w:val="bottom"/>
            <w:gridSpan w:val="7"/>
          </w:tcPr>
          <w:p>
            <w:pPr>
              <w:spacing w:after="0"/>
              <w:rPr>
                <w:sz w:val="24"/>
                <w:szCs w:val="24"/>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gridSpan w:val="8"/>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4"/>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460" w:type="dxa"/>
            <w:vAlign w:val="bottom"/>
            <w:tcBorders>
              <w:top w:val="single" w:sz="8" w:color="0000EE"/>
            </w:tcBorders>
            <w:gridSpan w:val="2"/>
          </w:tcPr>
          <w:p>
            <w:pPr>
              <w:spacing w:after="0"/>
              <w:rPr>
                <w:sz w:val="17"/>
                <w:szCs w:val="17"/>
                <w:color w:val="auto"/>
              </w:rPr>
            </w:pPr>
          </w:p>
        </w:tc>
        <w:tc>
          <w:tcPr>
            <w:tcW w:w="2020" w:type="dxa"/>
            <w:vAlign w:val="bottom"/>
            <w:gridSpan w:val="4"/>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9"/>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2"/>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2860" w:type="dxa"/>
            <w:vAlign w:val="bottom"/>
            <w:gridSpan w:val="1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520" w:type="dxa"/>
            <w:vAlign w:val="bottom"/>
            <w:gridSpan w:val="2"/>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a part of an automatic registration statement on Form S-3 that we filed with the U.S. Securities and Exchange Commission (the “SEC”), utilizing a “shelf” registration process as a “well-known seasoned issuer,” as defined in Rule 405 under the Securities Act of 1933, as amended (the “Securities Act”). Under this shelf registration process, we or selling securityholders may offer and sell from time to time in one or more offerings, any combination of the securities described in this prospectus. No limit exists on the aggregate number or amount of securities we or selling securityholders may sell pursuant to the registration statement of which this prospectus is a part.</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selling securityholders may offer. 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w:t>
      </w:r>
    </w:p>
    <w:p>
      <w:pPr>
        <w:spacing w:after="0" w:line="18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7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60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 used in this prospectus, unless the context otherwise requires, references to “Xometry,” “we,” “us,” “our” and the “Company” refer to Xometry, Inc.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67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 w:cs="Times New Roman" w:eastAsia="Times New Roman" w:hAnsi="Times New Roman"/>
          <w:sz w:val="18"/>
          <w:szCs w:val="18"/>
          <w:b w:val="1"/>
          <w:bCs w:val="1"/>
          <w:color w:val="auto"/>
        </w:rPr>
        <w: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Xometry, Inc.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The platform is designed to digitize and modernize the sourcing, pricing, and execution of manufacturing work across a broad range of processes, materials and industries, enabling more efficient matching of manufacturing demand with available production capacity. In addition,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May 2013. Our principal executive offices are located at 6116 Executive Blvd, Suite 800, North Bethesda, MD and our telephone number is (240) 335-7914. Our website address is www.xometry.com. The information contained on, or accessible through, our website is not a part of or incorporated by reference into this prospectus. We have included our website in this prospectus solely as an inactive textual reference.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or selling securityholders may offer shares of our Class A common stock and preferred stock, various series of debt securities and/or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U.S. federal income tax considerations.</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through underwriters, dealers or agents. We, and our underwriters or agents, reserve the right to accept or reject all or part of any proposed purchase of securities. If we or selling securityholders do offer securities through underwriters or agents,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A </w:t>
      </w: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Under our certificate of incorporation, our board of directors has the authority to issue up to 750,000,000 shares of Class A common stock, par value $0.000001 per share. Holders of our Class A common stock are entitled to one vote for each share held on all matters submitted to a vote of stockholders and do not have cumulative voting rights. Holders of Class A common stock are entitled to receive ratably any dividends as may be declared by our board of directors, subject to any preferential dividend rights of any series of preferred stock that we may designate and issue in the future.</w:t>
      </w:r>
    </w:p>
    <w:p>
      <w:pPr>
        <w:spacing w:after="0" w:line="183"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Class A common stock are entitled to receive ratably our net assets available for distribution to stockholders after the payment of all debts and other liabilities and subject to the prior rights of any outstanding preferred stock. Holders of Class A common stock have no preemptive, subscription, redemption or conversion rights. There are no redemption or sinking fund provisions applicable to our Class A common stock. The rights, preferences and privileges of holders of Class A common stock are subject to and may be adversely affected by the rights of the holders of shares of any series of preferred stock that we may designate and issue in the future.</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Under our certificate of incorporation, our board of directors has the authority, without further action by the stockholders, to issue up to 50,000,000 shares of preferred stock, par value $0.000001 per share, in one or more series and determine the rights, preferences and limitations of the preferred stock, including voting rights, dividend rights and redemption and liquidation preferences. Satisfaction of any dividend preferences of outstanding shares of preferred stock would reduce the amount of funds available for the payment of dividends on shares of our Class A common stock. Holders of shares of preferred stock may be entitled to receive a preference payment in the event of any liquidation, dissolution or winding-up of our company before any payment is made to the holders of shares of our Class A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Class A common stock.</w:t>
      </w:r>
    </w:p>
    <w:p>
      <w:pPr>
        <w:spacing w:after="0" w:line="194"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Class A common stock or other securities. Conversion may be mandatory or at the holder’s option and would be at prescribed conversion rates.</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together with Class A common stock, preferred stock and/ 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Information about selling securityholders, if any, will be set forth in a prospectus supplement. See “Selling Securityholders”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for working capital and general corporate purposes, including, but not limited to, general and administrative matters, repayment of debt, capital expenditures and acquisitions of other businesses or assets. See “Use of Proceeds” in this prospectus. Unless the applicable prospectus supplement provides otherwise, we will not receive any of the proceeds from the sale of our securities by selling securityholders.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“XMTR.”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Please also read carefully the section below titled “Special Note Regarding Forward-Looking Statements.”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each applicable prospectus supplement and the information incorporated by reference herein and therein contain forward-looking statements within the meaning of Section 27A of the Securities, and Section 21E of the Securities Exchange Act of 1934, as amended (the “Exchange Act”), which statements involve substantial risks and uncertainties.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 contained in this prospectus, the applicable prospectus supplement, and the information incorporated by reference herein and therein, including statements regarding our strategy, future operations, future financial position, future revenue, projected costs, prospects, plans, objectives of management and projections of market opportunity,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due to various factors, including, but not limited to, those set forth under the heading “Risk Factors” in this prospectus, any applicable prospectus supplement, the documents incorporated by reference therein or any free writing prospectus that we may authorize. In addition, our forward-looking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required by law, we undertake no obligation to update or revise any forward-looking statements to reflect new information or future events or developments.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in any prospectus supplement or in any related free writing prospectus that we may authorize to be provided to you in connection with a specific offering, we currently intend to use the net proceeds from the sale of securities under this prospectus for general corporate purposes, including but not limited to, general and administrative matters, repayment of debt, capital expenditures and acquisitions of other businesses or assets. As of the date of this prospectus, we cannot specify with certainty all of the particular uses of the net proceeds, if any, from the sale of securities under this prospectus. Accordingly, we will retain broad discretion over the use of such proceeds. We will set forth in the applicable prospectus supplement or free writing prospectus our intended use of the net proceeds received from the sale of any securities sold pursuant to the prospectus supplement or free writing prospectus. Pending the use of the net proceeds as described above, we intend to invest the net proceeds in investment-grade, interest-bearing instruments.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The following description summarizes selected information regarding our capital stock, as well as provisions of; (i) our amended and restated certificate of incorporation; (ii) our amended and restated bylaws; and (iii) the general Corporation Law of the State of Delaware (the “DGCL”). The following summary is qualified in its entirety by, and should be read in conjunction with, the amended and restated certificate of incorporation and the amended and restated bylaws, which are filed as exhibits to our most recent Annual Report on Form 10-K and are incorporated by reference herein.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 805,000,000 shares, all with a par value of $0.000001 per share, of which:</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shares are designated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Class B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are designated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vote together as a single class on all matters (including the election of directors) submitted to a vote of stockholders. The affirmative vote of holders of at least 66 2/3% of the voting power of all of the then-outstanding shares of capital stock, voting as a single class, are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 Our amended and restated certificate of incorporation does not provide for cumulative voting for the election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certificate of incorporation or required by applicable law, all shares of Class A common stock and Class B common stock have the same rights and privileges and rank equally, share ratably and be identical in all respects for all matters, including those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Class A common stock and Class B common stock are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our liquidation, dissolution or winding-up, the holders of Class A common stock and Class B common stock are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Transactions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treated equally and 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 of determining whether holders of common stock are treated equally and identically.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Subdivisions and Combinations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we subdivide or combine in any manner outstanding shares of Class A common stock or Class B common stock, the outstanding shares of the other classes will be subdivided or combined in the same manner.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the following:</w:t>
      </w:r>
    </w:p>
    <w:p>
      <w:pPr>
        <w:spacing w:after="0" w:line="27" w:lineRule="exact"/>
        <w:rPr>
          <w:sz w:val="20"/>
          <w:szCs w:val="20"/>
          <w:color w:val="auto"/>
        </w:rPr>
      </w:pPr>
    </w:p>
    <w:p>
      <w:pPr>
        <w:ind w:left="120" w:right="160" w:hanging="4"/>
        <w:spacing w:after="0" w:line="265" w:lineRule="auto"/>
        <w:tabs>
          <w:tab w:leader="none" w:pos="3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or transfer of such share of Class B common stock; (2) the death or incapacity of the Class B common stockholder; (3) such holder’s departure from our board of directors; and (4) on the final conversion date, defined as the earlier of (a) the seventh anniversary of our initial public offering; or</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date specified by vote of the holders of a majority of the outstanding shares of Class B common stock.</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may elect all of our directors. Our amended and restated certificate of incorporation and amended and restated bylaws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establish an advance notice procedure for stockholder proposals to be brought before an annual meeting of our stockholders, including proposed nominations of persons for election to our board of directors.</w:t>
      </w:r>
    </w:p>
    <w:p>
      <w:pPr>
        <w:spacing w:after="0" w:line="187"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0"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At any time when we have a class of voting stock that is either listed on a national securities exchange or held of record by more than 2,000 stockholders, we will be subject to Section 203 of the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is the exclusive forum for resolving any complaint asserting a cause of action arising under the Securities Act rule that such a provision is inapplicable for a particular claim or action or that such provision is unenforceable.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150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“XMTR.”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67" w:lineRule="exact"/>
        <w:rPr>
          <w:sz w:val="20"/>
          <w:szCs w:val="20"/>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if applicable, will be set forth in a prospectus supplement, in a post-effective amendment to this registration statement, or in filings we make with the SEC under the Exchange Act that are incorporated by reference.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320" w:top="455" w:right="10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or selling securityholders may sell the securities covered hereby from time to time pursuant to underwritten public offerings, direct sales to the public, “at the market” offerings, negotiated transactions, block trades or a combination of these methods. A distribution of these securities offered by this prospectus may also be effected through the issuance of derivative securities, including without limitation, warrants. We or selling securityholders may sell the securities to or through underwriters or dealers, through agents, or directly to one or more purchasers. We or selling securityholders may distribute securities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 or any selling securityholders;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Class A common stock, which is listed on the Nasdaq Global Select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Boston, Massachusetts.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Xometry, Inc. incorporated by reference in this Prospectus, and the effectiveness of Xometry,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5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Xometry, Inc. as of and for the fiscal year ended December 31, 2024, incorporated by reference in this Prospectus have been audited by KPMG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Xometry, Inc. has agreed to indemnify and hold KPMG LLP harmless against and from any and all legal costs and expenses incurred by KPMG LLP in successful defense of any legal action or proceeding that arises as a result of KPMG LLP’s consent to the incorporation by reference of its audit report on Xometry, Inc.’s past financial statements incorporated by reference in this registration statement.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or incorporated by reference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than the information contained in or incorporated by reference in this prospectus.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www.sec.gov </w:t>
      </w:r>
      <w:r>
        <w:rPr>
          <w:rFonts w:ascii="Times New Roman" w:cs="Times New Roman" w:eastAsia="Times New Roman" w:hAnsi="Times New Roman"/>
          <w:sz w:val="17"/>
          <w:szCs w:val="17"/>
          <w:color w:val="auto"/>
        </w:rPr>
        <w:t>that contains reports, proxy and information statements, and other information regarding issuers, such as us, that file electronically with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w:t>
      </w:r>
    </w:p>
    <w:p>
      <w:pPr>
        <w:spacing w:after="0" w:line="20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 Information contained in or accessible through our website does not constitute a part of this prospectus and is not incorporated by reference in this prospectus. We have included our website address as an inactive textual reference only.</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documents incorporated by reference into this prospectus contain important information that you should read about 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24, 2026;</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2025 from our Definitive Proxy Statement on </w:t>
      </w:r>
      <w:hyperlink r:id="rId4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45">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May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auto"/>
        </w:rPr>
        <w:t>, to the extent the information in such reports is filed and not furnished;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w:t>
      </w:r>
      <w:hyperlink r:id="rId49">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filed with the SEC on March 18, 2022, and any amendment or report filed with the SEC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Xometry, Inc., Attn: Secretary, 6116 Executive Boulevard, Suite 800, North Bethesda, Maryland 20852, and our telephone number is (240) 335-7914.</w:t>
      </w:r>
    </w:p>
    <w:p>
      <w:pPr>
        <w:spacing w:after="0" w:line="180"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344170</wp:posOffset>
            </wp:positionV>
            <wp:extent cx="2417445"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24174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28" w:lineRule="exact"/>
        <w:rPr>
          <w:sz w:val="20"/>
          <w:szCs w:val="20"/>
          <w:color w:val="auto"/>
        </w:rPr>
      </w:pPr>
    </w:p>
    <w:p>
      <w:pPr>
        <w:ind w:left="120"/>
        <w:spacing w:after="0"/>
        <w:tabs>
          <w:tab w:leader="none" w:pos="772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8"/>
          <w:szCs w:val="28"/>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tabs>
          <w:tab w:leader="none" w:pos="100" w:val="left"/>
          <w:tab w:leader="none" w:pos="100" w:val="left"/>
          <w:tab w:leader="none" w:pos="100" w:val="left"/>
        </w:tabs>
        <w:rPr>
          <w:sz w:val="20"/>
          <w:szCs w:val="20"/>
          <w:color w:val="auto"/>
        </w:rPr>
      </w:pPr>
      <w:r>
        <w:rPr>
          <w:rFonts w:ascii="Times New Roman" w:cs="Times New Roman" w:eastAsia="Times New Roman" w:hAnsi="Times New Roman"/>
          <w:sz w:val="18"/>
          <w:szCs w:val="18"/>
          <w:b w:val="1"/>
          <w:bCs w:val="1"/>
          <w:i w:val="1"/>
          <w:iCs w:val="1"/>
          <w:color w:val="auto"/>
        </w:rPr>
        <w:t> </w:t>
        <w:tab/>
        <w:t> </w:t>
        <w:tab/>
        <w:t> </w:t>
      </w:r>
      <w:r>
        <w:rPr>
          <w:sz w:val="20"/>
          <w:szCs w:val="20"/>
          <w:color w:val="auto"/>
        </w:rPr>
        <w:tab/>
      </w: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lowerRoman"/>
      <w:start w:val="10"/>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jpe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jpe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43" Type="http://schemas.openxmlformats.org/officeDocument/2006/relationships/hyperlink" Target="http://www.sec.gov/ix?doc=/Archives/edgar/data/1657573/000119312526066959/xmtr-20251231.htm" TargetMode="External"/><Relationship Id="rId44" Type="http://schemas.openxmlformats.org/officeDocument/2006/relationships/hyperlink" Target="http://www.sec.gov/ix?doc=/Archives/edgar/data/1657573/000119312526191498/xmtr-20260429.htm" TargetMode="External"/><Relationship Id="rId45" Type="http://schemas.openxmlformats.org/officeDocument/2006/relationships/hyperlink" Target="http://www.sec.gov/ix?doc=/Archives/edgar/data/1657573/000119312526211872/xmtr-20260331.htm" TargetMode="External"/><Relationship Id="rId46" Type="http://schemas.openxmlformats.org/officeDocument/2006/relationships/hyperlink" Target="http://www.sec.gov/ix?doc=/Archives/edgar/data/1657573/000119312526065196/xmtr-20260220.htm" TargetMode="External"/><Relationship Id="rId47" Type="http://schemas.openxmlformats.org/officeDocument/2006/relationships/hyperlink" Target="http://www.sec.gov/ix?doc=/Archives/edgar/data/1657573/000119312526214604/xmtr-20260506.htm" TargetMode="External"/><Relationship Id="rId48" Type="http://schemas.openxmlformats.org/officeDocument/2006/relationships/hyperlink" Target="http://www.sec.gov/ix?doc=/Archives/edgar/data/1657573/000119312526234396/xmtr-20260520.htm" TargetMode="External"/><Relationship Id="rId49" Type="http://schemas.openxmlformats.org/officeDocument/2006/relationships/hyperlink" Target="http://www.sec.gov/Archives/edgar/data/1657573/000095017022004158/xmtr-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2026-06-01T18:03:59Z</dcterms:created>
  <dcterms:modified xsi:type="dcterms:W3CDTF">2026-06-01T18:03:59Z</dcterms:modified>
</cp:coreProperties>
</file>