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3980" w:type="dxa"/>
            <w:vAlign w:val="bottom"/>
          </w:tcPr>
          <w:p>
            <w:pPr>
              <w:jc w:val="center"/>
              <w:ind w:right="229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001-40546</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32-0415449</w:t>
            </w:r>
          </w:p>
        </w:tc>
      </w:tr>
      <w:tr>
        <w:trPr>
          <w:trHeight w:val="148"/>
        </w:trPr>
        <w:tc>
          <w:tcPr>
            <w:tcW w:w="3980" w:type="dxa"/>
            <w:vAlign w:val="bottom"/>
          </w:tcPr>
          <w:p>
            <w:pPr>
              <w:jc w:val="center"/>
              <w:ind w:right="227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980" w:type="dxa"/>
            <w:vAlign w:val="bottom"/>
          </w:tcPr>
          <w:p>
            <w:pPr>
              <w:jc w:val="center"/>
              <w:ind w:right="227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980" w:type="dxa"/>
            <w:vAlign w:val="bottom"/>
          </w:tcPr>
          <w:p>
            <w:pPr>
              <w:jc w:val="center"/>
              <w:ind w:left="1198"/>
              <w:spacing w:after="0"/>
              <w:rPr>
                <w:sz w:val="20"/>
                <w:szCs w:val="20"/>
                <w:color w:val="auto"/>
              </w:rPr>
            </w:pPr>
            <w:r>
              <w:rPr>
                <w:rFonts w:ascii="Arial" w:cs="Arial" w:eastAsia="Arial" w:hAnsi="Arial"/>
                <w:sz w:val="18"/>
                <w:szCs w:val="18"/>
                <w:b w:val="1"/>
                <w:bCs w:val="1"/>
                <w:color w:val="auto"/>
                <w:w w:val="88"/>
              </w:rPr>
              <w:t>7529 Standish Place</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980" w:type="dxa"/>
            <w:vAlign w:val="bottom"/>
          </w:tcPr>
          <w:p>
            <w:pPr>
              <w:jc w:val="center"/>
              <w:ind w:left="1198"/>
              <w:spacing w:after="0"/>
              <w:rPr>
                <w:sz w:val="20"/>
                <w:szCs w:val="20"/>
                <w:color w:val="auto"/>
              </w:rPr>
            </w:pPr>
            <w:r>
              <w:rPr>
                <w:rFonts w:ascii="Arial" w:cs="Arial" w:eastAsia="Arial" w:hAnsi="Arial"/>
                <w:sz w:val="18"/>
                <w:szCs w:val="18"/>
                <w:b w:val="1"/>
                <w:bCs w:val="1"/>
                <w:color w:val="auto"/>
                <w:w w:val="88"/>
              </w:rPr>
              <w:t>Suite 200</w:t>
            </w:r>
          </w:p>
        </w:tc>
        <w:tc>
          <w:tcPr>
            <w:tcW w:w="23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3980" w:type="dxa"/>
            <w:vAlign w:val="bottom"/>
          </w:tcPr>
          <w:p>
            <w:pPr>
              <w:jc w:val="center"/>
              <w:ind w:left="1178"/>
              <w:spacing w:after="0"/>
              <w:rPr>
                <w:sz w:val="20"/>
                <w:szCs w:val="20"/>
                <w:color w:val="auto"/>
              </w:rPr>
            </w:pPr>
            <w:r>
              <w:rPr>
                <w:rFonts w:ascii="Arial" w:cs="Arial" w:eastAsia="Arial" w:hAnsi="Arial"/>
                <w:sz w:val="18"/>
                <w:szCs w:val="18"/>
                <w:b w:val="1"/>
                <w:bCs w:val="1"/>
                <w:color w:val="auto"/>
                <w:w w:val="93"/>
              </w:rPr>
              <w:t>Derwood, Maryland</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20855</w:t>
            </w:r>
          </w:p>
        </w:tc>
      </w:tr>
      <w:tr>
        <w:trPr>
          <w:trHeight w:val="186"/>
        </w:trPr>
        <w:tc>
          <w:tcPr>
            <w:tcW w:w="3980" w:type="dxa"/>
            <w:vAlign w:val="bottom"/>
          </w:tcPr>
          <w:p>
            <w:pPr>
              <w:jc w:val="center"/>
              <w:ind w:left="11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480"/>
              <w:spacing w:after="0" w:line="191" w:lineRule="exact"/>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Key Operational and Business Metrics for the Quarter Ended June 30, 2021</w:t>
      </w:r>
    </w:p>
    <w:p>
      <w:pPr>
        <w:spacing w:after="0" w:line="121"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On July 20, 2021, Xometry, Inc. (the “Company”) announced the following preliminary operational and business metrics for the quarter ended June 30, 2021.</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62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040" w:type="dxa"/>
            <w:vAlign w:val="bottom"/>
          </w:tcPr>
          <w:p>
            <w:pPr>
              <w:spacing w:after="0"/>
              <w:rPr>
                <w:sz w:val="12"/>
                <w:szCs w:val="12"/>
                <w:color w:val="auto"/>
              </w:rPr>
            </w:pPr>
          </w:p>
        </w:tc>
        <w:tc>
          <w:tcPr>
            <w:tcW w:w="72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Operational and Business Metrics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Active Buyers</w:t>
            </w:r>
          </w:p>
        </w:tc>
        <w:tc>
          <w:tcPr>
            <w:tcW w:w="720" w:type="dxa"/>
            <w:vAlign w:val="bottom"/>
          </w:tcPr>
          <w:p>
            <w:pPr>
              <w:jc w:val="right"/>
              <w:ind w:right="79"/>
              <w:spacing w:after="0"/>
              <w:rPr>
                <w:sz w:val="20"/>
                <w:szCs w:val="20"/>
                <w:color w:val="auto"/>
              </w:rPr>
            </w:pPr>
            <w:r>
              <w:rPr>
                <w:rFonts w:ascii="Arial" w:cs="Arial" w:eastAsia="Arial" w:hAnsi="Arial"/>
                <w:sz w:val="18"/>
                <w:szCs w:val="18"/>
                <w:color w:val="auto"/>
                <w:w w:val="98"/>
              </w:rPr>
              <w:t>11,527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18,846</w:t>
            </w:r>
          </w:p>
        </w:tc>
        <w:tc>
          <w:tcPr>
            <w:tcW w:w="880" w:type="dxa"/>
            <w:vAlign w:val="bottom"/>
          </w:tcPr>
          <w:p>
            <w:pPr>
              <w:jc w:val="right"/>
              <w:ind w:right="199"/>
              <w:spacing w:after="0"/>
              <w:rPr>
                <w:sz w:val="20"/>
                <w:szCs w:val="20"/>
                <w:color w:val="auto"/>
              </w:rPr>
            </w:pPr>
            <w:r>
              <w:rPr>
                <w:rFonts w:ascii="Arial" w:cs="Arial" w:eastAsia="Arial" w:hAnsi="Arial"/>
                <w:sz w:val="18"/>
                <w:szCs w:val="18"/>
                <w:color w:val="auto"/>
              </w:rPr>
              <w:t>21,345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23,942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Accounts with Last Twelve-Month Spend of at least $50,000</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266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w:t>
            </w:r>
          </w:p>
        </w:tc>
        <w:tc>
          <w:tcPr>
            <w:tcW w:w="8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r>
    </w:tbl>
    <w:p>
      <w:pPr>
        <w:spacing w:after="0" w:line="229" w:lineRule="exact"/>
        <w:rPr>
          <w:sz w:val="20"/>
          <w:szCs w:val="20"/>
          <w:color w:val="auto"/>
        </w:rPr>
      </w:pPr>
    </w:p>
    <w:p>
      <w:pPr>
        <w:ind w:left="424" w:right="40" w:hanging="424"/>
        <w:spacing w:after="0" w:line="263"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shown for Active Buyers and Accounts with Last Twelve-Month Spend of at least $50,000 are as of December 31, 2019 and 2020, March 31, 2021 and June 30, 2021. The amounts shown for Active Buyers as of December 31, 2020 and March 31, 2021 have been revised, as set forth below.</w:t>
      </w:r>
    </w:p>
    <w:p>
      <w:pPr>
        <w:spacing w:after="0" w:line="184"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These metrics reflect strong continued growth in the Company’s number of Active Buyers and the number of accounts with Last Twelve-Month Spend of at least $50,000 on our platform. In particular, the number of Active Buyers on the Company’s platform, which is defined as the number of buyers who have made at least one purchase on its marketplace during the last twelve months, reached 23,942 as of June 30, 2021, up 66% from 14,460 as of June 30, 2020. In addition, the number of accounts with Last Twelve-Month Spend of at least $50,000 on our platform, which is defined as an account that has spent at least $50,000 on the Company’s marketplace in the most recent twelve-month period, reached 508 as of June 30, 2021, up 54% from 330 as of June 30, 2020.</w:t>
      </w:r>
    </w:p>
    <w:p>
      <w:pPr>
        <w:spacing w:after="0" w:line="192"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The Company expects to announce its complete financial results for the quarter ended June 30, 2021 on August 12, 2021. The Company’s key operational and business metrics should be read together with the Company’s financial statements for the quarter ended June 30, 2021 and the related “Management’s Discussion and Analysis of Financial Condition and Results of Operations”, which will be disclosed in the Company’s 10-Q for the quarter ended June 30, 2021.</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Revised Active Buyer Metrics</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addition, the Company disclosed revised Active Buyer metrics for 2020 and the March 31, 2021 quarter. The previously announced Active Buyer metrics for 2020 and March 31, 2021 were overstated due to an error in data collection for its European operations. The revision of historical Active Buyers metrics has no impact on either the Company’s historical financial results or its outlook for its business. The revised Active Buyer metrics for 2020 and March 31, 2021 are reflected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144780</wp:posOffset>
            </wp:positionV>
            <wp:extent cx="5332095" cy="2417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2095" cy="241744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July 20, 2021</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2021-07-20T15:58:00Z</dcterms:created>
  <dcterms:modified xsi:type="dcterms:W3CDTF">2021-07-20T15:58:00Z</dcterms:modified>
</cp:coreProperties>
</file>