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Dutt Subir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Sales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21,798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110,431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One quarter (1/4) of the shares underlying the RSUs will vest on January 1, 2027 and the remainder of the shares underlying the RSUs vest quarterly for the 3 years thereafter, subject to the Reporting Person's continuous service.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4040" TargetMode="External"/><Relationship Id="rId14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2026-03-12T16:14:58Z</dcterms:created>
  <dcterms:modified xsi:type="dcterms:W3CDTF">2026-03-12T16:14:58Z</dcterms:modified>
</cp:coreProperties>
</file>