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left="340" w:right="2300"/>
        <w:spacing w:after="0" w:line="256" w:lineRule="auto"/>
        <w:rPr>
          <w:sz w:val="20"/>
          <w:szCs w:val="20"/>
          <w:color w:val="auto"/>
        </w:rPr>
      </w:pPr>
      <w:r>
        <w:rPr>
          <w:rFonts w:ascii="Times New Roman" w:cs="Times New Roman" w:eastAsia="Times New Roman" w:hAnsi="Times New Roman"/>
          <w:sz w:val="20"/>
          <w:szCs w:val="20"/>
          <w:b w:val="1"/>
          <w:bCs w:val="1"/>
          <w:color w:val="auto"/>
        </w:rPr>
        <w:t>INFORMATION TO BE INCLUDED IN STATEMENTS FILED PURSUANT TO RULE 13d-1(b), (c), AND (d) AND AMENDMENTS THERETO FILED PURSUANT TO RULE 13d-2(b)</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4)*</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Eddie C. Brown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Brown Capital Management, LLC</w:t>
      </w:r>
    </w:p>
    <w:p>
      <w:pPr>
        <w:jc w:val="center"/>
        <w:spacing w:after="0"/>
        <w:rPr>
          <w:sz w:val="20"/>
          <w:szCs w:val="20"/>
          <w:color w:val="auto"/>
        </w:rPr>
      </w:pPr>
      <w:r>
        <w:rPr>
          <w:rFonts w:ascii="Times New Roman" w:cs="Times New Roman" w:eastAsia="Times New Roman" w:hAnsi="Times New Roman"/>
          <w:sz w:val="20"/>
          <w:szCs w:val="20"/>
          <w:color w:val="auto"/>
        </w:rPr>
        <w:t>1201 N. Calvert Street</w:t>
      </w:r>
    </w:p>
    <w:p>
      <w:pPr>
        <w:jc w:val="center"/>
        <w:spacing w:after="0"/>
        <w:rPr>
          <w:sz w:val="20"/>
          <w:szCs w:val="20"/>
          <w:color w:val="auto"/>
        </w:rPr>
      </w:pPr>
      <w:r>
        <w:rPr>
          <w:rFonts w:ascii="Times New Roman" w:cs="Times New Roman" w:eastAsia="Times New Roman" w:hAnsi="Times New Roman"/>
          <w:sz w:val="20"/>
          <w:szCs w:val="20"/>
          <w:color w:val="auto"/>
        </w:rPr>
        <w:t>Baltimore, MD 21202</w:t>
      </w:r>
    </w:p>
    <w:p>
      <w:pPr>
        <w:jc w:val="center"/>
        <w:spacing w:after="0"/>
        <w:rPr>
          <w:sz w:val="20"/>
          <w:szCs w:val="20"/>
          <w:color w:val="auto"/>
        </w:rPr>
      </w:pPr>
      <w:r>
        <w:rPr>
          <w:rFonts w:ascii="Times New Roman" w:cs="Times New Roman" w:eastAsia="Times New Roman" w:hAnsi="Times New Roman"/>
          <w:sz w:val="20"/>
          <w:szCs w:val="20"/>
          <w:color w:val="auto"/>
        </w:rPr>
        <w:t>(410) 837-3234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80" w:hanging="4"/>
        <w:spacing w:after="0" w:line="274" w:lineRule="auto"/>
        <w:tabs>
          <w:tab w:leader="none" w:pos="940" w:val="left"/>
        </w:tabs>
        <w:numPr>
          <w:ilvl w:val="1"/>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13d-1(b) [ ] Rule 13d-1(c) [ ] Rule 13d-1(d)</w:t>
      </w:r>
    </w:p>
    <w:p>
      <w:pPr>
        <w:spacing w:after="0" w:line="169" w:lineRule="exact"/>
        <w:rPr>
          <w:rFonts w:ascii="Times New Roman" w:cs="Times New Roman" w:eastAsia="Times New Roman" w:hAnsi="Times New Roman"/>
          <w:sz w:val="19"/>
          <w:szCs w:val="19"/>
          <w:color w:val="auto"/>
        </w:rPr>
      </w:pPr>
    </w:p>
    <w:p>
      <w:pPr>
        <w:ind w:left="360" w:hanging="351"/>
        <w:spacing w:after="0" w:line="29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securities, and for any subsequent amendment containing information which would alter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4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03"/>
        </w:trPr>
        <w:tc>
          <w:tcPr>
            <w:tcW w:w="34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tcBorders>
          </w:tcPr>
          <w:p>
            <w:pPr>
              <w:ind w:left="1840"/>
              <w:spacing w:after="0"/>
              <w:rPr>
                <w:sz w:val="20"/>
                <w:szCs w:val="20"/>
                <w:color w:val="auto"/>
              </w:rPr>
            </w:pPr>
            <w:r>
              <w:rPr>
                <w:rFonts w:ascii="Times New Roman" w:cs="Times New Roman" w:eastAsia="Times New Roman" w:hAnsi="Times New Roman"/>
                <w:sz w:val="20"/>
                <w:szCs w:val="20"/>
                <w:color w:val="auto"/>
              </w:rPr>
              <w:t>Page 2 of 6 Pages</w:t>
            </w:r>
          </w:p>
        </w:tc>
      </w:tr>
      <w:tr>
        <w:trPr>
          <w:trHeight w:val="55"/>
        </w:trPr>
        <w:tc>
          <w:tcPr>
            <w:tcW w:w="340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r>
    </w:tbl>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6086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86475"/>
                    </a:xfrm>
                    <a:prstGeom prst="rect">
                      <a:avLst/>
                    </a:prstGeom>
                    <a:noFill/>
                  </pic:spPr>
                </pic:pic>
              </a:graphicData>
            </a:graphic>
          </wp:anchor>
        </w:drawing>
      </w:r>
    </w:p>
    <w:p>
      <w:pPr>
        <w:ind w:left="680" w:hanging="456"/>
        <w:spacing w:after="0"/>
        <w:tabs>
          <w:tab w:leader="none" w:pos="6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Brown Capital Management, LLC</w:t>
      </w:r>
    </w:p>
    <w:p>
      <w:pPr>
        <w:sectPr>
          <w:pgSz w:w="11900" w:h="16838" w:orient="portrait"/>
          <w:cols w:equalWidth="0" w:num="1">
            <w:col w:w="11240"/>
          </w:cols>
          <w:pgMar w:left="320" w:top="471" w:right="339" w:bottom="1440" w:gutter="0" w:footer="0" w:header="0"/>
        </w:sectPr>
      </w:pPr>
    </w:p>
    <w:p>
      <w:pPr>
        <w:spacing w:after="0" w:line="121" w:lineRule="exact"/>
        <w:rPr>
          <w:sz w:val="20"/>
          <w:szCs w:val="20"/>
          <w:color w:val="auto"/>
        </w:rPr>
      </w:pPr>
    </w:p>
    <w:p>
      <w:pPr>
        <w:ind w:left="680" w:right="3120" w:hanging="459"/>
        <w:spacing w:after="0" w:line="269" w:lineRule="auto"/>
        <w:tabs>
          <w:tab w:leader="none" w:pos="660" w:val="left"/>
        </w:tabs>
        <w:rPr>
          <w:sz w:val="20"/>
          <w:szCs w:val="20"/>
          <w:color w:val="auto"/>
        </w:rPr>
      </w:pPr>
      <w:r>
        <w:rPr>
          <w:rFonts w:ascii="Times New Roman" w:cs="Times New Roman" w:eastAsia="Times New Roman" w:hAnsi="Times New Roman"/>
          <w:sz w:val="20"/>
          <w:szCs w:val="20"/>
          <w:color w:val="auto"/>
        </w:rPr>
        <w:t>2.</w:t>
        <w:tab/>
        <w:t>CHECK THE APPROPRIATE BOX IF A MEMBER OF A GROUP (see instructions)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 ]</w:t>
      </w:r>
    </w:p>
    <w:p>
      <w:pPr>
        <w:spacing w:after="0" w:line="234" w:lineRule="exact"/>
        <w:rPr>
          <w:sz w:val="20"/>
          <w:szCs w:val="20"/>
          <w:color w:val="auto"/>
        </w:rPr>
      </w:pPr>
    </w:p>
    <w:p>
      <w:pPr>
        <w:sectPr>
          <w:pgSz w:w="11900" w:h="16838" w:orient="portrait"/>
          <w:cols w:equalWidth="0" w:num="2">
            <w:col w:w="9260" w:space="720"/>
            <w:col w:w="1260"/>
          </w:cols>
          <w:pgMar w:left="320" w:top="471" w:right="339" w:bottom="1440" w:gutter="0" w:footer="0" w:header="0"/>
          <w:type w:val="continuous"/>
        </w:sectPr>
      </w:pPr>
    </w:p>
    <w:p>
      <w:pPr>
        <w:spacing w:after="0" w:line="94" w:lineRule="exact"/>
        <w:rPr>
          <w:sz w:val="20"/>
          <w:szCs w:val="20"/>
          <w:color w:val="auto"/>
        </w:rPr>
      </w:pPr>
    </w:p>
    <w:p>
      <w:pPr>
        <w:ind w:left="680" w:hanging="456"/>
        <w:spacing w:after="0"/>
        <w:tabs>
          <w:tab w:leader="none" w:pos="6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96" w:lineRule="exact"/>
        <w:rPr>
          <w:rFonts w:ascii="Times New Roman" w:cs="Times New Roman" w:eastAsia="Times New Roman" w:hAnsi="Times New Roman"/>
          <w:sz w:val="20"/>
          <w:szCs w:val="20"/>
          <w:color w:val="auto"/>
        </w:rPr>
      </w:pPr>
    </w:p>
    <w:p>
      <w:pPr>
        <w:ind w:left="680" w:right="6540" w:hanging="456"/>
        <w:spacing w:after="0" w:line="181" w:lineRule="auto"/>
        <w:tabs>
          <w:tab w:leader="none" w:pos="68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 State of Maryland</w:t>
      </w:r>
    </w:p>
    <w:p>
      <w:pPr>
        <w:spacing w:after="0" w:line="94" w:lineRule="exact"/>
        <w:rPr>
          <w:rFonts w:ascii="Times New Roman" w:cs="Times New Roman" w:eastAsia="Times New Roman" w:hAnsi="Times New Roman"/>
          <w:sz w:val="37"/>
          <w:szCs w:val="37"/>
          <w:color w:val="auto"/>
          <w:vertAlign w:val="subscript"/>
        </w:rPr>
      </w:pPr>
    </w:p>
    <w:p>
      <w:pPr>
        <w:ind w:left="2920" w:hanging="455"/>
        <w:spacing w:after="0"/>
        <w:tabs>
          <w:tab w:leader="none" w:pos="29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258"/>
        </w:trPr>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2,475,016</w:t>
            </w:r>
          </w:p>
        </w:tc>
        <w:tc>
          <w:tcPr>
            <w:tcW w:w="0" w:type="dxa"/>
            <w:vAlign w:val="bottom"/>
          </w:tcPr>
          <w:p>
            <w:pPr>
              <w:spacing w:after="0"/>
              <w:rPr>
                <w:sz w:val="1"/>
                <w:szCs w:val="1"/>
                <w:color w:val="auto"/>
              </w:rPr>
            </w:pPr>
          </w:p>
        </w:tc>
      </w:tr>
      <w:tr>
        <w:trPr>
          <w:trHeight w:val="48"/>
        </w:trPr>
        <w:tc>
          <w:tcPr>
            <w:tcW w:w="1820" w:type="dxa"/>
            <w:vAlign w:val="bottom"/>
            <w:vMerge w:val="restart"/>
          </w:tcPr>
          <w:p>
            <w:pPr>
              <w:jc w:val="center"/>
              <w:ind w:right="321"/>
              <w:spacing w:after="0"/>
              <w:rPr>
                <w:sz w:val="20"/>
                <w:szCs w:val="20"/>
                <w:color w:val="auto"/>
              </w:rPr>
            </w:pPr>
            <w:r>
              <w:rPr>
                <w:rFonts w:ascii="Times New Roman" w:cs="Times New Roman" w:eastAsia="Times New Roman" w:hAnsi="Times New Roman"/>
                <w:sz w:val="20"/>
                <w:szCs w:val="20"/>
                <w:color w:val="auto"/>
                <w:w w:val="99"/>
              </w:rPr>
              <w:t>NUMBER OF</w:t>
            </w:r>
          </w:p>
        </w:tc>
        <w:tc>
          <w:tcPr>
            <w:tcW w:w="50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50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6.</w:t>
            </w:r>
          </w:p>
        </w:tc>
        <w:tc>
          <w:tcPr>
            <w:tcW w:w="848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07"/>
        </w:trPr>
        <w:tc>
          <w:tcPr>
            <w:tcW w:w="1820" w:type="dxa"/>
            <w:vAlign w:val="bottom"/>
          </w:tcPr>
          <w:p>
            <w:pPr>
              <w:jc w:val="center"/>
              <w:ind w:right="321"/>
              <w:spacing w:after="0" w:line="207" w:lineRule="exact"/>
              <w:rPr>
                <w:sz w:val="20"/>
                <w:szCs w:val="20"/>
                <w:color w:val="auto"/>
              </w:rPr>
            </w:pPr>
            <w:r>
              <w:rPr>
                <w:rFonts w:ascii="Times New Roman" w:cs="Times New Roman" w:eastAsia="Times New Roman" w:hAnsi="Times New Roman"/>
                <w:sz w:val="20"/>
                <w:szCs w:val="20"/>
                <w:color w:val="auto"/>
                <w:w w:val="99"/>
              </w:rPr>
              <w:t>SHARES</w:t>
            </w:r>
          </w:p>
        </w:tc>
        <w:tc>
          <w:tcPr>
            <w:tcW w:w="50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8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7"/>
              </w:rPr>
              <w:t>BENEFICIALLY</w:t>
            </w:r>
          </w:p>
        </w:tc>
        <w:tc>
          <w:tcPr>
            <w:tcW w:w="500" w:type="dxa"/>
            <w:vAlign w:val="bottom"/>
          </w:tcPr>
          <w:p>
            <w:pPr>
              <w:spacing w:after="0"/>
              <w:rPr>
                <w:sz w:val="21"/>
                <w:szCs w:val="21"/>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109"/>
        </w:trPr>
        <w:tc>
          <w:tcPr>
            <w:tcW w:w="1820" w:type="dxa"/>
            <w:vAlign w:val="bottom"/>
            <w:vMerge w:val="restart"/>
          </w:tcPr>
          <w:p>
            <w:pPr>
              <w:jc w:val="center"/>
              <w:ind w:right="301"/>
              <w:spacing w:after="0" w:line="207" w:lineRule="exact"/>
              <w:rPr>
                <w:sz w:val="20"/>
                <w:szCs w:val="20"/>
                <w:color w:val="auto"/>
              </w:rPr>
            </w:pPr>
            <w:r>
              <w:rPr>
                <w:rFonts w:ascii="Times New Roman" w:cs="Times New Roman" w:eastAsia="Times New Roman" w:hAnsi="Times New Roman"/>
                <w:sz w:val="20"/>
                <w:szCs w:val="20"/>
                <w:color w:val="auto"/>
                <w:w w:val="98"/>
              </w:rPr>
              <w:t>OWNED BY</w:t>
            </w:r>
          </w:p>
        </w:tc>
        <w:tc>
          <w:tcPr>
            <w:tcW w:w="500" w:type="dxa"/>
            <w:vAlign w:val="bottom"/>
            <w:tcBorders>
              <w:bottom w:val="single" w:sz="8" w:color="auto"/>
            </w:tcBorders>
          </w:tcPr>
          <w:p>
            <w:pPr>
              <w:spacing w:after="0"/>
              <w:rPr>
                <w:sz w:val="9"/>
                <w:szCs w:val="9"/>
                <w:color w:val="auto"/>
              </w:rPr>
            </w:pPr>
          </w:p>
        </w:tc>
        <w:tc>
          <w:tcPr>
            <w:tcW w:w="8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82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7.</w:t>
            </w:r>
          </w:p>
        </w:tc>
        <w:tc>
          <w:tcPr>
            <w:tcW w:w="84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229"/>
        </w:trPr>
        <w:tc>
          <w:tcPr>
            <w:tcW w:w="18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9"/>
              </w:rPr>
              <w:t>EACH</w:t>
            </w:r>
          </w:p>
        </w:tc>
        <w:tc>
          <w:tcPr>
            <w:tcW w:w="500" w:type="dxa"/>
            <w:vAlign w:val="bottom"/>
            <w:vMerge w:val="continue"/>
          </w:tcPr>
          <w:p>
            <w:pPr>
              <w:spacing w:after="0"/>
              <w:rPr>
                <w:sz w:val="19"/>
                <w:szCs w:val="19"/>
                <w:color w:val="auto"/>
              </w:rPr>
            </w:pPr>
          </w:p>
        </w:tc>
        <w:tc>
          <w:tcPr>
            <w:tcW w:w="8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7"/>
              </w:rPr>
              <w:t>REPORTING</w:t>
            </w:r>
          </w:p>
        </w:tc>
        <w:tc>
          <w:tcPr>
            <w:tcW w:w="500" w:type="dxa"/>
            <w:vAlign w:val="bottom"/>
          </w:tcPr>
          <w:p>
            <w:pPr>
              <w:spacing w:after="0"/>
              <w:rPr>
                <w:sz w:val="19"/>
                <w:szCs w:val="19"/>
                <w:color w:val="auto"/>
              </w:rPr>
            </w:pPr>
          </w:p>
        </w:tc>
        <w:tc>
          <w:tcPr>
            <w:tcW w:w="84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4,471,372</w:t>
            </w:r>
          </w:p>
        </w:tc>
        <w:tc>
          <w:tcPr>
            <w:tcW w:w="0" w:type="dxa"/>
            <w:vAlign w:val="bottom"/>
          </w:tcPr>
          <w:p>
            <w:pPr>
              <w:spacing w:after="0"/>
              <w:rPr>
                <w:sz w:val="1"/>
                <w:szCs w:val="1"/>
                <w:color w:val="auto"/>
              </w:rPr>
            </w:pPr>
          </w:p>
        </w:tc>
      </w:tr>
      <w:tr>
        <w:trPr>
          <w:trHeight w:val="258"/>
        </w:trPr>
        <w:tc>
          <w:tcPr>
            <w:tcW w:w="18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PERSON WITH</w:t>
            </w:r>
          </w:p>
        </w:tc>
        <w:tc>
          <w:tcPr>
            <w:tcW w:w="500" w:type="dxa"/>
            <w:vAlign w:val="bottom"/>
          </w:tcPr>
          <w:p>
            <w:pPr>
              <w:spacing w:after="0"/>
              <w:rPr>
                <w:sz w:val="22"/>
                <w:szCs w:val="22"/>
                <w:color w:val="auto"/>
              </w:rPr>
            </w:pPr>
          </w:p>
        </w:tc>
        <w:tc>
          <w:tcPr>
            <w:tcW w:w="8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920" w:right="5540" w:hanging="455"/>
        <w:spacing w:after="0" w:line="422" w:lineRule="auto"/>
        <w:tabs>
          <w:tab w:leader="none" w:pos="292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None</w:t>
      </w:r>
    </w:p>
    <w:p>
      <w:pPr>
        <w:spacing w:after="0" w:line="1" w:lineRule="exact"/>
        <w:rPr>
          <w:rFonts w:ascii="Times New Roman" w:cs="Times New Roman" w:eastAsia="Times New Roman" w:hAnsi="Times New Roman"/>
          <w:sz w:val="20"/>
          <w:szCs w:val="20"/>
          <w:color w:val="auto"/>
        </w:rPr>
      </w:pPr>
    </w:p>
    <w:p>
      <w:pPr>
        <w:ind w:left="680" w:right="3360" w:hanging="456"/>
        <w:spacing w:after="0" w:line="422" w:lineRule="auto"/>
        <w:tabs>
          <w:tab w:leader="none" w:pos="6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4,471,372</w:t>
      </w:r>
    </w:p>
    <w:p>
      <w:pPr>
        <w:spacing w:after="0" w:line="1" w:lineRule="exact"/>
        <w:rPr>
          <w:sz w:val="20"/>
          <w:szCs w:val="20"/>
          <w:color w:val="auto"/>
        </w:rPr>
      </w:pPr>
    </w:p>
    <w:p>
      <w:pPr>
        <w:ind w:left="680" w:right="3260" w:hanging="505"/>
        <w:spacing w:after="0" w:line="269" w:lineRule="auto"/>
        <w:tabs>
          <w:tab w:leader="none" w:pos="6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 ]</w:t>
      </w:r>
    </w:p>
    <w:p>
      <w:pPr>
        <w:spacing w:after="0" w:line="64" w:lineRule="exact"/>
        <w:rPr>
          <w:rFonts w:ascii="Times New Roman" w:cs="Times New Roman" w:eastAsia="Times New Roman" w:hAnsi="Times New Roman"/>
          <w:sz w:val="20"/>
          <w:szCs w:val="20"/>
          <w:color w:val="auto"/>
        </w:rPr>
      </w:pPr>
    </w:p>
    <w:p>
      <w:pPr>
        <w:ind w:left="680" w:right="5000" w:hanging="502"/>
        <w:spacing w:after="0" w:line="422" w:lineRule="auto"/>
        <w:tabs>
          <w:tab w:leader="none" w:pos="6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9.59%</w:t>
      </w:r>
    </w:p>
    <w:p>
      <w:pPr>
        <w:spacing w:after="0" w:line="1" w:lineRule="exact"/>
        <w:rPr>
          <w:rFonts w:ascii="Times New Roman" w:cs="Times New Roman" w:eastAsia="Times New Roman" w:hAnsi="Times New Roman"/>
          <w:sz w:val="20"/>
          <w:szCs w:val="20"/>
          <w:color w:val="auto"/>
        </w:rPr>
      </w:pPr>
    </w:p>
    <w:p>
      <w:pPr>
        <w:ind w:left="680" w:hanging="505"/>
        <w:spacing w:after="0"/>
        <w:tabs>
          <w:tab w:leader="none" w:pos="6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ectPr>
          <w:pgSz w:w="11900" w:h="16838" w:orient="portrait"/>
          <w:cols w:equalWidth="0" w:num="1">
            <w:col w:w="11240"/>
          </w:cols>
          <w:pgMar w:left="320" w:top="47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303"/>
        </w:trPr>
        <w:tc>
          <w:tcPr>
            <w:tcW w:w="34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tcBorders>
          </w:tcPr>
          <w:p>
            <w:pPr>
              <w:ind w:left="1840"/>
              <w:spacing w:after="0"/>
              <w:rPr>
                <w:sz w:val="20"/>
                <w:szCs w:val="20"/>
                <w:color w:val="auto"/>
              </w:rPr>
            </w:pPr>
            <w:r>
              <w:rPr>
                <w:rFonts w:ascii="Times New Roman" w:cs="Times New Roman" w:eastAsia="Times New Roman" w:hAnsi="Times New Roman"/>
                <w:sz w:val="20"/>
                <w:szCs w:val="20"/>
                <w:color w:val="auto"/>
              </w:rPr>
              <w:t>Page 3 of 6 Pages</w:t>
            </w:r>
          </w:p>
        </w:tc>
      </w:tr>
      <w:tr>
        <w:trPr>
          <w:trHeight w:val="55"/>
        </w:trPr>
        <w:tc>
          <w:tcPr>
            <w:tcW w:w="340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r>
    </w:tbl>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6120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ind w:left="680" w:hanging="449"/>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The Brown Capital Management Small Company Fund</w:t>
      </w:r>
    </w:p>
    <w:p>
      <w:pPr>
        <w:sectPr>
          <w:pgSz w:w="11900" w:h="16838" w:orient="portrait"/>
          <w:cols w:equalWidth="0" w:num="1">
            <w:col w:w="11240"/>
          </w:cols>
          <w:pgMar w:left="320" w:top="470" w:right="339" w:bottom="1440" w:gutter="0" w:footer="0" w:header="0"/>
        </w:sectPr>
      </w:pPr>
    </w:p>
    <w:p>
      <w:pPr>
        <w:spacing w:after="0" w:line="121" w:lineRule="exact"/>
        <w:rPr>
          <w:sz w:val="20"/>
          <w:szCs w:val="20"/>
          <w:color w:val="auto"/>
        </w:rPr>
      </w:pPr>
    </w:p>
    <w:p>
      <w:pPr>
        <w:ind w:left="680" w:right="3100" w:hanging="439"/>
        <w:spacing w:after="0" w:line="269" w:lineRule="auto"/>
        <w:tabs>
          <w:tab w:leader="none" w:pos="660" w:val="left"/>
        </w:tabs>
        <w:rPr>
          <w:sz w:val="20"/>
          <w:szCs w:val="20"/>
          <w:color w:val="auto"/>
        </w:rPr>
      </w:pPr>
      <w:r>
        <w:rPr>
          <w:rFonts w:ascii="Times New Roman" w:cs="Times New Roman" w:eastAsia="Times New Roman" w:hAnsi="Times New Roman"/>
          <w:sz w:val="20"/>
          <w:szCs w:val="20"/>
          <w:color w:val="auto"/>
        </w:rPr>
        <w:t>2.</w:t>
        <w:tab/>
        <w:t>CHECK THE APPROPRIATE BOX IF A MEMBER OF A GROUP (see instructions)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 ]</w:t>
      </w:r>
    </w:p>
    <w:p>
      <w:pPr>
        <w:spacing w:after="0" w:line="234" w:lineRule="exact"/>
        <w:rPr>
          <w:sz w:val="20"/>
          <w:szCs w:val="20"/>
          <w:color w:val="auto"/>
        </w:rPr>
      </w:pPr>
    </w:p>
    <w:p>
      <w:pPr>
        <w:sectPr>
          <w:pgSz w:w="11900" w:h="16838" w:orient="portrait"/>
          <w:cols w:equalWidth="0" w:num="2">
            <w:col w:w="9260" w:space="720"/>
            <w:col w:w="1260"/>
          </w:cols>
          <w:pgMar w:left="320" w:top="470" w:right="339" w:bottom="1440" w:gutter="0" w:footer="0" w:header="0"/>
          <w:type w:val="continuous"/>
        </w:sectPr>
      </w:pPr>
    </w:p>
    <w:p>
      <w:pPr>
        <w:spacing w:after="0" w:line="94" w:lineRule="exact"/>
        <w:rPr>
          <w:sz w:val="20"/>
          <w:szCs w:val="20"/>
          <w:color w:val="auto"/>
        </w:rPr>
      </w:pPr>
    </w:p>
    <w:p>
      <w:pPr>
        <w:ind w:left="680" w:hanging="449"/>
        <w:spacing w:after="0"/>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350" w:lineRule="exact"/>
        <w:rPr>
          <w:rFonts w:ascii="Times New Roman" w:cs="Times New Roman" w:eastAsia="Times New Roman" w:hAnsi="Times New Roman"/>
          <w:sz w:val="20"/>
          <w:szCs w:val="20"/>
          <w:color w:val="auto"/>
        </w:rPr>
      </w:pPr>
    </w:p>
    <w:p>
      <w:pPr>
        <w:ind w:left="680" w:right="6520" w:hanging="449"/>
        <w:spacing w:after="0" w:line="269"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State of Delaware</w:t>
      </w:r>
    </w:p>
    <w:p>
      <w:pPr>
        <w:spacing w:after="0" w:line="64" w:lineRule="exact"/>
        <w:rPr>
          <w:rFonts w:ascii="Times New Roman" w:cs="Times New Roman" w:eastAsia="Times New Roman" w:hAnsi="Times New Roman"/>
          <w:sz w:val="20"/>
          <w:szCs w:val="20"/>
          <w:color w:val="auto"/>
        </w:rPr>
      </w:pPr>
    </w:p>
    <w:p>
      <w:pPr>
        <w:ind w:left="2920" w:hanging="455"/>
        <w:spacing w:after="0"/>
        <w:tabs>
          <w:tab w:leader="none" w:pos="292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w:t>
      </w: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258"/>
        </w:trPr>
        <w:tc>
          <w:tcPr>
            <w:tcW w:w="1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1,720,020</w:t>
            </w:r>
          </w:p>
        </w:tc>
        <w:tc>
          <w:tcPr>
            <w:tcW w:w="0" w:type="dxa"/>
            <w:vAlign w:val="bottom"/>
          </w:tcPr>
          <w:p>
            <w:pPr>
              <w:spacing w:after="0"/>
              <w:rPr>
                <w:sz w:val="1"/>
                <w:szCs w:val="1"/>
                <w:color w:val="auto"/>
              </w:rPr>
            </w:pPr>
          </w:p>
        </w:tc>
      </w:tr>
      <w:tr>
        <w:trPr>
          <w:trHeight w:val="48"/>
        </w:trPr>
        <w:tc>
          <w:tcPr>
            <w:tcW w:w="1840" w:type="dxa"/>
            <w:vAlign w:val="bottom"/>
            <w:vMerge w:val="restart"/>
          </w:tcPr>
          <w:p>
            <w:pPr>
              <w:jc w:val="center"/>
              <w:ind w:right="341"/>
              <w:spacing w:after="0"/>
              <w:rPr>
                <w:sz w:val="20"/>
                <w:szCs w:val="20"/>
                <w:color w:val="auto"/>
              </w:rPr>
            </w:pPr>
            <w:r>
              <w:rPr>
                <w:rFonts w:ascii="Times New Roman" w:cs="Times New Roman" w:eastAsia="Times New Roman" w:hAnsi="Times New Roman"/>
                <w:sz w:val="20"/>
                <w:szCs w:val="20"/>
                <w:color w:val="auto"/>
                <w:w w:val="99"/>
              </w:rPr>
              <w:t>NUMBER OF</w:t>
            </w:r>
          </w:p>
        </w:tc>
        <w:tc>
          <w:tcPr>
            <w:tcW w:w="50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840" w:type="dxa"/>
            <w:vAlign w:val="bottom"/>
            <w:vMerge w:val="continue"/>
          </w:tcPr>
          <w:p>
            <w:pPr>
              <w:spacing w:after="0"/>
              <w:rPr>
                <w:sz w:val="19"/>
                <w:szCs w:val="19"/>
                <w:color w:val="auto"/>
              </w:rPr>
            </w:pPr>
          </w:p>
        </w:tc>
        <w:tc>
          <w:tcPr>
            <w:tcW w:w="50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6.</w:t>
            </w:r>
          </w:p>
        </w:tc>
        <w:tc>
          <w:tcPr>
            <w:tcW w:w="848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07"/>
        </w:trPr>
        <w:tc>
          <w:tcPr>
            <w:tcW w:w="1840" w:type="dxa"/>
            <w:vAlign w:val="bottom"/>
          </w:tcPr>
          <w:p>
            <w:pPr>
              <w:jc w:val="center"/>
              <w:ind w:right="341"/>
              <w:spacing w:after="0" w:line="207" w:lineRule="exact"/>
              <w:rPr>
                <w:sz w:val="20"/>
                <w:szCs w:val="20"/>
                <w:color w:val="auto"/>
              </w:rPr>
            </w:pPr>
            <w:r>
              <w:rPr>
                <w:rFonts w:ascii="Times New Roman" w:cs="Times New Roman" w:eastAsia="Times New Roman" w:hAnsi="Times New Roman"/>
                <w:sz w:val="20"/>
                <w:szCs w:val="20"/>
                <w:color w:val="auto"/>
                <w:w w:val="99"/>
              </w:rPr>
              <w:t>SHARES</w:t>
            </w:r>
          </w:p>
        </w:tc>
        <w:tc>
          <w:tcPr>
            <w:tcW w:w="50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840" w:type="dxa"/>
            <w:vAlign w:val="bottom"/>
          </w:tcPr>
          <w:p>
            <w:pPr>
              <w:jc w:val="center"/>
              <w:ind w:right="341"/>
              <w:spacing w:after="0"/>
              <w:rPr>
                <w:sz w:val="20"/>
                <w:szCs w:val="20"/>
                <w:color w:val="auto"/>
              </w:rPr>
            </w:pPr>
            <w:r>
              <w:rPr>
                <w:rFonts w:ascii="Times New Roman" w:cs="Times New Roman" w:eastAsia="Times New Roman" w:hAnsi="Times New Roman"/>
                <w:sz w:val="20"/>
                <w:szCs w:val="20"/>
                <w:color w:val="auto"/>
                <w:w w:val="97"/>
              </w:rPr>
              <w:t>BENEFICIALLY</w:t>
            </w:r>
          </w:p>
        </w:tc>
        <w:tc>
          <w:tcPr>
            <w:tcW w:w="500" w:type="dxa"/>
            <w:vAlign w:val="bottom"/>
          </w:tcPr>
          <w:p>
            <w:pPr>
              <w:spacing w:after="0"/>
              <w:rPr>
                <w:sz w:val="21"/>
                <w:szCs w:val="21"/>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109"/>
        </w:trPr>
        <w:tc>
          <w:tcPr>
            <w:tcW w:w="1840" w:type="dxa"/>
            <w:vAlign w:val="bottom"/>
            <w:vMerge w:val="restart"/>
          </w:tcPr>
          <w:p>
            <w:pPr>
              <w:jc w:val="center"/>
              <w:ind w:right="361"/>
              <w:spacing w:after="0" w:line="207" w:lineRule="exact"/>
              <w:rPr>
                <w:sz w:val="20"/>
                <w:szCs w:val="20"/>
                <w:color w:val="auto"/>
              </w:rPr>
            </w:pPr>
            <w:r>
              <w:rPr>
                <w:rFonts w:ascii="Times New Roman" w:cs="Times New Roman" w:eastAsia="Times New Roman" w:hAnsi="Times New Roman"/>
                <w:sz w:val="20"/>
                <w:szCs w:val="20"/>
                <w:color w:val="auto"/>
                <w:w w:val="98"/>
              </w:rPr>
              <w:t>OWNED BY</w:t>
            </w:r>
          </w:p>
        </w:tc>
        <w:tc>
          <w:tcPr>
            <w:tcW w:w="500" w:type="dxa"/>
            <w:vAlign w:val="bottom"/>
            <w:tcBorders>
              <w:bottom w:val="single" w:sz="8" w:color="auto"/>
            </w:tcBorders>
          </w:tcPr>
          <w:p>
            <w:pPr>
              <w:spacing w:after="0"/>
              <w:rPr>
                <w:sz w:val="9"/>
                <w:szCs w:val="9"/>
                <w:color w:val="auto"/>
              </w:rPr>
            </w:pPr>
          </w:p>
        </w:tc>
        <w:tc>
          <w:tcPr>
            <w:tcW w:w="8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840" w:type="dxa"/>
            <w:vAlign w:val="bottom"/>
            <w:vMerge w:val="continue"/>
          </w:tcPr>
          <w:p>
            <w:pPr>
              <w:spacing w:after="0"/>
              <w:rPr>
                <w:sz w:val="6"/>
                <w:szCs w:val="6"/>
                <w:color w:val="auto"/>
              </w:rPr>
            </w:pPr>
          </w:p>
        </w:tc>
        <w:tc>
          <w:tcPr>
            <w:tcW w:w="50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7.</w:t>
            </w:r>
          </w:p>
        </w:tc>
        <w:tc>
          <w:tcPr>
            <w:tcW w:w="84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229"/>
        </w:trPr>
        <w:tc>
          <w:tcPr>
            <w:tcW w:w="184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w w:val="99"/>
              </w:rPr>
              <w:t>EACH</w:t>
            </w:r>
          </w:p>
        </w:tc>
        <w:tc>
          <w:tcPr>
            <w:tcW w:w="500" w:type="dxa"/>
            <w:vAlign w:val="bottom"/>
            <w:vMerge w:val="continue"/>
          </w:tcPr>
          <w:p>
            <w:pPr>
              <w:spacing w:after="0"/>
              <w:rPr>
                <w:sz w:val="19"/>
                <w:szCs w:val="19"/>
                <w:color w:val="auto"/>
              </w:rPr>
            </w:pPr>
          </w:p>
        </w:tc>
        <w:tc>
          <w:tcPr>
            <w:tcW w:w="8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w w:val="97"/>
              </w:rPr>
              <w:t>REPORTING</w:t>
            </w:r>
          </w:p>
        </w:tc>
        <w:tc>
          <w:tcPr>
            <w:tcW w:w="500" w:type="dxa"/>
            <w:vAlign w:val="bottom"/>
          </w:tcPr>
          <w:p>
            <w:pPr>
              <w:spacing w:after="0"/>
              <w:rPr>
                <w:sz w:val="19"/>
                <w:szCs w:val="19"/>
                <w:color w:val="auto"/>
              </w:rPr>
            </w:pPr>
          </w:p>
        </w:tc>
        <w:tc>
          <w:tcPr>
            <w:tcW w:w="84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1,720,020</w:t>
            </w:r>
          </w:p>
        </w:tc>
        <w:tc>
          <w:tcPr>
            <w:tcW w:w="0" w:type="dxa"/>
            <w:vAlign w:val="bottom"/>
          </w:tcPr>
          <w:p>
            <w:pPr>
              <w:spacing w:after="0"/>
              <w:rPr>
                <w:sz w:val="1"/>
                <w:szCs w:val="1"/>
                <w:color w:val="auto"/>
              </w:rPr>
            </w:pPr>
          </w:p>
        </w:tc>
      </w:tr>
      <w:tr>
        <w:trPr>
          <w:trHeight w:val="258"/>
        </w:trPr>
        <w:tc>
          <w:tcPr>
            <w:tcW w:w="184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8"/>
              </w:rPr>
              <w:t>PERSON WITH</w:t>
            </w:r>
          </w:p>
        </w:tc>
        <w:tc>
          <w:tcPr>
            <w:tcW w:w="500" w:type="dxa"/>
            <w:vAlign w:val="bottom"/>
          </w:tcPr>
          <w:p>
            <w:pPr>
              <w:spacing w:after="0"/>
              <w:rPr>
                <w:sz w:val="22"/>
                <w:szCs w:val="22"/>
                <w:color w:val="auto"/>
              </w:rPr>
            </w:pPr>
          </w:p>
        </w:tc>
        <w:tc>
          <w:tcPr>
            <w:tcW w:w="8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920" w:right="5540" w:hanging="455"/>
        <w:spacing w:after="0" w:line="422" w:lineRule="auto"/>
        <w:tabs>
          <w:tab w:leader="none" w:pos="29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None</w:t>
      </w:r>
    </w:p>
    <w:p>
      <w:pPr>
        <w:spacing w:after="0" w:line="1" w:lineRule="exact"/>
        <w:rPr>
          <w:rFonts w:ascii="Times New Roman" w:cs="Times New Roman" w:eastAsia="Times New Roman" w:hAnsi="Times New Roman"/>
          <w:sz w:val="20"/>
          <w:szCs w:val="20"/>
          <w:color w:val="auto"/>
        </w:rPr>
      </w:pPr>
    </w:p>
    <w:p>
      <w:pPr>
        <w:ind w:left="680" w:right="3360" w:hanging="456"/>
        <w:spacing w:after="0" w:line="422"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1,720,020</w:t>
      </w:r>
    </w:p>
    <w:p>
      <w:pPr>
        <w:spacing w:after="0" w:line="1" w:lineRule="exact"/>
        <w:rPr>
          <w:sz w:val="20"/>
          <w:szCs w:val="20"/>
          <w:color w:val="auto"/>
        </w:rPr>
      </w:pPr>
    </w:p>
    <w:p>
      <w:pPr>
        <w:ind w:left="680" w:right="3260" w:hanging="505"/>
        <w:spacing w:after="0" w:line="269" w:lineRule="auto"/>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 ]</w:t>
      </w:r>
    </w:p>
    <w:p>
      <w:pPr>
        <w:spacing w:after="0" w:line="64" w:lineRule="exact"/>
        <w:rPr>
          <w:rFonts w:ascii="Times New Roman" w:cs="Times New Roman" w:eastAsia="Times New Roman" w:hAnsi="Times New Roman"/>
          <w:sz w:val="20"/>
          <w:szCs w:val="20"/>
          <w:color w:val="auto"/>
        </w:rPr>
      </w:pPr>
    </w:p>
    <w:p>
      <w:pPr>
        <w:ind w:left="680" w:right="5000" w:hanging="502"/>
        <w:spacing w:after="0" w:line="422" w:lineRule="auto"/>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3.69%</w:t>
      </w:r>
    </w:p>
    <w:p>
      <w:pPr>
        <w:spacing w:after="0" w:line="1" w:lineRule="exact"/>
        <w:rPr>
          <w:rFonts w:ascii="Times New Roman" w:cs="Times New Roman" w:eastAsia="Times New Roman" w:hAnsi="Times New Roman"/>
          <w:sz w:val="20"/>
          <w:szCs w:val="20"/>
          <w:color w:val="auto"/>
        </w:rPr>
      </w:pPr>
    </w:p>
    <w:p>
      <w:pPr>
        <w:ind w:left="680" w:hanging="505"/>
        <w:spacing w:after="0"/>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40"/>
          </w:cols>
          <w:pgMar w:left="320" w:top="470" w:right="339" w:bottom="1440" w:gutter="0" w:footer="0" w:header="0"/>
          <w:type w:val="continuous"/>
        </w:sectPr>
      </w:pPr>
    </w:p>
    <w:bookmarkStart w:id="3" w:name="page4"/>
    <w:bookmarkEnd w:id="3"/>
    <w:p>
      <w:pPr>
        <w:ind w:left="120"/>
        <w:spacing w:after="0"/>
        <w:tabs>
          <w:tab w:leader="none" w:pos="5440" w:val="left"/>
          <w:tab w:leader="none" w:pos="9700" w:val="left"/>
        </w:tabs>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5197475</wp:posOffset>
            </wp:positionH>
            <wp:positionV relativeFrom="page">
              <wp:posOffset>311785</wp:posOffset>
            </wp:positionV>
            <wp:extent cx="2143125" cy="231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2311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151380" cy="231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1380" cy="231140"/>
                    </a:xfrm>
                    <a:prstGeom prst="rect">
                      <a:avLst/>
                    </a:prstGeom>
                    <a:noFill/>
                  </pic:spPr>
                </pic:pic>
              </a:graphicData>
            </a:graphic>
          </wp:anchor>
        </w:drawing>
        <w:t>CUSIP No. 98423F109</w:t>
      </w:r>
      <w:r>
        <w:rPr>
          <w:sz w:val="20"/>
          <w:szCs w:val="20"/>
          <w:color w:val="auto"/>
        </w:rPr>
        <w:tab/>
      </w:r>
      <w:r>
        <w:rPr>
          <w:rFonts w:ascii="Times New Roman" w:cs="Times New Roman" w:eastAsia="Times New Roman" w:hAnsi="Times New Roman"/>
          <w:sz w:val="20"/>
          <w:szCs w:val="20"/>
          <w:color w:val="auto"/>
        </w:rPr>
        <w:t>13G</w:t>
      </w:r>
      <w:r>
        <w:rPr>
          <w:sz w:val="20"/>
          <w:szCs w:val="20"/>
          <w:color w:val="auto"/>
        </w:rPr>
        <w:tab/>
      </w:r>
      <w:r>
        <w:rPr>
          <w:rFonts w:ascii="Times New Roman" w:cs="Times New Roman" w:eastAsia="Times New Roman" w:hAnsi="Times New Roman"/>
          <w:sz w:val="19"/>
          <w:szCs w:val="19"/>
          <w:color w:val="auto"/>
        </w:rPr>
        <w:t>Page 4 of 6 Pages</w:t>
      </w:r>
    </w:p>
    <w:p>
      <w:pPr>
        <w:sectPr>
          <w:pgSz w:w="11900" w:h="16838" w:orient="portrait"/>
          <w:cols w:equalWidth="0" w:num="1">
            <w:col w:w="11120"/>
          </w:cols>
          <w:pgMar w:left="320" w:top="535" w:right="459" w:bottom="1440" w:gutter="0" w:footer="0" w:header="0"/>
        </w:sectPr>
      </w:pPr>
    </w:p>
    <w:p>
      <w:pPr>
        <w:spacing w:after="0" w:line="3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color w:val="auto"/>
        </w:rPr>
        <w:t>(a)Name of Issuer</w:t>
      </w:r>
    </w:p>
    <w:p>
      <w:pPr>
        <w:spacing w:after="0" w:line="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Xometry Inc.</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(b)Address of Issuer’s Principal Executive Offices</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6116 Executive Boulevard, Suite 800</w:t>
      </w:r>
    </w:p>
    <w:p>
      <w:pPr>
        <w:ind w:left="1120"/>
        <w:spacing w:after="0"/>
        <w:rPr>
          <w:sz w:val="20"/>
          <w:szCs w:val="20"/>
          <w:color w:val="auto"/>
        </w:rPr>
      </w:pPr>
      <w:r>
        <w:rPr>
          <w:rFonts w:ascii="Times New Roman" w:cs="Times New Roman" w:eastAsia="Times New Roman" w:hAnsi="Times New Roman"/>
          <w:sz w:val="20"/>
          <w:szCs w:val="20"/>
          <w:color w:val="auto"/>
        </w:rPr>
        <w:t>North Bethesda, MD 20852</w:t>
      </w:r>
    </w:p>
    <w:p>
      <w:pPr>
        <w:spacing w:after="0" w:line="20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color w:val="auto"/>
        </w:rPr>
        <w:t>(a)Name of Person Filing</w:t>
      </w:r>
    </w:p>
    <w:p>
      <w:pPr>
        <w:spacing w:after="0" w:line="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Brown Capital Management, LLC</w:t>
      </w:r>
    </w:p>
    <w:p>
      <w:pPr>
        <w:ind w:left="1120"/>
        <w:spacing w:after="0"/>
        <w:rPr>
          <w:sz w:val="20"/>
          <w:szCs w:val="20"/>
          <w:color w:val="auto"/>
        </w:rPr>
      </w:pPr>
      <w:r>
        <w:rPr>
          <w:rFonts w:ascii="Times New Roman" w:cs="Times New Roman" w:eastAsia="Times New Roman" w:hAnsi="Times New Roman"/>
          <w:sz w:val="20"/>
          <w:szCs w:val="20"/>
          <w:color w:val="auto"/>
        </w:rPr>
        <w:t>The Brown Capital Management Small Company Fund</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(b)Address of the Principal Office or, if none, residence</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1201 N. Calvert Street</w:t>
      </w:r>
    </w:p>
    <w:p>
      <w:pPr>
        <w:ind w:left="1120"/>
        <w:spacing w:after="0"/>
        <w:rPr>
          <w:sz w:val="20"/>
          <w:szCs w:val="20"/>
          <w:color w:val="auto"/>
        </w:rPr>
      </w:pPr>
      <w:r>
        <w:rPr>
          <w:rFonts w:ascii="Times New Roman" w:cs="Times New Roman" w:eastAsia="Times New Roman" w:hAnsi="Times New Roman"/>
          <w:sz w:val="20"/>
          <w:szCs w:val="20"/>
          <w:color w:val="auto"/>
        </w:rPr>
        <w:t>Baltimore, Maryland 21202</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(c)Citizenship</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Brown Capital Management, LLC is a Maryland Limited Liability Company</w:t>
      </w:r>
    </w:p>
    <w:p>
      <w:pPr>
        <w:ind w:left="1120" w:right="200"/>
        <w:spacing w:after="0" w:line="246" w:lineRule="auto"/>
        <w:rPr>
          <w:sz w:val="20"/>
          <w:szCs w:val="20"/>
          <w:color w:val="auto"/>
        </w:rPr>
      </w:pPr>
      <w:r>
        <w:rPr>
          <w:rFonts w:ascii="Times New Roman" w:cs="Times New Roman" w:eastAsia="Times New Roman" w:hAnsi="Times New Roman"/>
          <w:sz w:val="20"/>
          <w:szCs w:val="20"/>
          <w:color w:val="auto"/>
        </w:rPr>
        <w:t>The Brown Capital Management Small Company Fund is a series portfolio of Brown Capital Management Mutual Funds, a Delaware statutory trust</w:t>
      </w:r>
    </w:p>
    <w:p>
      <w:pPr>
        <w:spacing w:after="0" w:line="1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(d)Title of Class of Securities</w:t>
      </w:r>
    </w:p>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(e)CUSIP Number</w:t>
      </w:r>
    </w:p>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98423F109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If this statement is filed pursuant to §§240.13d-1(b) or 240.13d-2(b) or (c), check whether the person filing is a:</w:t>
      </w:r>
    </w:p>
    <w:p>
      <w:pPr>
        <w:spacing w:after="0" w:line="233" w:lineRule="exact"/>
        <w:rPr>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rFonts w:ascii="Times New Roman" w:cs="Times New Roman" w:eastAsia="Times New Roman" w:hAnsi="Times New Roman"/>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29" w:lineRule="exact"/>
        <w:rPr>
          <w:rFonts w:ascii="Times New Roman" w:cs="Times New Roman" w:eastAsia="Times New Roman" w:hAnsi="Times New Roman"/>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rFonts w:ascii="Times New Roman" w:cs="Times New Roman" w:eastAsia="Times New Roman" w:hAnsi="Times New Roman"/>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rFonts w:ascii="Times New Roman" w:cs="Times New Roman" w:eastAsia="Times New Roman" w:hAnsi="Times New Roman"/>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 investment adviser in accordance with §240.13d-1(b)(1)(ii)(E);</w:t>
      </w:r>
    </w:p>
    <w:p>
      <w:pPr>
        <w:spacing w:after="0" w:line="229" w:lineRule="exact"/>
        <w:rPr>
          <w:rFonts w:ascii="Times New Roman" w:cs="Times New Roman" w:eastAsia="Times New Roman" w:hAnsi="Times New Roman"/>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§240.13d-1(b)(1)(ii)(F);</w:t>
      </w:r>
    </w:p>
    <w:p>
      <w:pPr>
        <w:spacing w:after="0" w:line="229" w:lineRule="exact"/>
        <w:rPr>
          <w:rFonts w:ascii="Times New Roman" w:cs="Times New Roman" w:eastAsia="Times New Roman" w:hAnsi="Times New Roman"/>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parent holding company or control person in accordance with §240.13d-1(b)(1)(ii)(G);</w:t>
      </w:r>
    </w:p>
    <w:p>
      <w:pPr>
        <w:spacing w:after="0" w:line="229" w:lineRule="exact"/>
        <w:rPr>
          <w:rFonts w:ascii="Times New Roman" w:cs="Times New Roman" w:eastAsia="Times New Roman" w:hAnsi="Times New Roman"/>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associations as defined in Section 3(b) of the Federal Deposit Insurance Act (12 U.S.C. 1813);</w:t>
      </w:r>
    </w:p>
    <w:p>
      <w:pPr>
        <w:sectPr>
          <w:pgSz w:w="11900" w:h="16838" w:orient="portrait"/>
          <w:cols w:equalWidth="0" w:num="1">
            <w:col w:w="11120"/>
          </w:cols>
          <w:pgMar w:left="320" w:top="535" w:right="45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40"/>
              <w:spacing w:after="0"/>
              <w:rPr>
                <w:sz w:val="20"/>
                <w:szCs w:val="20"/>
                <w:color w:val="auto"/>
              </w:rPr>
            </w:pPr>
            <w:r>
              <w:rPr>
                <w:rFonts w:ascii="Times New Roman" w:cs="Times New Roman" w:eastAsia="Times New Roman" w:hAnsi="Times New Roman"/>
                <w:sz w:val="20"/>
                <w:szCs w:val="20"/>
                <w:color w:val="auto"/>
              </w:rPr>
              <w:t>Page 5 of 6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20" w:lineRule="exact"/>
        <w:rPr>
          <w:sz w:val="20"/>
          <w:szCs w:val="20"/>
          <w:color w:val="auto"/>
        </w:rPr>
      </w:pPr>
    </w:p>
    <w:p>
      <w:pPr>
        <w:ind w:left="1360" w:right="540" w:hanging="893"/>
        <w:spacing w:after="0" w:line="269" w:lineRule="auto"/>
        <w:tabs>
          <w:tab w:leader="none" w:pos="91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2" w:lineRule="exact"/>
        <w:rPr>
          <w:rFonts w:ascii="Times New Roman" w:cs="Times New Roman" w:eastAsia="Times New Roman" w:hAnsi="Times New Roman"/>
          <w:sz w:val="20"/>
          <w:szCs w:val="20"/>
          <w:color w:val="auto"/>
        </w:rPr>
      </w:pPr>
    </w:p>
    <w:p>
      <w:pPr>
        <w:ind w:left="920" w:hanging="453"/>
        <w:spacing w:after="0"/>
        <w:tabs>
          <w:tab w:leader="none" w:pos="9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§240.13d-1(b)(1)(ii)(J).</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920" w:type="dxa"/>
            <w:vAlign w:val="bottom"/>
          </w:tcPr>
          <w:p>
            <w:pPr>
              <w:jc w:val="center"/>
              <w:ind w:left="2101"/>
              <w:spacing w:after="0"/>
              <w:rPr>
                <w:sz w:val="20"/>
                <w:szCs w:val="20"/>
                <w:color w:val="auto"/>
              </w:rPr>
            </w:pPr>
            <w:r>
              <w:rPr>
                <w:rFonts w:ascii="Times New Roman" w:cs="Times New Roman" w:eastAsia="Times New Roman" w:hAnsi="Times New Roman"/>
                <w:sz w:val="20"/>
                <w:szCs w:val="20"/>
                <w:b w:val="1"/>
                <w:bCs w:val="1"/>
                <w:color w:val="auto"/>
                <w:w w:val="98"/>
              </w:rPr>
              <w:t>Brown Capital</w:t>
            </w:r>
          </w:p>
        </w:tc>
        <w:tc>
          <w:tcPr>
            <w:tcW w:w="200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8"/>
              </w:rPr>
              <w:t>The Brown Capital</w:t>
            </w:r>
          </w:p>
        </w:tc>
      </w:tr>
      <w:tr>
        <w:trPr>
          <w:trHeight w:val="229"/>
        </w:trPr>
        <w:tc>
          <w:tcPr>
            <w:tcW w:w="4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920" w:type="dxa"/>
            <w:vAlign w:val="bottom"/>
          </w:tcPr>
          <w:p>
            <w:pPr>
              <w:jc w:val="center"/>
              <w:ind w:left="2101"/>
              <w:spacing w:after="0"/>
              <w:rPr>
                <w:sz w:val="20"/>
                <w:szCs w:val="20"/>
                <w:color w:val="auto"/>
              </w:rPr>
            </w:pPr>
            <w:r>
              <w:rPr>
                <w:rFonts w:ascii="Times New Roman" w:cs="Times New Roman" w:eastAsia="Times New Roman" w:hAnsi="Times New Roman"/>
                <w:sz w:val="20"/>
                <w:szCs w:val="20"/>
                <w:b w:val="1"/>
                <w:bCs w:val="1"/>
                <w:color w:val="auto"/>
                <w:w w:val="98"/>
              </w:rPr>
              <w:t>Management,</w:t>
            </w:r>
          </w:p>
        </w:tc>
        <w:tc>
          <w:tcPr>
            <w:tcW w:w="200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9"/>
              </w:rPr>
              <w:t>Mgmt Small</w:t>
            </w:r>
          </w:p>
        </w:tc>
      </w:tr>
      <w:tr>
        <w:trPr>
          <w:trHeight w:val="262"/>
        </w:trPr>
        <w:tc>
          <w:tcPr>
            <w:tcW w:w="4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3920" w:type="dxa"/>
            <w:vAlign w:val="bottom"/>
          </w:tcPr>
          <w:p>
            <w:pPr>
              <w:jc w:val="center"/>
              <w:ind w:left="2101"/>
              <w:spacing w:after="0"/>
              <w:rPr>
                <w:sz w:val="20"/>
                <w:szCs w:val="20"/>
                <w:color w:val="auto"/>
              </w:rPr>
            </w:pPr>
            <w:r>
              <w:rPr>
                <w:rFonts w:ascii="Times New Roman" w:cs="Times New Roman" w:eastAsia="Times New Roman" w:hAnsi="Times New Roman"/>
                <w:sz w:val="20"/>
                <w:szCs w:val="20"/>
                <w:b w:val="1"/>
                <w:bCs w:val="1"/>
                <w:color w:val="auto"/>
                <w:w w:val="97"/>
              </w:rPr>
              <w:t>LLC</w:t>
            </w:r>
          </w:p>
        </w:tc>
        <w:tc>
          <w:tcPr>
            <w:tcW w:w="200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rPr>
              <w:t>Company Fund</w:t>
            </w:r>
          </w:p>
        </w:tc>
      </w:tr>
      <w:tr>
        <w:trPr>
          <w:trHeight w:val="21"/>
        </w:trPr>
        <w:tc>
          <w:tcPr>
            <w:tcW w:w="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63"/>
        </w:trPr>
        <w:tc>
          <w:tcPr>
            <w:tcW w:w="440" w:type="dxa"/>
            <w:vAlign w:val="bottom"/>
            <w:tcBorders>
              <w:bottom w:val="single" w:sz="8" w:color="DCDCDC"/>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(a)</w:t>
            </w:r>
          </w:p>
        </w:tc>
        <w:tc>
          <w:tcPr>
            <w:tcW w:w="4880" w:type="dxa"/>
            <w:vAlign w:val="bottom"/>
            <w:tcBorders>
              <w:bottom w:val="single" w:sz="8" w:color="DCDCDC"/>
            </w:tcBorders>
            <w:shd w:val="clear" w:color="auto" w:fill="DCDCDC"/>
          </w:tcPr>
          <w:p>
            <w:pPr>
              <w:ind w:left="160"/>
              <w:spacing w:after="0"/>
              <w:rPr>
                <w:sz w:val="20"/>
                <w:szCs w:val="20"/>
                <w:color w:val="auto"/>
              </w:rPr>
            </w:pPr>
            <w:r>
              <w:rPr>
                <w:rFonts w:ascii="Times New Roman" w:cs="Times New Roman" w:eastAsia="Times New Roman" w:hAnsi="Times New Roman"/>
                <w:sz w:val="20"/>
                <w:szCs w:val="20"/>
                <w:color w:val="auto"/>
              </w:rPr>
              <w:t>Amount beneficially owned:</w:t>
            </w:r>
          </w:p>
        </w:tc>
        <w:tc>
          <w:tcPr>
            <w:tcW w:w="3920" w:type="dxa"/>
            <w:vAlign w:val="bottom"/>
            <w:tcBorders>
              <w:bottom w:val="single" w:sz="8" w:color="DCDCDC"/>
            </w:tcBorders>
            <w:shd w:val="clear" w:color="auto" w:fill="DCDCDC"/>
          </w:tcPr>
          <w:p>
            <w:pPr>
              <w:jc w:val="right"/>
              <w:ind w:right="361"/>
              <w:spacing w:after="0"/>
              <w:rPr>
                <w:sz w:val="20"/>
                <w:szCs w:val="20"/>
                <w:color w:val="auto"/>
              </w:rPr>
            </w:pPr>
            <w:r>
              <w:rPr>
                <w:rFonts w:ascii="Times New Roman" w:cs="Times New Roman" w:eastAsia="Times New Roman" w:hAnsi="Times New Roman"/>
                <w:sz w:val="20"/>
                <w:szCs w:val="20"/>
                <w:color w:val="auto"/>
              </w:rPr>
              <w:t>4,471,372</w:t>
            </w:r>
          </w:p>
        </w:tc>
        <w:tc>
          <w:tcPr>
            <w:tcW w:w="2000" w:type="dxa"/>
            <w:vAlign w:val="bottom"/>
            <w:tcBorders>
              <w:bottom w:val="single" w:sz="8" w:color="DCDCDC"/>
            </w:tcBorders>
            <w:shd w:val="clear" w:color="auto" w:fill="DCDCDC"/>
          </w:tcPr>
          <w:p>
            <w:pPr>
              <w:jc w:val="right"/>
              <w:ind w:right="461"/>
              <w:spacing w:after="0"/>
              <w:rPr>
                <w:sz w:val="20"/>
                <w:szCs w:val="20"/>
                <w:color w:val="auto"/>
              </w:rPr>
            </w:pPr>
            <w:r>
              <w:rPr>
                <w:rFonts w:ascii="Times New Roman" w:cs="Times New Roman" w:eastAsia="Times New Roman" w:hAnsi="Times New Roman"/>
                <w:sz w:val="20"/>
                <w:szCs w:val="20"/>
                <w:color w:val="auto"/>
              </w:rPr>
              <w:t>1,720,020</w:t>
            </w:r>
          </w:p>
        </w:tc>
      </w:tr>
      <w:tr>
        <w:trPr>
          <w:trHeight w:val="263"/>
        </w:trPr>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Percent of class:</w:t>
            </w:r>
          </w:p>
        </w:tc>
        <w:tc>
          <w:tcPr>
            <w:tcW w:w="392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9.59%</w:t>
            </w:r>
          </w:p>
        </w:tc>
        <w:tc>
          <w:tcPr>
            <w:tcW w:w="200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 w:lineRule="exact"/>
        <w:rPr>
          <w:sz w:val="20"/>
          <w:szCs w:val="20"/>
          <w:color w:val="auto"/>
        </w:rPr>
      </w:pPr>
    </w:p>
    <w:p>
      <w:pPr>
        <w:ind w:left="600" w:hanging="565"/>
        <w:spacing w:after="0"/>
        <w:tabs>
          <w:tab w:leader="none" w:pos="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w:t>
            </w:r>
          </w:p>
        </w:tc>
        <w:tc>
          <w:tcPr>
            <w:tcW w:w="5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2600" w:type="dxa"/>
            <w:vAlign w:val="bottom"/>
          </w:tcPr>
          <w:p>
            <w:pPr>
              <w:jc w:val="center"/>
              <w:ind w:left="581"/>
              <w:spacing w:after="0"/>
              <w:rPr>
                <w:sz w:val="20"/>
                <w:szCs w:val="20"/>
                <w:color w:val="auto"/>
              </w:rPr>
            </w:pPr>
            <w:r>
              <w:rPr>
                <w:rFonts w:ascii="Times New Roman" w:cs="Times New Roman" w:eastAsia="Times New Roman" w:hAnsi="Times New Roman"/>
                <w:sz w:val="20"/>
                <w:szCs w:val="20"/>
                <w:color w:val="auto"/>
                <w:w w:val="99"/>
              </w:rPr>
              <w:t>2,475,016</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1,720,020</w:t>
            </w:r>
          </w:p>
        </w:tc>
      </w:tr>
      <w:tr>
        <w:trPr>
          <w:trHeight w:val="21"/>
        </w:trPr>
        <w:tc>
          <w:tcPr>
            <w:tcW w:w="10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63"/>
        </w:trPr>
        <w:tc>
          <w:tcPr>
            <w:tcW w:w="1040" w:type="dxa"/>
            <w:vAlign w:val="bottom"/>
            <w:tcBorders>
              <w:bottom w:val="single" w:sz="8" w:color="DCDCDC"/>
            </w:tcBorders>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(ii)</w:t>
            </w:r>
          </w:p>
        </w:tc>
        <w:tc>
          <w:tcPr>
            <w:tcW w:w="5700" w:type="dxa"/>
            <w:vAlign w:val="bottom"/>
            <w:tcBorders>
              <w:bottom w:val="single" w:sz="8" w:color="DCDCDC"/>
            </w:tcBorders>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2600" w:type="dxa"/>
            <w:vAlign w:val="bottom"/>
            <w:tcBorders>
              <w:bottom w:val="single" w:sz="8" w:color="DCDCDC"/>
            </w:tcBorders>
            <w:shd w:val="clear" w:color="auto" w:fill="DCDCDC"/>
          </w:tcPr>
          <w:p>
            <w:pPr>
              <w:jc w:val="center"/>
              <w:ind w:left="601"/>
              <w:spacing w:after="0"/>
              <w:rPr>
                <w:sz w:val="20"/>
                <w:szCs w:val="20"/>
                <w:color w:val="auto"/>
              </w:rPr>
            </w:pPr>
            <w:r>
              <w:rPr>
                <w:rFonts w:ascii="Times New Roman" w:cs="Times New Roman" w:eastAsia="Times New Roman" w:hAnsi="Times New Roman"/>
                <w:sz w:val="20"/>
                <w:szCs w:val="20"/>
                <w:color w:val="auto"/>
                <w:w w:val="96"/>
              </w:rPr>
              <w:t>None</w:t>
            </w:r>
          </w:p>
        </w:tc>
        <w:tc>
          <w:tcPr>
            <w:tcW w:w="1900" w:type="dxa"/>
            <w:vAlign w:val="bottom"/>
            <w:tcBorders>
              <w:bottom w:val="single" w:sz="8" w:color="DCDCDC"/>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r>
      <w:tr>
        <w:trPr>
          <w:trHeight w:val="263"/>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(iii)</w:t>
            </w:r>
          </w:p>
        </w:tc>
        <w:tc>
          <w:tcPr>
            <w:tcW w:w="5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2600" w:type="dxa"/>
            <w:vAlign w:val="bottom"/>
          </w:tcPr>
          <w:p>
            <w:pPr>
              <w:jc w:val="center"/>
              <w:ind w:left="581"/>
              <w:spacing w:after="0"/>
              <w:rPr>
                <w:sz w:val="20"/>
                <w:szCs w:val="20"/>
                <w:color w:val="auto"/>
              </w:rPr>
            </w:pPr>
            <w:r>
              <w:rPr>
                <w:rFonts w:ascii="Times New Roman" w:cs="Times New Roman" w:eastAsia="Times New Roman" w:hAnsi="Times New Roman"/>
                <w:sz w:val="20"/>
                <w:szCs w:val="20"/>
                <w:color w:val="auto"/>
                <w:w w:val="99"/>
              </w:rPr>
              <w:t>4,471,372</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1,720,020</w:t>
            </w:r>
          </w:p>
        </w:tc>
      </w:tr>
      <w:tr>
        <w:trPr>
          <w:trHeight w:val="21"/>
        </w:trPr>
        <w:tc>
          <w:tcPr>
            <w:tcW w:w="10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63"/>
        </w:trPr>
        <w:tc>
          <w:tcPr>
            <w:tcW w:w="1040" w:type="dxa"/>
            <w:vAlign w:val="bottom"/>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(iv)</w:t>
            </w:r>
          </w:p>
        </w:tc>
        <w:tc>
          <w:tcPr>
            <w:tcW w:w="5700" w:type="dxa"/>
            <w:vAlign w:val="bottom"/>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2600" w:type="dxa"/>
            <w:vAlign w:val="bottom"/>
            <w:shd w:val="clear" w:color="auto" w:fill="DCDCDC"/>
          </w:tcPr>
          <w:p>
            <w:pPr>
              <w:jc w:val="center"/>
              <w:ind w:left="601"/>
              <w:spacing w:after="0"/>
              <w:rPr>
                <w:sz w:val="20"/>
                <w:szCs w:val="20"/>
                <w:color w:val="auto"/>
              </w:rPr>
            </w:pPr>
            <w:r>
              <w:rPr>
                <w:rFonts w:ascii="Times New Roman" w:cs="Times New Roman" w:eastAsia="Times New Roman" w:hAnsi="Times New Roman"/>
                <w:sz w:val="20"/>
                <w:szCs w:val="20"/>
                <w:color w:val="auto"/>
                <w:w w:val="96"/>
              </w:rPr>
              <w:t>None</w:t>
            </w:r>
          </w:p>
        </w:tc>
        <w:tc>
          <w:tcPr>
            <w:tcW w:w="1900" w:type="dxa"/>
            <w:vAlign w:val="bottom"/>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r>
      <w:tr>
        <w:trPr>
          <w:trHeight w:val="21"/>
        </w:trPr>
        <w:tc>
          <w:tcPr>
            <w:tcW w:w="1040" w:type="dxa"/>
            <w:vAlign w:val="bottom"/>
            <w:shd w:val="clear" w:color="auto" w:fill="DCDCDC"/>
          </w:tcPr>
          <w:p>
            <w:pPr>
              <w:spacing w:after="0" w:line="20" w:lineRule="exact"/>
              <w:rPr>
                <w:sz w:val="1"/>
                <w:szCs w:val="1"/>
                <w:color w:val="auto"/>
              </w:rPr>
            </w:pPr>
          </w:p>
        </w:tc>
        <w:tc>
          <w:tcPr>
            <w:tcW w:w="5700" w:type="dxa"/>
            <w:vAlign w:val="bottom"/>
            <w:shd w:val="clear" w:color="auto" w:fill="DCDCDC"/>
          </w:tcPr>
          <w:p>
            <w:pPr>
              <w:spacing w:after="0" w:line="20" w:lineRule="exact"/>
              <w:rPr>
                <w:sz w:val="1"/>
                <w:szCs w:val="1"/>
                <w:color w:val="auto"/>
              </w:rPr>
            </w:pPr>
          </w:p>
        </w:tc>
        <w:tc>
          <w:tcPr>
            <w:tcW w:w="2600" w:type="dxa"/>
            <w:vAlign w:val="bottom"/>
            <w:shd w:val="clear" w:color="auto" w:fill="DCDCDC"/>
          </w:tcPr>
          <w:p>
            <w:pPr>
              <w:spacing w:after="0" w:line="20" w:lineRule="exact"/>
              <w:rPr>
                <w:sz w:val="1"/>
                <w:szCs w:val="1"/>
                <w:color w:val="auto"/>
              </w:rPr>
            </w:pPr>
          </w:p>
        </w:tc>
        <w:tc>
          <w:tcPr>
            <w:tcW w:w="1900" w:type="dxa"/>
            <w:vAlign w:val="bottom"/>
            <w:shd w:val="clear" w:color="auto" w:fill="DCDCDC"/>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Ownership of Five Percent or Less of a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 five percent of the class of securities, check the following [ ].</w:t>
      </w:r>
    </w:p>
    <w:p>
      <w:pPr>
        <w:spacing w:after="0"/>
        <w:rPr>
          <w:sz w:val="20"/>
          <w:szCs w:val="20"/>
          <w:color w:val="auto"/>
        </w:rPr>
      </w:pPr>
      <w:r>
        <w:rPr>
          <w:rFonts w:ascii="Times New Roman" w:cs="Times New Roman" w:eastAsia="Times New Roman" w:hAnsi="Times New Roman"/>
          <w:sz w:val="20"/>
          <w:szCs w:val="20"/>
          <w:i w:val="1"/>
          <w:iCs w:val="1"/>
          <w:color w:val="auto"/>
        </w:rPr>
        <w:t>Instruction</w:t>
      </w:r>
      <w:r>
        <w:rPr>
          <w:rFonts w:ascii="Times New Roman" w:cs="Times New Roman" w:eastAsia="Times New Roman" w:hAnsi="Times New Roman"/>
          <w:sz w:val="20"/>
          <w:szCs w:val="20"/>
          <w:color w:val="auto"/>
        </w:rPr>
        <w:t>. Dissolution of a group requires a response to this item.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Ownership of More than Five Percent on Behalf of Another Person.</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All of the shares of Common Stock set forth in Item 4 are owned by various investment advisory clients of Brown Capital Management, LLC, which is deemed to be a beneficial owner of those shares pursuant to Rule 13d-3 under the Securities Exchange Act of 1934, due to its discretionary power to make investment decisions over such shares for its clients and/or its ability to vote such shares. In all cases, persons other than Brown Capital Management, LLC have the right to receive, or the power to direct the receipt of, dividends from, or the proceeds from the sale of the shares. No individual client holds more than five percent of the class, other than the Brown Capital Management Small Company Fund as disclosed in this filing.</w:t>
      </w:r>
    </w:p>
    <w:p>
      <w:pPr>
        <w:spacing w:after="0" w:line="19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471"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40"/>
              <w:spacing w:after="0"/>
              <w:rPr>
                <w:sz w:val="20"/>
                <w:szCs w:val="20"/>
                <w:color w:val="auto"/>
              </w:rPr>
            </w:pPr>
            <w:r>
              <w:rPr>
                <w:rFonts w:ascii="Times New Roman" w:cs="Times New Roman" w:eastAsia="Times New Roman" w:hAnsi="Times New Roman"/>
                <w:sz w:val="20"/>
                <w:szCs w:val="20"/>
                <w:color w:val="auto"/>
              </w:rPr>
              <w:t>Page 6 of 6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Certification.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Brown Capital Management, LLC</w:t>
      </w:r>
    </w:p>
    <w:p>
      <w:pPr>
        <w:spacing w:after="0" w:line="23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0"/>
          <w:szCs w:val="20"/>
          <w:color w:val="auto"/>
        </w:rPr>
        <w:t>By:</w:t>
        <w:tab/>
        <w:t>/s/ Eddie C. Brown</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Eddie C.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-144780</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20"/>
          <w:szCs w:val="20"/>
          <w:color w:val="auto"/>
        </w:rPr>
        <w:t>Title:  CEO</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Date: November 12, 2024</w:t>
      </w:r>
    </w:p>
    <w:sectPr>
      <w:pgSz w:w="11900" w:h="16838" w:orient="portrait"/>
      <w:cols w:equalWidth="0" w:num="1">
        <w:col w:w="11240"/>
      </w:cols>
      <w:pgMar w:left="320" w:top="4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lowerRoman"/>
      <w:start w:val="10"/>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lvl w:ilvl="1">
      <w:lvlJc w:val="left"/>
      <w:lvlText w:val="%2."/>
      <w:numFmt w:val="decimal"/>
      <w:start w:val="5"/>
    </w:lvl>
  </w:abstractNum>
  <w:abstractNum w:abstractNumId="3">
    <w:nsid w:val="5BD062C2"/>
    <w:multiLevelType w:val="hybridMultilevel"/>
    <w:lvl w:ilvl="0">
      <w:lvlJc w:val="left"/>
      <w:lvlText w:val="%1"/>
      <w:numFmt w:val="decimal"/>
      <w:start w:val="1"/>
    </w:lvl>
    <w:lvl w:ilvl="1">
      <w:lvlJc w:val="left"/>
      <w:lvlText w:val="%2."/>
      <w:numFmt w:val="decimal"/>
      <w:start w:val="8"/>
    </w:lvl>
  </w:abstractNum>
  <w:abstractNum w:abstractNumId="4">
    <w:nsid w:val="12200854"/>
    <w:multiLevelType w:val="hybridMultilevel"/>
    <w:lvl w:ilvl="0">
      <w:lvlJc w:val="left"/>
      <w:lvlText w:val="%1."/>
      <w:numFmt w:val="decimal"/>
      <w:start w:val="9"/>
    </w:lvl>
    <w:lvl w:ilvl="1">
      <w:lvlJc w:val="left"/>
      <w:lvlText w:val="%2"/>
      <w:numFmt w:val="decimal"/>
      <w:start w:val="1"/>
    </w:lvl>
  </w:abstractNum>
  <w:abstractNum w:abstractNumId="5">
    <w:nsid w:val="4DB127F8"/>
    <w:multiLevelType w:val="hybridMultilevel"/>
    <w:lvl w:ilvl="0">
      <w:lvlJc w:val="left"/>
      <w:lvlText w:val="%1."/>
      <w:numFmt w:val="decimal"/>
      <w:start w:val="10"/>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3"/>
    </w:lvl>
    <w:lvl w:ilvl="1">
      <w:lvlJc w:val="left"/>
      <w:lvlText w:val="%2."/>
      <w:numFmt w:val="decimal"/>
      <w:start w:val="5"/>
    </w:lvl>
  </w:abstractNum>
  <w:abstractNum w:abstractNumId="8">
    <w:nsid w:val="1190CDE7"/>
    <w:multiLevelType w:val="hybridMultilevel"/>
    <w:lvl w:ilvl="0">
      <w:lvlJc w:val="left"/>
      <w:lvlText w:val="%1"/>
      <w:numFmt w:val="decimal"/>
      <w:start w:val="1"/>
    </w:lvl>
    <w:lvl w:ilvl="1">
      <w:lvlJc w:val="left"/>
      <w:lvlText w:val="%2."/>
      <w:numFmt w:val="decimal"/>
      <w:start w:val="8"/>
    </w:lvl>
  </w:abstractNum>
  <w:abstractNum w:abstractNumId="9">
    <w:nsid w:val="66EF438D"/>
    <w:multiLevelType w:val="hybridMultilevel"/>
    <w:lvl w:ilvl="0">
      <w:lvlJc w:val="left"/>
      <w:lvlText w:val="%1."/>
      <w:numFmt w:val="decimal"/>
      <w:start w:val="9"/>
    </w:lvl>
    <w:lvl w:ilvl="1">
      <w:lvlJc w:val="left"/>
      <w:lvlText w:val="%2"/>
      <w:numFmt w:val="decimal"/>
      <w:start w:val="1"/>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9"/>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2024-11-14T12:55:07Z</dcterms:created>
  <dcterms:modified xsi:type="dcterms:W3CDTF">2024-11-14T12:55:07Z</dcterms:modified>
</cp:coreProperties>
</file>