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942"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Highland Leaders Fund I, L.P.</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9"/>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9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9"/>
              </w:rPr>
              <w:t>ONE BROADWAY</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06/01/2022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14TH FLOOR</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11"/>
            <w:vMerge w:val="continue"/>
          </w:tcPr>
          <w:p>
            <w:pPr>
              <w:spacing w:after="0"/>
              <w:rPr>
                <w:sz w:val="10"/>
                <w:szCs w:val="10"/>
                <w:color w:val="auto"/>
              </w:rPr>
            </w:pPr>
          </w:p>
        </w:tc>
        <w:tc>
          <w:tcPr>
            <w:tcW w:w="340" w:type="dxa"/>
            <w:vAlign w:val="bottom"/>
          </w:tcPr>
          <w:p>
            <w:pPr>
              <w:spacing w:after="0"/>
              <w:rPr>
                <w:sz w:val="10"/>
                <w:szCs w:val="10"/>
                <w:color w:val="auto"/>
              </w:rPr>
            </w:pPr>
          </w:p>
        </w:tc>
        <w:tc>
          <w:tcPr>
            <w:tcW w:w="342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780" w:type="dxa"/>
            <w:vAlign w:val="bottom"/>
            <w:tcBorders>
              <w:bottom w:val="single" w:sz="8" w:color="9A9A9A"/>
            </w:tcBorders>
          </w:tcPr>
          <w:p>
            <w:pPr>
              <w:spacing w:after="0"/>
              <w:rPr>
                <w:sz w:val="2"/>
                <w:szCs w:val="2"/>
                <w:color w:val="auto"/>
              </w:rPr>
            </w:pPr>
          </w:p>
        </w:tc>
        <w:tc>
          <w:tcPr>
            <w:tcW w:w="900" w:type="dxa"/>
            <w:vAlign w:val="bottom"/>
            <w:tcBorders>
              <w:bottom w:val="single" w:sz="8" w:color="9A9A9A"/>
            </w:tcBorders>
          </w:tcPr>
          <w:p>
            <w:pPr>
              <w:spacing w:after="0"/>
              <w:rPr>
                <w:sz w:val="2"/>
                <w:szCs w:val="2"/>
                <w:color w:val="auto"/>
              </w:rPr>
            </w:pPr>
          </w:p>
        </w:tc>
        <w:tc>
          <w:tcPr>
            <w:tcW w:w="28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4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60" w:type="dxa"/>
            <w:vAlign w:val="bottom"/>
            <w:gridSpan w:val="4"/>
            <w:vMerge w:val="continue"/>
          </w:tcPr>
          <w:p>
            <w:pPr>
              <w:spacing w:after="0"/>
              <w:rPr>
                <w:sz w:val="10"/>
                <w:szCs w:val="10"/>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02142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4"/>
          </w:tcPr>
          <w:p>
            <w:pPr>
              <w:jc w:val="center"/>
              <w:ind w:left="251"/>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460" w:type="dxa"/>
            <w:vAlign w:val="bottom"/>
            <w:gridSpan w:val="5"/>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7"/>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5"/>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6"/>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06/01/2022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jc w:val="center"/>
              <w:ind w:right="382"/>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120,784</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0000FF"/>
              </w:rPr>
              <w:t>360,644</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top w:val="single" w:sz="8" w:color="2C2C2C"/>
            </w:tcBorders>
            <w:gridSpan w:val="6"/>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06/01/2022</w:t>
            </w: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(3)</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3,624</w:t>
            </w:r>
          </w:p>
        </w:tc>
        <w:tc>
          <w:tcPr>
            <w:tcW w:w="46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0000FF"/>
              </w:rPr>
              <w:t>3,624</w:t>
            </w: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top w:val="single" w:sz="8" w:color="2C2C2C"/>
            </w:tcBorders>
            <w:gridSpan w:val="6"/>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06/01/2022</w:t>
            </w: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(5)</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3,624</w:t>
            </w:r>
          </w:p>
        </w:tc>
        <w:tc>
          <w:tcPr>
            <w:tcW w:w="46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left="242"/>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top w:val="single" w:sz="8" w:color="2C2C2C"/>
            </w:tcBorders>
            <w:gridSpan w:val="6"/>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06/01/2022</w:t>
            </w: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(6)</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908,560</w:t>
            </w:r>
          </w:p>
        </w:tc>
        <w:tc>
          <w:tcPr>
            <w:tcW w:w="46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0000FF"/>
                <w:w w:val="99"/>
              </w:rPr>
              <w:t>2,712,833</w:t>
            </w: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top w:val="single" w:sz="8" w:color="2C2C2C"/>
            </w:tcBorders>
            <w:gridSpan w:val="6"/>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06/01/2022</w:t>
            </w: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(6)</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391,352</w:t>
            </w:r>
          </w:p>
        </w:tc>
        <w:tc>
          <w:tcPr>
            <w:tcW w:w="46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0000FF"/>
                <w:w w:val="99"/>
              </w:rPr>
              <w:t>1,168,524</w:t>
            </w: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top w:val="single" w:sz="8" w:color="2C2C2C"/>
            </w:tcBorders>
            <w:gridSpan w:val="6"/>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06/01/2022</w:t>
            </w: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(6)</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79,304</w:t>
            </w:r>
          </w:p>
        </w:tc>
        <w:tc>
          <w:tcPr>
            <w:tcW w:w="46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0000FF"/>
              </w:rPr>
              <w:t>236,792</w:t>
            </w: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top w:val="single" w:sz="8" w:color="2C2C2C"/>
            </w:tcBorders>
            <w:gridSpan w:val="6"/>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06/01/2022</w:t>
            </w: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26"/>
                <w:szCs w:val="26"/>
                <w:color w:val="0000FF"/>
                <w:w w:val="87"/>
                <w:vertAlign w:val="subscript"/>
              </w:rPr>
              <w:t>J</w:t>
            </w:r>
            <w:r>
              <w:rPr>
                <w:rFonts w:ascii="Times New Roman" w:cs="Times New Roman" w:eastAsia="Times New Roman" w:hAnsi="Times New Roman"/>
                <w:sz w:val="11"/>
                <w:szCs w:val="11"/>
                <w:color w:val="008000"/>
                <w:w w:val="87"/>
              </w:rPr>
              <w:t>(10)</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34,481</w:t>
            </w:r>
          </w:p>
        </w:tc>
        <w:tc>
          <w:tcPr>
            <w:tcW w:w="46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0000FF"/>
              </w:rPr>
              <w:t>34,481</w:t>
            </w: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top w:val="single" w:sz="8" w:color="2C2C2C"/>
            </w:tcBorders>
            <w:gridSpan w:val="6"/>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06/01/2022</w:t>
            </w: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26"/>
                <w:szCs w:val="26"/>
                <w:color w:val="0000FF"/>
                <w:w w:val="87"/>
                <w:vertAlign w:val="subscript"/>
              </w:rPr>
              <w:t>J</w:t>
            </w:r>
            <w:r>
              <w:rPr>
                <w:rFonts w:ascii="Times New Roman" w:cs="Times New Roman" w:eastAsia="Times New Roman" w:hAnsi="Times New Roman"/>
                <w:sz w:val="11"/>
                <w:szCs w:val="11"/>
                <w:color w:val="008000"/>
                <w:w w:val="87"/>
              </w:rPr>
              <w:t>(12)</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34,481</w:t>
            </w:r>
          </w:p>
        </w:tc>
        <w:tc>
          <w:tcPr>
            <w:tcW w:w="46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left="242"/>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720" w:type="dxa"/>
            <w:vAlign w:val="bottom"/>
            <w:gridSpan w:val="2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8"/>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4"/>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Highland Leaders Fund I, L.P.</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ONE BROADWAY</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14TH FLOOR</w:t>
            </w: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02142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33655" cy="2241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22415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42" w:orient="portrait"/>
          <w:cols w:equalWidth="0" w:num="1">
            <w:col w:w="11080"/>
          </w:cols>
          <w:pgMar w:left="460" w:top="219" w:right="359" w:bottom="0" w:gutter="0" w:footer="0" w:header="0"/>
          <w:type w:val="continuous"/>
        </w:sectPr>
      </w:pPr>
    </w:p>
    <w:bookmarkStart w:id="1" w:name="page2"/>
    <w:bookmarkEnd w:id="1"/>
    <w:p>
      <w:pPr>
        <w:ind w:left="4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Highland Capital Partners 9 Limited Partnership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-134620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ONE BROADWAY</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14TH FLOOR</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9"/>
        </w:trPr>
        <w:tc>
          <w:tcPr>
            <w:tcW w:w="14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Highland Capital Partners 9-B Limited</w:t>
        </w:r>
      </w:hyperlink>
    </w:p>
    <w:p>
      <w:pPr>
        <w:ind w:left="4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Partnership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ONE BROADWAY</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14TH FLOOR</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9"/>
        </w:trPr>
        <w:tc>
          <w:tcPr>
            <w:tcW w:w="14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Highland Management Partners 9 LLC</w:t>
        </w:r>
      </w:hyperlink>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ONE BROADWAY</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14TH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HIghland Management Partners 9 Limited</w:t>
        </w:r>
      </w:hyperlink>
    </w:p>
    <w:p>
      <w:pPr>
        <w:ind w:left="4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Partnership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ONE BROADWAY</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14TH FLOOR</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9"/>
        </w:trPr>
        <w:tc>
          <w:tcPr>
            <w:tcW w:w="14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Highland Entrepreneurs' Fund 9 Limited</w:t>
        </w:r>
      </w:hyperlink>
    </w:p>
    <w:p>
      <w:pPr>
        <w:ind w:left="4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Partnership</w:t>
        </w:r>
      </w:hyperlink>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ONE BROADWAY</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14TH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Highland Leaders Fund I GP, L.P.</w:t>
        </w:r>
      </w:hyperlink>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ONE BROADWAY</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14TH FLOOR</w:t>
      </w:r>
    </w:p>
    <w:p>
      <w:pPr>
        <w:sectPr>
          <w:pgSz w:w="11900" w:h="16838" w:orient="portrait"/>
          <w:cols w:equalWidth="0" w:num="1">
            <w:col w:w="9919"/>
          </w:cols>
          <w:pgMar w:left="540" w:top="111" w:right="1440" w:bottom="0" w:gutter="0" w:footer="0" w:header="0"/>
        </w:sectPr>
      </w:pP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19"/>
          </w:cols>
          <w:pgMar w:left="540" w:top="111" w:right="1440" w:bottom="0" w:gutter="0" w:footer="0" w:header="0"/>
          <w:type w:val="continuous"/>
        </w:sectPr>
      </w:pPr>
    </w:p>
    <w:bookmarkStart w:id="2" w:name="page3"/>
    <w:bookmarkEnd w:id="2"/>
    <w:tbl>
      <w:tblPr>
        <w:tblLayout w:type="fixed"/>
        <w:tblInd w:w="80" w:type="dxa"/>
        <w:tblCellMar>
          <w:top w:w="0" w:type="dxa"/>
          <w:left w:w="0" w:type="dxa"/>
          <w:bottom w:w="0" w:type="dxa"/>
          <w:right w:w="0" w:type="dxa"/>
        </w:tblCellMar>
      </w:tblP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-440690</wp:posOffset>
            </wp:positionV>
            <wp:extent cx="2809240" cy="2305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809240" cy="2305685"/>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Highland Leaders Fund I GP, LLC</w:t>
        </w:r>
      </w:hyperlink>
    </w:p>
    <w:p>
      <w:pPr>
        <w:spacing w:after="0" w:line="30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ONE BROADWAY</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14TH FLOOR</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Highland Leaders Fund I, L.P. ("HLF I") to its partners.</w:t>
      </w:r>
    </w:p>
    <w:p>
      <w:pPr>
        <w:spacing w:after="0" w:line="50" w:lineRule="exact"/>
        <w:rPr>
          <w:rFonts w:ascii="Times New Roman" w:cs="Times New Roman" w:eastAsia="Times New Roman" w:hAnsi="Times New Roman"/>
          <w:sz w:val="13"/>
          <w:szCs w:val="13"/>
          <w:color w:val="008000"/>
        </w:rPr>
      </w:pPr>
    </w:p>
    <w:p>
      <w:pPr>
        <w:jc w:val="both"/>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HLF I. The general partner of HLF I is Highland Leaders Fund I GP, L.P. ("HLF I GP LP"), whose general partner is Highland Leaders Fund I GP, LLC ("HLF I GP LLC"). Robert Davis, Dan Nova, Paul Maeder, Corey Mulloy and Craig Driscoll (the "HLF I GP Managing Members") are the managing members of HLF I GP LLC and may be deemed to have voting and dispositive power over the shares held by HLF I. Each of HLF I GP LP, HLF I GP LLC, and the HLF I GP Managing Members disclaims beneficial ownership of the securities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 Mr. Driscoll is a director of the Issuer and files separate Section 16 reports.</w:t>
      </w:r>
    </w:p>
    <w:p>
      <w:pPr>
        <w:spacing w:after="0" w:line="26"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HLF I GP LP by virtue of the receipt of shares in the pro-rata in-kind distribution of Class A Common Stock of the Issuer for no consideration by HLF</w:t>
      </w:r>
    </w:p>
    <w:p>
      <w:pPr>
        <w:spacing w:after="0" w:line="11" w:lineRule="exact"/>
        <w:rPr>
          <w:rFonts w:ascii="Times New Roman" w:cs="Times New Roman" w:eastAsia="Times New Roman" w:hAnsi="Times New Roman"/>
          <w:sz w:val="13"/>
          <w:szCs w:val="13"/>
          <w:color w:val="008000"/>
        </w:rPr>
      </w:pPr>
    </w:p>
    <w:p>
      <w:pPr>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w:t>
      </w:r>
    </w:p>
    <w:p>
      <w:pPr>
        <w:spacing w:after="0" w:line="36" w:lineRule="exact"/>
        <w:rPr>
          <w:rFonts w:ascii="Times New Roman" w:cs="Times New Roman" w:eastAsia="Times New Roman" w:hAnsi="Times New Roman"/>
          <w:sz w:val="13"/>
          <w:szCs w:val="13"/>
          <w:color w:val="008000"/>
        </w:rPr>
      </w:pPr>
    </w:p>
    <w:p>
      <w:pPr>
        <w:jc w:val="both"/>
        <w:ind w:right="14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HLF I GP LP. The general partner of HLF I GP LP is HLF I GP LLC. The HLF I GP Managing Members are the managing members of HLF I GP LLC. HLF I GP LLC and each of the HLF I GP Managing Members disclaims beneficial ownership of the securities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 Mr. Driscoll is a director of the Issuer and files separate Section 16 reports.</w:t>
      </w:r>
    </w:p>
    <w:p>
      <w:pPr>
        <w:spacing w:after="0" w:line="24"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HLF I GP LP to its partners.</w:t>
      </w:r>
    </w:p>
    <w:p>
      <w:pPr>
        <w:spacing w:after="0" w:line="50" w:lineRule="exact"/>
        <w:rPr>
          <w:rFonts w:ascii="Times New Roman" w:cs="Times New Roman" w:eastAsia="Times New Roman" w:hAnsi="Times New Roman"/>
          <w:sz w:val="13"/>
          <w:szCs w:val="13"/>
          <w:color w:val="008000"/>
        </w:rPr>
      </w:pPr>
    </w:p>
    <w:p>
      <w:pPr>
        <w:ind w:right="2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each of Highland Capital Partners 9 Limited Partnership ("HCP9"), Highland Capital Partners 9-B Limited Partnership ("HCP9B") and Highland Entrepreneurs' Fund 9 Limited Partnership ("HEF9"), as applicable, to its partners.</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HCP9. The general partner of HCP9 is Highland Management Partners 9 Limited Partnership ("HMP 9 LP"),whose general partner is Highland Management Partners</w:t>
      </w:r>
    </w:p>
    <w:p>
      <w:pPr>
        <w:spacing w:after="0" w:line="11" w:lineRule="exact"/>
        <w:rPr>
          <w:rFonts w:ascii="Times New Roman" w:cs="Times New Roman" w:eastAsia="Times New Roman" w:hAnsi="Times New Roman"/>
          <w:sz w:val="13"/>
          <w:szCs w:val="13"/>
          <w:color w:val="008000"/>
        </w:rPr>
      </w:pPr>
    </w:p>
    <w:p>
      <w:pPr>
        <w:ind w:right="4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9 LLC ("HMP 9 LLC"). Robert Davis, Dan Nova, Paul Maeder and Corey Mulloy ("HMP9 Managing Members") are the managing members of HMP 9 LLC and may be deemed to have voting and dispositive power over the shares held by HCP9. Each of HMP 9 LP, HMP 9 LLC and the HMP9 Managing Members disclaims beneficial ownership of the securities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w:t>
      </w:r>
    </w:p>
    <w:p>
      <w:pPr>
        <w:spacing w:after="0" w:line="27" w:lineRule="exact"/>
        <w:rPr>
          <w:rFonts w:ascii="Times New Roman" w:cs="Times New Roman" w:eastAsia="Times New Roman" w:hAnsi="Times New Roman"/>
          <w:sz w:val="13"/>
          <w:szCs w:val="13"/>
          <w:color w:val="008000"/>
        </w:rPr>
      </w:pPr>
    </w:p>
    <w:p>
      <w:pPr>
        <w:ind w:right="4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HCP9B. The general partner of HCP9B is HMP 9 LP, whose general partner is HMP 9 LLC. The HMP9 Managing Members are the managing members of HMP 9 LLC and may be deemed to have voting and dispositive power over the shares held by HCP9B. Each of HMP 9 LP, HMP 9 LLC and the HMP9 Managing Members disclaims beneficial ownership of the securities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w:t>
      </w:r>
    </w:p>
    <w:p>
      <w:pPr>
        <w:spacing w:after="0" w:line="24" w:lineRule="exact"/>
        <w:rPr>
          <w:rFonts w:ascii="Times New Roman" w:cs="Times New Roman" w:eastAsia="Times New Roman" w:hAnsi="Times New Roman"/>
          <w:sz w:val="13"/>
          <w:szCs w:val="13"/>
          <w:color w:val="008000"/>
        </w:rPr>
      </w:pPr>
    </w:p>
    <w:p>
      <w:pPr>
        <w:ind w:right="4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HEF9. The general partner of HEF9 is HMP 9 LP, whose general partner is HMP 9 LLC. The HMP9 Managing Members are the managing members of HMP 9 LLC and may be deemed to have voting and dispositive power over the shares held by HEF9. Each of HMP 9 LP, HMP 9 LLC and the HMP9 Managing Members disclaims beneficial ownership of the securities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w:t>
      </w:r>
    </w:p>
    <w:p>
      <w:pPr>
        <w:spacing w:after="0" w:line="24" w:lineRule="exact"/>
        <w:rPr>
          <w:rFonts w:ascii="Times New Roman" w:cs="Times New Roman" w:eastAsia="Times New Roman" w:hAnsi="Times New Roman"/>
          <w:sz w:val="13"/>
          <w:szCs w:val="13"/>
          <w:color w:val="008000"/>
        </w:rPr>
      </w:pPr>
    </w:p>
    <w:p>
      <w:pPr>
        <w:jc w:val="both"/>
        <w:ind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HMP 9 LP by virtue of the receipt of shares in the pro-rata in-kind distribution of Class A Common Stock of the Issuer for no consideration by each of HCP9, HC9B and HEF9. HMP 9 LP received (i) 22,714 of such shares in the pro-rata in-kind distribution made by HCP9, (ii) 9,784 of such shares in the pro-rata in-kind distribution made by HCP9B and (iii) 1,983 of such shares in the pro-rata in-kind distribution made by HEF9.</w:t>
      </w:r>
    </w:p>
    <w:p>
      <w:pPr>
        <w:spacing w:after="0" w:line="20" w:lineRule="exact"/>
        <w:rPr>
          <w:rFonts w:ascii="Times New Roman" w:cs="Times New Roman" w:eastAsia="Times New Roman" w:hAnsi="Times New Roman"/>
          <w:sz w:val="13"/>
          <w:szCs w:val="13"/>
          <w:color w:val="008000"/>
        </w:rPr>
      </w:pPr>
    </w:p>
    <w:p>
      <w:pPr>
        <w:ind w:right="120" w:firstLine="7"/>
        <w:spacing w:after="0" w:line="253"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HMP 9 LP. The general partner of HMP 9 LP is HMP 9 LLC. The HMP9 Managing Members are the managing members of HMP 9 LLC. Each of the HMP9 Managing Members disclaims beneficial ownership of the securities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and sale, without additional consideration, by HMP 9 LP to its partners.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Craig Driscoll is a member of the Issuer's board of directors and files separate Section 16 reports.</w:t>
      </w:r>
    </w:p>
    <w:p>
      <w:pPr>
        <w:sectPr>
          <w:pgSz w:w="11900" w:h="16838" w:orient="portrait"/>
          <w:cols w:equalWidth="0" w:num="1">
            <w:col w:w="10860"/>
          </w:cols>
          <w:pgMar w:left="500" w:top="125" w:right="539" w:bottom="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6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Fund I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Fund I GP,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2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6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5162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68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718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Partners 9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36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Highland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9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185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Highland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28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9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68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718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Partners 9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36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Highland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9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185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Highland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28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9-B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283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928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68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718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Partners 9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80" w:space="60"/>
            <w:col w:w="2120"/>
          </w:cols>
          <w:pgMar w:left="500" w:top="125" w:right="53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68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718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Partners 9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36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Highland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9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68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718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Partners 9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3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Highland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9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185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674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8674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Entrepreneurs' Fund 9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68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Fund I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Fund 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2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68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Fund 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86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680" w:space="6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12" Type="http://schemas.openxmlformats.org/officeDocument/2006/relationships/hyperlink" Target="http://www.sec.gov/cgi-bin/browse-edgar?action=getcompany&amp;CIK=0001794347" TargetMode="External"/><Relationship Id="rId13" Type="http://schemas.openxmlformats.org/officeDocument/2006/relationships/hyperlink" Target="http://www.sec.gov/cgi-bin/browse-edgar?action=getcompany&amp;CIK=0001657573" TargetMode="External"/><Relationship Id="rId16" Type="http://schemas.openxmlformats.org/officeDocument/2006/relationships/hyperlink" Target="http://www.sec.gov/cgi-bin/browse-edgar?action=getcompany&amp;CIK=0001573958" TargetMode="External"/><Relationship Id="rId18" Type="http://schemas.openxmlformats.org/officeDocument/2006/relationships/hyperlink" Target="http://www.sec.gov/cgi-bin/browse-edgar?action=getcompany&amp;CIK=0001573963" TargetMode="External"/><Relationship Id="rId19" Type="http://schemas.openxmlformats.org/officeDocument/2006/relationships/hyperlink" Target="http://www.sec.gov/cgi-bin/browse-edgar?action=getcompany&amp;CIK=0001870731" TargetMode="External"/><Relationship Id="rId20" Type="http://schemas.openxmlformats.org/officeDocument/2006/relationships/hyperlink" Target="http://www.sec.gov/cgi-bin/browse-edgar?action=getcompany&amp;CIK=0001870729" TargetMode="External"/><Relationship Id="rId21" Type="http://schemas.openxmlformats.org/officeDocument/2006/relationships/hyperlink" Target="http://www.sec.gov/cgi-bin/browse-edgar?action=getcompany&amp;CIK=0001574027" TargetMode="External"/><Relationship Id="rId22" Type="http://schemas.openxmlformats.org/officeDocument/2006/relationships/hyperlink" Target="http://www.sec.gov/cgi-bin/browse-edgar?action=getcompany&amp;CIK=0001871228" TargetMode="External"/><Relationship Id="rId24" Type="http://schemas.openxmlformats.org/officeDocument/2006/relationships/hyperlink" Target="http://www.sec.gov/cgi-bin/browse-edgar?action=getcompany&amp;CIK=0001871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2022-06-02T17:26:46Z</dcterms:created>
  <dcterms:modified xsi:type="dcterms:W3CDTF">2022-06-02T17:26:46Z</dcterms:modified>
</cp:coreProperties>
</file>