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Azevedo 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w:t>
            </w:r>
            <w:r>
              <w:rPr>
                <w:rFonts w:ascii="Times;serif" w:hAnsi="Times;serif"/>
                <w:color w:val="008000"/>
                <w:position w:val="7"/>
                <w:sz w:val="16"/>
                <w:sz w:val="20"/>
                <w:shd w:fill="FFFFFF" w:val="clear"/>
              </w:rPr>
              <w:t>(1)</w:t>
            </w:r>
            <w:r>
              <w:rPr/>
              <w:t xml:space="preserve"> </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(2)</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27,084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grant. The shares underlying the RSUs will vest in two equal quarterly installments with the first installment vesting on October 1, 2025, subject to the Reporting Person's continuous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Class A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2295"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3353</Characters>
  <CharactersWithSpaces>3911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