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INFORMATION TO BE INCLUDED IN STATEMENTS FILED PURSUANT TO RULE 13d-1(b), (c), AND (d) AND AMENDMENTS THERETO FILED PURSUANT TO RULE 13d-2(b)</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2)*</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Eddie C. Brown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Brown Capital Management, LLC</w:t>
      </w:r>
    </w:p>
    <w:p>
      <w:pPr>
        <w:jc w:val="center"/>
        <w:spacing w:after="0"/>
        <w:rPr>
          <w:sz w:val="20"/>
          <w:szCs w:val="20"/>
          <w:color w:val="auto"/>
        </w:rPr>
      </w:pPr>
      <w:r>
        <w:rPr>
          <w:rFonts w:ascii="Times New Roman" w:cs="Times New Roman" w:eastAsia="Times New Roman" w:hAnsi="Times New Roman"/>
          <w:sz w:val="20"/>
          <w:szCs w:val="20"/>
          <w:color w:val="auto"/>
        </w:rPr>
        <w:t>1201 N. Calvert Street</w:t>
      </w:r>
    </w:p>
    <w:p>
      <w:pPr>
        <w:jc w:val="center"/>
        <w:spacing w:after="0"/>
        <w:rPr>
          <w:sz w:val="20"/>
          <w:szCs w:val="20"/>
          <w:color w:val="auto"/>
        </w:rPr>
      </w:pPr>
      <w:r>
        <w:rPr>
          <w:rFonts w:ascii="Times New Roman" w:cs="Times New Roman" w:eastAsia="Times New Roman" w:hAnsi="Times New Roman"/>
          <w:sz w:val="20"/>
          <w:szCs w:val="20"/>
          <w:color w:val="auto"/>
        </w:rPr>
        <w:t>Baltimore, MD 21202</w:t>
      </w:r>
    </w:p>
    <w:p>
      <w:pPr>
        <w:jc w:val="center"/>
        <w:spacing w:after="0"/>
        <w:rPr>
          <w:sz w:val="20"/>
          <w:szCs w:val="20"/>
          <w:color w:val="auto"/>
        </w:rPr>
      </w:pPr>
      <w:r>
        <w:rPr>
          <w:rFonts w:ascii="Times New Roman" w:cs="Times New Roman" w:eastAsia="Times New Roman" w:hAnsi="Times New Roman"/>
          <w:sz w:val="20"/>
          <w:szCs w:val="20"/>
          <w:color w:val="auto"/>
        </w:rPr>
        <w:t>(410) 837-3234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January 31, 2023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80" w:hanging="4"/>
        <w:spacing w:after="0" w:line="274" w:lineRule="auto"/>
        <w:tabs>
          <w:tab w:leader="none" w:pos="940" w:val="left"/>
        </w:tabs>
        <w:numPr>
          <w:ilvl w:val="1"/>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13d-1(b) [ ] Rule 13d-1(c) [ ] Rule 13d-1(d)</w:t>
      </w:r>
    </w:p>
    <w:p>
      <w:pPr>
        <w:spacing w:after="0" w:line="169" w:lineRule="exact"/>
        <w:rPr>
          <w:rFonts w:ascii="Times New Roman" w:cs="Times New Roman" w:eastAsia="Times New Roman" w:hAnsi="Times New Roman"/>
          <w:sz w:val="19"/>
          <w:szCs w:val="19"/>
          <w:color w:val="auto"/>
        </w:rPr>
      </w:pPr>
    </w:p>
    <w:p>
      <w:pPr>
        <w:ind w:left="360" w:hanging="351"/>
        <w:spacing w:after="0" w:line="29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securities, and for any subsequent amendment containing information which would alter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2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2 of 6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5888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pacing w:after="0" w:line="254" w:lineRule="exact"/>
        <w:rPr>
          <w:sz w:val="20"/>
          <w:szCs w:val="20"/>
          <w:color w:val="auto"/>
        </w:rPr>
      </w:pPr>
    </w:p>
    <w:p>
      <w:pPr>
        <w:ind w:left="400" w:hanging="291"/>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Brown Capital Management, LLC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334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(a) [ ]</w:t>
            </w:r>
          </w:p>
        </w:tc>
        <w:tc>
          <w:tcPr>
            <w:tcW w:w="0" w:type="dxa"/>
            <w:vAlign w:val="bottom"/>
          </w:tcPr>
          <w:p>
            <w:pPr>
              <w:spacing w:after="0"/>
              <w:rPr>
                <w:sz w:val="1"/>
                <w:szCs w:val="1"/>
                <w:color w:val="auto"/>
              </w:rPr>
            </w:pPr>
          </w:p>
        </w:tc>
      </w:tr>
      <w:tr>
        <w:trPr>
          <w:trHeight w:val="258"/>
        </w:trPr>
        <w:tc>
          <w:tcPr>
            <w:tcW w:w="280" w:type="dxa"/>
            <w:vAlign w:val="bottom"/>
          </w:tcPr>
          <w:p>
            <w:pPr>
              <w:spacing w:after="0"/>
              <w:rPr>
                <w:sz w:val="22"/>
                <w:szCs w:val="22"/>
                <w:color w:val="auto"/>
              </w:rPr>
            </w:pPr>
          </w:p>
        </w:tc>
        <w:tc>
          <w:tcPr>
            <w:tcW w:w="1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(see instructions)</w:t>
            </w:r>
          </w:p>
        </w:tc>
        <w:tc>
          <w:tcPr>
            <w:tcW w:w="4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334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(b) [ ]</w:t>
            </w: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 USE ONLY</w:t>
            </w:r>
          </w:p>
        </w:tc>
        <w:tc>
          <w:tcPr>
            <w:tcW w:w="4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3"/>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80" w:type="dxa"/>
            <w:vAlign w:val="bottom"/>
          </w:tcPr>
          <w:p>
            <w:pPr>
              <w:spacing w:after="0"/>
              <w:rPr>
                <w:sz w:val="22"/>
                <w:szCs w:val="22"/>
                <w:color w:val="auto"/>
              </w:rPr>
            </w:pPr>
          </w:p>
        </w:tc>
        <w:tc>
          <w:tcPr>
            <w:tcW w:w="1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State of Maryland</w:t>
            </w:r>
          </w:p>
        </w:tc>
        <w:tc>
          <w:tcPr>
            <w:tcW w:w="4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5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VOTING POWER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3,057,064</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 SHARES</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5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SHARED VOTING POWER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2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98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7"/>
              </w:rPr>
              <w:t>BENEFICIALLY</w:t>
            </w:r>
          </w:p>
        </w:tc>
        <w:tc>
          <w:tcPr>
            <w:tcW w:w="480" w:type="dxa"/>
            <w:vAlign w:val="bottom"/>
          </w:tcPr>
          <w:p>
            <w:pPr>
              <w:spacing w:after="0"/>
              <w:rPr>
                <w:sz w:val="21"/>
                <w:szCs w:val="21"/>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None</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1980" w:type="dxa"/>
            <w:vAlign w:val="bottom"/>
            <w:vMerge w:val="restart"/>
          </w:tcPr>
          <w:p>
            <w:pPr>
              <w:jc w:val="center"/>
              <w:ind w:right="161"/>
              <w:spacing w:after="0" w:line="207" w:lineRule="exact"/>
              <w:rPr>
                <w:sz w:val="20"/>
                <w:szCs w:val="20"/>
                <w:color w:val="auto"/>
              </w:rPr>
            </w:pPr>
            <w:r>
              <w:rPr>
                <w:rFonts w:ascii="Times New Roman" w:cs="Times New Roman" w:eastAsia="Times New Roman" w:hAnsi="Times New Roman"/>
                <w:sz w:val="20"/>
                <w:szCs w:val="20"/>
                <w:color w:val="auto"/>
                <w:w w:val="98"/>
              </w:rPr>
              <w:t>OWNED BY EACH</w:t>
            </w:r>
          </w:p>
        </w:tc>
        <w:tc>
          <w:tcPr>
            <w:tcW w:w="480" w:type="dxa"/>
            <w:vAlign w:val="bottom"/>
            <w:tcBorders>
              <w:bottom w:val="single" w:sz="8" w:color="auto"/>
            </w:tcBorders>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8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51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REPORTING PERSON</w:t>
            </w:r>
          </w:p>
        </w:tc>
        <w:tc>
          <w:tcPr>
            <w:tcW w:w="480" w:type="dxa"/>
            <w:vAlign w:val="bottom"/>
            <w:vMerge w:val="continue"/>
          </w:tcPr>
          <w:p>
            <w:pPr>
              <w:spacing w:after="0"/>
              <w:rPr>
                <w:sz w:val="21"/>
                <w:szCs w:val="21"/>
                <w:color w:val="auto"/>
              </w:rPr>
            </w:pPr>
          </w:p>
        </w:tc>
        <w:tc>
          <w:tcPr>
            <w:tcW w:w="5160" w:type="dxa"/>
            <w:vAlign w:val="bottom"/>
            <w:vMerge w:val="continue"/>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880"/>
        <w:spacing w:after="0" w:line="183" w:lineRule="auto"/>
        <w:rPr>
          <w:sz w:val="20"/>
          <w:szCs w:val="20"/>
          <w:color w:val="auto"/>
        </w:rPr>
      </w:pPr>
      <w:r>
        <w:rPr>
          <w:rFonts w:ascii="Times New Roman" w:cs="Times New Roman" w:eastAsia="Times New Roman" w:hAnsi="Times New Roman"/>
          <w:sz w:val="20"/>
          <w:szCs w:val="20"/>
          <w:color w:val="auto"/>
        </w:rPr>
        <w:t>WITH</w:t>
      </w:r>
    </w:p>
    <w:p>
      <w:pPr>
        <w:ind w:left="2880"/>
        <w:spacing w:after="0"/>
        <w:rPr>
          <w:sz w:val="20"/>
          <w:szCs w:val="20"/>
          <w:color w:val="auto"/>
        </w:rPr>
      </w:pPr>
      <w:r>
        <w:rPr>
          <w:rFonts w:ascii="Times New Roman" w:cs="Times New Roman" w:eastAsia="Times New Roman" w:hAnsi="Times New Roman"/>
          <w:sz w:val="20"/>
          <w:szCs w:val="20"/>
          <w:color w:val="auto"/>
        </w:rPr>
        <w:t>4,620,896</w:t>
      </w:r>
    </w:p>
    <w:p>
      <w:pPr>
        <w:spacing w:after="0" w:line="99" w:lineRule="exact"/>
        <w:rPr>
          <w:sz w:val="20"/>
          <w:szCs w:val="20"/>
          <w:color w:val="auto"/>
        </w:rPr>
      </w:pPr>
    </w:p>
    <w:p>
      <w:pPr>
        <w:ind w:left="2880" w:right="5580" w:hanging="415"/>
        <w:spacing w:after="0" w:line="422" w:lineRule="auto"/>
        <w:tabs>
          <w:tab w:leader="none" w:pos="28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None</w:t>
      </w:r>
    </w:p>
    <w:p>
      <w:pPr>
        <w:spacing w:after="0" w:line="1" w:lineRule="exact"/>
        <w:rPr>
          <w:rFonts w:ascii="Times New Roman" w:cs="Times New Roman" w:eastAsia="Times New Roman" w:hAnsi="Times New Roman"/>
          <w:sz w:val="20"/>
          <w:szCs w:val="20"/>
          <w:color w:val="auto"/>
        </w:rPr>
      </w:pPr>
    </w:p>
    <w:p>
      <w:pPr>
        <w:ind w:left="440" w:right="3600" w:hanging="311"/>
        <w:spacing w:after="0" w:line="422" w:lineRule="auto"/>
        <w:tabs>
          <w:tab w:leader="none" w:pos="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4,620,896</w:t>
      </w:r>
    </w:p>
    <w:p>
      <w:pPr>
        <w:spacing w:after="0" w:line="1" w:lineRule="exact"/>
        <w:rPr>
          <w:sz w:val="20"/>
          <w:szCs w:val="20"/>
          <w:color w:val="auto"/>
        </w:rPr>
      </w:pPr>
    </w:p>
    <w:p>
      <w:pPr>
        <w:ind w:left="440" w:right="3500" w:hanging="360"/>
        <w:spacing w:after="0" w:line="269" w:lineRule="auto"/>
        <w:tabs>
          <w:tab w:leader="none" w:pos="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 ]</w:t>
      </w:r>
    </w:p>
    <w:p>
      <w:pPr>
        <w:spacing w:after="0" w:line="294" w:lineRule="exact"/>
        <w:rPr>
          <w:rFonts w:ascii="Times New Roman" w:cs="Times New Roman" w:eastAsia="Times New Roman" w:hAnsi="Times New Roman"/>
          <w:sz w:val="20"/>
          <w:szCs w:val="20"/>
          <w:color w:val="auto"/>
        </w:rPr>
      </w:pPr>
    </w:p>
    <w:p>
      <w:pPr>
        <w:ind w:left="440" w:right="5240" w:hanging="356"/>
        <w:spacing w:after="0" w:line="422" w:lineRule="auto"/>
        <w:tabs>
          <w:tab w:leader="none" w:pos="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10.32%</w:t>
      </w:r>
    </w:p>
    <w:p>
      <w:pPr>
        <w:spacing w:after="0" w:line="1" w:lineRule="exact"/>
        <w:rPr>
          <w:rFonts w:ascii="Times New Roman" w:cs="Times New Roman" w:eastAsia="Times New Roman" w:hAnsi="Times New Roman"/>
          <w:sz w:val="20"/>
          <w:szCs w:val="20"/>
          <w:color w:val="auto"/>
        </w:rPr>
      </w:pPr>
    </w:p>
    <w:p>
      <w:pPr>
        <w:ind w:left="440" w:hanging="360"/>
        <w:spacing w:after="0"/>
        <w:tabs>
          <w:tab w:leader="none" w:pos="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w:t>
      </w:r>
    </w:p>
    <w:p>
      <w:pPr>
        <w:sectPr>
          <w:pgSz w:w="11900" w:h="16838" w:orient="portrait"/>
          <w:cols w:equalWidth="0" w:num="1">
            <w:col w:w="11240"/>
          </w:cols>
          <w:pgMar w:left="320" w:top="47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3 of 6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6035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r>
    </w:p>
    <w:p>
      <w:pPr>
        <w:spacing w:after="0" w:line="254" w:lineRule="exact"/>
        <w:rPr>
          <w:sz w:val="20"/>
          <w:szCs w:val="20"/>
          <w:color w:val="auto"/>
        </w:rPr>
      </w:pPr>
    </w:p>
    <w:p>
      <w:pPr>
        <w:ind w:left="400" w:hanging="291"/>
        <w:spacing w:after="0"/>
        <w:tabs>
          <w:tab w:leader="none" w:pos="4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Brown Capital Management Small Company Fund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334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(a) [ ]</w:t>
            </w:r>
          </w:p>
        </w:tc>
        <w:tc>
          <w:tcPr>
            <w:tcW w:w="0" w:type="dxa"/>
            <w:vAlign w:val="bottom"/>
          </w:tcPr>
          <w:p>
            <w:pPr>
              <w:spacing w:after="0"/>
              <w:rPr>
                <w:sz w:val="1"/>
                <w:szCs w:val="1"/>
                <w:color w:val="auto"/>
              </w:rPr>
            </w:pPr>
          </w:p>
        </w:tc>
      </w:tr>
      <w:tr>
        <w:trPr>
          <w:trHeight w:val="258"/>
        </w:trPr>
        <w:tc>
          <w:tcPr>
            <w:tcW w:w="280" w:type="dxa"/>
            <w:vAlign w:val="bottom"/>
          </w:tcPr>
          <w:p>
            <w:pPr>
              <w:spacing w:after="0"/>
              <w:rPr>
                <w:sz w:val="22"/>
                <w:szCs w:val="22"/>
                <w:color w:val="auto"/>
              </w:rPr>
            </w:pPr>
          </w:p>
        </w:tc>
        <w:tc>
          <w:tcPr>
            <w:tcW w:w="1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(see instructions)</w:t>
            </w:r>
          </w:p>
        </w:tc>
        <w:tc>
          <w:tcPr>
            <w:tcW w:w="4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334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(b) [ ]</w:t>
            </w: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 USE ONLY</w:t>
            </w:r>
          </w:p>
        </w:tc>
        <w:tc>
          <w:tcPr>
            <w:tcW w:w="4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3"/>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1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State of Delaware</w:t>
            </w:r>
          </w:p>
        </w:tc>
        <w:tc>
          <w:tcPr>
            <w:tcW w:w="4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5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VOTING POWER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2,543,263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 SHARES</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5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SHARED VOTING POWER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2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80" w:type="dxa"/>
            <w:vAlign w:val="bottom"/>
          </w:tcPr>
          <w:p>
            <w:pPr>
              <w:spacing w:after="0"/>
              <w:rPr>
                <w:sz w:val="21"/>
                <w:szCs w:val="21"/>
                <w:color w:val="auto"/>
              </w:rPr>
            </w:pPr>
          </w:p>
        </w:tc>
        <w:tc>
          <w:tcPr>
            <w:tcW w:w="198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7"/>
              </w:rPr>
              <w:t>BENEFICIALLY</w:t>
            </w:r>
          </w:p>
        </w:tc>
        <w:tc>
          <w:tcPr>
            <w:tcW w:w="480" w:type="dxa"/>
            <w:vAlign w:val="bottom"/>
          </w:tcPr>
          <w:p>
            <w:pPr>
              <w:spacing w:after="0"/>
              <w:rPr>
                <w:sz w:val="21"/>
                <w:szCs w:val="21"/>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None</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1980" w:type="dxa"/>
            <w:vAlign w:val="bottom"/>
            <w:vMerge w:val="restart"/>
          </w:tcPr>
          <w:p>
            <w:pPr>
              <w:jc w:val="center"/>
              <w:ind w:right="161"/>
              <w:spacing w:after="0" w:line="207" w:lineRule="exact"/>
              <w:rPr>
                <w:sz w:val="20"/>
                <w:szCs w:val="20"/>
                <w:color w:val="auto"/>
              </w:rPr>
            </w:pPr>
            <w:r>
              <w:rPr>
                <w:rFonts w:ascii="Times New Roman" w:cs="Times New Roman" w:eastAsia="Times New Roman" w:hAnsi="Times New Roman"/>
                <w:sz w:val="20"/>
                <w:szCs w:val="20"/>
                <w:color w:val="auto"/>
                <w:w w:val="98"/>
              </w:rPr>
              <w:t>OWNED BY EACH</w:t>
            </w:r>
          </w:p>
        </w:tc>
        <w:tc>
          <w:tcPr>
            <w:tcW w:w="480" w:type="dxa"/>
            <w:vAlign w:val="bottom"/>
            <w:tcBorders>
              <w:bottom w:val="single" w:sz="8" w:color="auto"/>
            </w:tcBorders>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8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51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REPORTING PERSON</w:t>
            </w:r>
          </w:p>
        </w:tc>
        <w:tc>
          <w:tcPr>
            <w:tcW w:w="480" w:type="dxa"/>
            <w:vAlign w:val="bottom"/>
            <w:vMerge w:val="continue"/>
          </w:tcPr>
          <w:p>
            <w:pPr>
              <w:spacing w:after="0"/>
              <w:rPr>
                <w:sz w:val="21"/>
                <w:szCs w:val="21"/>
                <w:color w:val="auto"/>
              </w:rPr>
            </w:pPr>
          </w:p>
        </w:tc>
        <w:tc>
          <w:tcPr>
            <w:tcW w:w="5160" w:type="dxa"/>
            <w:vAlign w:val="bottom"/>
            <w:vMerge w:val="continue"/>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880"/>
        <w:spacing w:after="0" w:line="183" w:lineRule="auto"/>
        <w:rPr>
          <w:sz w:val="20"/>
          <w:szCs w:val="20"/>
          <w:color w:val="auto"/>
        </w:rPr>
      </w:pPr>
      <w:r>
        <w:rPr>
          <w:rFonts w:ascii="Times New Roman" w:cs="Times New Roman" w:eastAsia="Times New Roman" w:hAnsi="Times New Roman"/>
          <w:sz w:val="20"/>
          <w:szCs w:val="20"/>
          <w:color w:val="auto"/>
        </w:rPr>
        <w:t>WITH</w:t>
      </w:r>
    </w:p>
    <w:p>
      <w:pPr>
        <w:ind w:left="2880"/>
        <w:spacing w:after="0"/>
        <w:rPr>
          <w:sz w:val="20"/>
          <w:szCs w:val="20"/>
          <w:color w:val="auto"/>
        </w:rPr>
      </w:pPr>
      <w:r>
        <w:rPr>
          <w:rFonts w:ascii="Times New Roman" w:cs="Times New Roman" w:eastAsia="Times New Roman" w:hAnsi="Times New Roman"/>
          <w:sz w:val="20"/>
          <w:szCs w:val="20"/>
          <w:color w:val="auto"/>
        </w:rPr>
        <w:t>2,543,263</w:t>
      </w:r>
    </w:p>
    <w:p>
      <w:pPr>
        <w:spacing w:after="0" w:line="99" w:lineRule="exact"/>
        <w:rPr>
          <w:sz w:val="20"/>
          <w:szCs w:val="20"/>
          <w:color w:val="auto"/>
        </w:rPr>
      </w:pPr>
    </w:p>
    <w:p>
      <w:pPr>
        <w:ind w:left="2880" w:right="5580" w:hanging="415"/>
        <w:spacing w:after="0" w:line="422" w:lineRule="auto"/>
        <w:tabs>
          <w:tab w:leader="none" w:pos="28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None</w:t>
      </w:r>
    </w:p>
    <w:p>
      <w:pPr>
        <w:spacing w:after="0" w:line="1" w:lineRule="exact"/>
        <w:rPr>
          <w:rFonts w:ascii="Times New Roman" w:cs="Times New Roman" w:eastAsia="Times New Roman" w:hAnsi="Times New Roman"/>
          <w:sz w:val="20"/>
          <w:szCs w:val="20"/>
          <w:color w:val="auto"/>
        </w:rPr>
      </w:pPr>
    </w:p>
    <w:p>
      <w:pPr>
        <w:ind w:left="440" w:right="3600" w:hanging="311"/>
        <w:spacing w:after="0" w:line="422" w:lineRule="auto"/>
        <w:tabs>
          <w:tab w:leader="none" w:pos="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2,543,263</w:t>
      </w:r>
    </w:p>
    <w:p>
      <w:pPr>
        <w:spacing w:after="0" w:line="1" w:lineRule="exact"/>
        <w:rPr>
          <w:sz w:val="20"/>
          <w:szCs w:val="20"/>
          <w:color w:val="auto"/>
        </w:rPr>
      </w:pPr>
    </w:p>
    <w:p>
      <w:pPr>
        <w:ind w:left="440" w:right="3500" w:hanging="360"/>
        <w:spacing w:after="0" w:line="269" w:lineRule="auto"/>
        <w:tabs>
          <w:tab w:leader="none" w:pos="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 ]</w:t>
      </w:r>
    </w:p>
    <w:p>
      <w:pPr>
        <w:spacing w:after="0" w:line="294" w:lineRule="exact"/>
        <w:rPr>
          <w:rFonts w:ascii="Times New Roman" w:cs="Times New Roman" w:eastAsia="Times New Roman" w:hAnsi="Times New Roman"/>
          <w:sz w:val="20"/>
          <w:szCs w:val="20"/>
          <w:color w:val="auto"/>
        </w:rPr>
      </w:pPr>
    </w:p>
    <w:p>
      <w:pPr>
        <w:ind w:left="440" w:right="5240" w:hanging="356"/>
        <w:spacing w:after="0" w:line="422" w:lineRule="auto"/>
        <w:tabs>
          <w:tab w:leader="none" w:pos="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5.68%</w:t>
      </w:r>
    </w:p>
    <w:p>
      <w:pPr>
        <w:spacing w:after="0" w:line="1" w:lineRule="exact"/>
        <w:rPr>
          <w:rFonts w:ascii="Times New Roman" w:cs="Times New Roman" w:eastAsia="Times New Roman" w:hAnsi="Times New Roman"/>
          <w:sz w:val="20"/>
          <w:szCs w:val="20"/>
          <w:color w:val="auto"/>
        </w:rPr>
      </w:pPr>
    </w:p>
    <w:p>
      <w:pPr>
        <w:ind w:left="440" w:hanging="360"/>
        <w:spacing w:after="0"/>
        <w:tabs>
          <w:tab w:leader="none" w:pos="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240"/>
          </w:cols>
          <w:pgMar w:left="320" w:top="47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4 of 6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color w:val="auto"/>
        </w:rPr>
        <w:t>(a)  Name of Issuer</w:t>
      </w:r>
    </w:p>
    <w:p>
      <w:pPr>
        <w:spacing w:after="0" w:line="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Xometry Inc.</w:t>
      </w:r>
    </w:p>
    <w:p>
      <w:pPr>
        <w:spacing w:after="0" w:line="207" w:lineRule="exact"/>
        <w:rPr>
          <w:sz w:val="20"/>
          <w:szCs w:val="20"/>
          <w:color w:val="auto"/>
        </w:rPr>
      </w:pPr>
    </w:p>
    <w:p>
      <w:pPr>
        <w:ind w:left="1080" w:right="6400" w:hanging="357"/>
        <w:spacing w:after="0" w:line="250"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 6116 Executive Boulevard, Suite 800</w:t>
      </w:r>
    </w:p>
    <w:p>
      <w:pPr>
        <w:spacing w:after="0" w:line="1" w:lineRule="exact"/>
        <w:rPr>
          <w:rFonts w:ascii="Times New Roman" w:cs="Times New Roman" w:eastAsia="Times New Roman" w:hAnsi="Times New Roman"/>
          <w:sz w:val="20"/>
          <w:szCs w:val="20"/>
          <w:color w:val="auto"/>
        </w:rPr>
      </w:pPr>
    </w:p>
    <w:p>
      <w:pPr>
        <w:ind w:left="10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North Bethesda, MD 20852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color w:val="auto"/>
        </w:rPr>
        <w:t>(a)  Name of Person Filing</w:t>
      </w:r>
    </w:p>
    <w:p>
      <w:pPr>
        <w:spacing w:after="0" w:line="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Brown Capital Management, LLC</w:t>
      </w:r>
    </w:p>
    <w:p>
      <w:pPr>
        <w:ind w:left="1080"/>
        <w:spacing w:after="0"/>
        <w:rPr>
          <w:sz w:val="20"/>
          <w:szCs w:val="20"/>
          <w:color w:val="auto"/>
        </w:rPr>
      </w:pPr>
      <w:r>
        <w:rPr>
          <w:rFonts w:ascii="Times New Roman" w:cs="Times New Roman" w:eastAsia="Times New Roman" w:hAnsi="Times New Roman"/>
          <w:sz w:val="20"/>
          <w:szCs w:val="20"/>
          <w:color w:val="auto"/>
        </w:rPr>
        <w:t>The Brown Capital Management Small Company Fund</w:t>
      </w:r>
    </w:p>
    <w:p>
      <w:pPr>
        <w:spacing w:after="0" w:line="207" w:lineRule="exact"/>
        <w:rPr>
          <w:sz w:val="20"/>
          <w:szCs w:val="20"/>
          <w:color w:val="auto"/>
        </w:rPr>
      </w:pPr>
    </w:p>
    <w:p>
      <w:pPr>
        <w:ind w:left="1080" w:right="6000" w:hanging="357"/>
        <w:spacing w:after="0" w:line="250"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the Principal Office or, if none, residence 1201 N. Calvert Street</w:t>
      </w:r>
    </w:p>
    <w:p>
      <w:pPr>
        <w:spacing w:after="0" w:line="1" w:lineRule="exact"/>
        <w:rPr>
          <w:rFonts w:ascii="Times New Roman" w:cs="Times New Roman" w:eastAsia="Times New Roman" w:hAnsi="Times New Roman"/>
          <w:sz w:val="20"/>
          <w:szCs w:val="20"/>
          <w:color w:val="auto"/>
        </w:rPr>
      </w:pPr>
    </w:p>
    <w:p>
      <w:pPr>
        <w:ind w:left="10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Baltimore, Maryland 21202</w:t>
      </w:r>
    </w:p>
    <w:p>
      <w:pPr>
        <w:spacing w:after="0" w:line="207"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w:t>
      </w:r>
    </w:p>
    <w:p>
      <w:pPr>
        <w:spacing w:after="0" w:line="21" w:lineRule="exact"/>
        <w:rPr>
          <w:rFonts w:ascii="Times New Roman" w:cs="Times New Roman" w:eastAsia="Times New Roman" w:hAnsi="Times New Roman"/>
          <w:sz w:val="20"/>
          <w:szCs w:val="20"/>
          <w:color w:val="auto"/>
        </w:rPr>
      </w:pPr>
    </w:p>
    <w:p>
      <w:pPr>
        <w:ind w:left="10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Brown Capital Management, LLC is a Maryland Limited Liability Company</w:t>
      </w:r>
    </w:p>
    <w:p>
      <w:pPr>
        <w:ind w:left="1080" w:right="38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Brown Capital Management Small Company Fund is a series portfolio of Brown Capital Management Mutual Funds, a Delaware statutory trust</w:t>
      </w:r>
    </w:p>
    <w:p>
      <w:pPr>
        <w:spacing w:after="0" w:line="195"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of Class of Securities</w:t>
      </w:r>
    </w:p>
    <w:p>
      <w:pPr>
        <w:spacing w:after="0" w:line="21" w:lineRule="exact"/>
        <w:rPr>
          <w:rFonts w:ascii="Times New Roman" w:cs="Times New Roman" w:eastAsia="Times New Roman" w:hAnsi="Times New Roman"/>
          <w:sz w:val="20"/>
          <w:szCs w:val="20"/>
          <w:color w:val="auto"/>
        </w:rPr>
      </w:pPr>
    </w:p>
    <w:p>
      <w:pPr>
        <w:ind w:left="10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7" w:lineRule="exact"/>
        <w:rPr>
          <w:rFonts w:ascii="Times New Roman" w:cs="Times New Roman" w:eastAsia="Times New Roman" w:hAnsi="Times New Roman"/>
          <w:sz w:val="20"/>
          <w:szCs w:val="20"/>
          <w:color w:val="auto"/>
        </w:rPr>
      </w:pPr>
    </w:p>
    <w:p>
      <w:pPr>
        <w:ind w:left="1080" w:right="8900" w:hanging="357"/>
        <w:spacing w:after="0" w:line="295" w:lineRule="auto"/>
        <w:tabs>
          <w:tab w:leader="none" w:pos="108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CUSIP Number 98423F109</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If this statement is filed pursuant to §§240.13d-1(b) or 240.13d-2(b) or (c), check whether the person filing is a:</w:t>
      </w:r>
    </w:p>
    <w:p>
      <w:pPr>
        <w:spacing w:after="0" w:line="233" w:lineRule="exact"/>
        <w:rPr>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 investment adviser in accordance with §240.13d-1(b)(1)(ii)(E);</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§240.13d-1(b)(1)(ii)(F);</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parent holding company or control person in accordance with §240.13d-1(b)(1)(ii)(G);</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associations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1060" w:right="20" w:hanging="701"/>
        <w:spacing w:after="0" w:line="269" w:lineRule="auto"/>
        <w:tabs>
          <w:tab w:leader="none" w:pos="70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2"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§240.13d-1(b)(1)(ii)(J).</w:t>
      </w:r>
    </w:p>
    <w:p>
      <w:pPr>
        <w:sectPr>
          <w:pgSz w:w="11900" w:h="16838" w:orient="portrait"/>
          <w:cols w:equalWidth="0" w:num="1">
            <w:col w:w="11240"/>
          </w:cols>
          <w:pgMar w:left="320" w:top="47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5 of 6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760" w:type="dxa"/>
            <w:vAlign w:val="bottom"/>
          </w:tcPr>
          <w:p>
            <w:pPr>
              <w:jc w:val="center"/>
              <w:ind w:left="2081"/>
              <w:spacing w:after="0"/>
              <w:rPr>
                <w:sz w:val="20"/>
                <w:szCs w:val="20"/>
                <w:color w:val="auto"/>
              </w:rPr>
            </w:pPr>
            <w:r>
              <w:rPr>
                <w:rFonts w:ascii="Times New Roman" w:cs="Times New Roman" w:eastAsia="Times New Roman" w:hAnsi="Times New Roman"/>
                <w:sz w:val="20"/>
                <w:szCs w:val="20"/>
                <w:b w:val="1"/>
                <w:bCs w:val="1"/>
                <w:color w:val="auto"/>
                <w:w w:val="99"/>
              </w:rPr>
              <w:t>Brown Capital</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The Brown Capital</w:t>
            </w:r>
          </w:p>
        </w:tc>
      </w:tr>
      <w:tr>
        <w:trPr>
          <w:trHeight w:val="230"/>
        </w:trPr>
        <w:tc>
          <w:tcPr>
            <w:tcW w:w="4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760" w:type="dxa"/>
            <w:vAlign w:val="bottom"/>
          </w:tcPr>
          <w:p>
            <w:pPr>
              <w:jc w:val="center"/>
              <w:ind w:left="2081"/>
              <w:spacing w:after="0"/>
              <w:rPr>
                <w:sz w:val="20"/>
                <w:szCs w:val="20"/>
                <w:color w:val="auto"/>
              </w:rPr>
            </w:pPr>
            <w:r>
              <w:rPr>
                <w:rFonts w:ascii="Times New Roman" w:cs="Times New Roman" w:eastAsia="Times New Roman" w:hAnsi="Times New Roman"/>
                <w:sz w:val="20"/>
                <w:szCs w:val="20"/>
                <w:b w:val="1"/>
                <w:bCs w:val="1"/>
                <w:color w:val="auto"/>
                <w:w w:val="97"/>
              </w:rPr>
              <w:t>Management,</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Mgmt Small Company</w:t>
            </w:r>
          </w:p>
        </w:tc>
      </w:tr>
      <w:tr>
        <w:trPr>
          <w:trHeight w:val="262"/>
        </w:trPr>
        <w:tc>
          <w:tcPr>
            <w:tcW w:w="46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3760" w:type="dxa"/>
            <w:vAlign w:val="bottom"/>
          </w:tcPr>
          <w:p>
            <w:pPr>
              <w:jc w:val="center"/>
              <w:ind w:left="2081"/>
              <w:spacing w:after="0"/>
              <w:rPr>
                <w:sz w:val="20"/>
                <w:szCs w:val="20"/>
                <w:color w:val="auto"/>
              </w:rPr>
            </w:pPr>
            <w:r>
              <w:rPr>
                <w:rFonts w:ascii="Times New Roman" w:cs="Times New Roman" w:eastAsia="Times New Roman" w:hAnsi="Times New Roman"/>
                <w:sz w:val="20"/>
                <w:szCs w:val="20"/>
                <w:b w:val="1"/>
                <w:bCs w:val="1"/>
                <w:color w:val="auto"/>
              </w:rPr>
              <w:t>LLC</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Fund</w:t>
            </w:r>
          </w:p>
        </w:tc>
      </w:tr>
      <w:tr>
        <w:trPr>
          <w:trHeight w:val="102"/>
        </w:trPr>
        <w:tc>
          <w:tcPr>
            <w:tcW w:w="4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263"/>
        </w:trPr>
        <w:tc>
          <w:tcPr>
            <w:tcW w:w="460" w:type="dxa"/>
            <w:vAlign w:val="bottom"/>
            <w:tcBorders>
              <w:bottom w:val="single" w:sz="8" w:color="DCDCDC"/>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(a)</w:t>
            </w:r>
          </w:p>
        </w:tc>
        <w:tc>
          <w:tcPr>
            <w:tcW w:w="4840" w:type="dxa"/>
            <w:vAlign w:val="bottom"/>
            <w:tcBorders>
              <w:bottom w:val="single" w:sz="8" w:color="DCDCDC"/>
            </w:tcBorders>
            <w:shd w:val="clear" w:color="auto" w:fill="DCDCDC"/>
          </w:tcPr>
          <w:p>
            <w:pPr>
              <w:ind w:left="220"/>
              <w:spacing w:after="0"/>
              <w:rPr>
                <w:sz w:val="20"/>
                <w:szCs w:val="20"/>
                <w:color w:val="auto"/>
              </w:rPr>
            </w:pPr>
            <w:r>
              <w:rPr>
                <w:rFonts w:ascii="Times New Roman" w:cs="Times New Roman" w:eastAsia="Times New Roman" w:hAnsi="Times New Roman"/>
                <w:sz w:val="20"/>
                <w:szCs w:val="20"/>
                <w:color w:val="auto"/>
              </w:rPr>
              <w:t>Amount beneficially owned:</w:t>
            </w:r>
          </w:p>
        </w:tc>
        <w:tc>
          <w:tcPr>
            <w:tcW w:w="3760" w:type="dxa"/>
            <w:vAlign w:val="bottom"/>
            <w:tcBorders>
              <w:bottom w:val="single" w:sz="8" w:color="DCDCDC"/>
            </w:tcBorders>
            <w:shd w:val="clear" w:color="auto" w:fill="DCDCDC"/>
          </w:tcPr>
          <w:p>
            <w:pPr>
              <w:jc w:val="right"/>
              <w:ind w:right="301"/>
              <w:spacing w:after="0"/>
              <w:rPr>
                <w:sz w:val="20"/>
                <w:szCs w:val="20"/>
                <w:color w:val="auto"/>
              </w:rPr>
            </w:pPr>
            <w:r>
              <w:rPr>
                <w:rFonts w:ascii="Times New Roman" w:cs="Times New Roman" w:eastAsia="Times New Roman" w:hAnsi="Times New Roman"/>
                <w:sz w:val="20"/>
                <w:szCs w:val="20"/>
                <w:color w:val="auto"/>
              </w:rPr>
              <w:t>4,620,896</w:t>
            </w:r>
          </w:p>
        </w:tc>
        <w:tc>
          <w:tcPr>
            <w:tcW w:w="2180" w:type="dxa"/>
            <w:vAlign w:val="bottom"/>
            <w:tcBorders>
              <w:bottom w:val="single" w:sz="8" w:color="DCDCDC"/>
            </w:tcBorders>
            <w:shd w:val="clear" w:color="auto" w:fill="DCDCDC"/>
          </w:tcPr>
          <w:p>
            <w:pPr>
              <w:jc w:val="right"/>
              <w:ind w:right="581"/>
              <w:spacing w:after="0"/>
              <w:rPr>
                <w:sz w:val="20"/>
                <w:szCs w:val="20"/>
                <w:color w:val="auto"/>
              </w:rPr>
            </w:pPr>
            <w:r>
              <w:rPr>
                <w:rFonts w:ascii="Times New Roman" w:cs="Times New Roman" w:eastAsia="Times New Roman" w:hAnsi="Times New Roman"/>
                <w:sz w:val="20"/>
                <w:szCs w:val="20"/>
                <w:color w:val="auto"/>
              </w:rPr>
              <w:t>2,543,263</w:t>
            </w:r>
          </w:p>
        </w:tc>
      </w:tr>
      <w:tr>
        <w:trPr>
          <w:trHeight w:val="263"/>
        </w:trPr>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w:t>
            </w:r>
          </w:p>
        </w:tc>
        <w:tc>
          <w:tcPr>
            <w:tcW w:w="48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Percent of class:</w:t>
            </w:r>
          </w:p>
        </w:tc>
        <w:tc>
          <w:tcPr>
            <w:tcW w:w="37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10.32%</w:t>
            </w:r>
          </w:p>
        </w:tc>
        <w:tc>
          <w:tcPr>
            <w:tcW w:w="218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 w:lineRule="exact"/>
        <w:rPr>
          <w:sz w:val="20"/>
          <w:szCs w:val="20"/>
          <w:color w:val="auto"/>
        </w:rPr>
      </w:pPr>
    </w:p>
    <w:p>
      <w:pPr>
        <w:ind w:left="680" w:hanging="645"/>
        <w:spacing w:after="0"/>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w:t>
            </w:r>
          </w:p>
        </w:tc>
        <w:tc>
          <w:tcPr>
            <w:tcW w:w="5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Sole power to vote or to direct the vote:</w:t>
            </w:r>
          </w:p>
        </w:tc>
        <w:tc>
          <w:tcPr>
            <w:tcW w:w="250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7"/>
              </w:rPr>
              <w:t>3,057,064</w:t>
            </w:r>
          </w:p>
        </w:tc>
        <w:tc>
          <w:tcPr>
            <w:tcW w:w="202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7"/>
              </w:rPr>
              <w:t>2,543,263</w:t>
            </w:r>
          </w:p>
        </w:tc>
      </w:tr>
      <w:tr>
        <w:trPr>
          <w:trHeight w:val="21"/>
        </w:trPr>
        <w:tc>
          <w:tcPr>
            <w:tcW w:w="10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3"/>
        </w:trPr>
        <w:tc>
          <w:tcPr>
            <w:tcW w:w="1060" w:type="dxa"/>
            <w:vAlign w:val="bottom"/>
            <w:tcBorders>
              <w:bottom w:val="single" w:sz="8" w:color="DCDCDC"/>
            </w:tcBorders>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(ii)</w:t>
            </w:r>
          </w:p>
        </w:tc>
        <w:tc>
          <w:tcPr>
            <w:tcW w:w="5660" w:type="dxa"/>
            <w:vAlign w:val="bottom"/>
            <w:tcBorders>
              <w:bottom w:val="single" w:sz="8" w:color="DCDCDC"/>
            </w:tcBorders>
            <w:shd w:val="clear" w:color="auto" w:fill="DCDCDC"/>
          </w:tcPr>
          <w:p>
            <w:pPr>
              <w:ind w:left="180"/>
              <w:spacing w:after="0"/>
              <w:rPr>
                <w:sz w:val="20"/>
                <w:szCs w:val="20"/>
                <w:color w:val="auto"/>
              </w:rPr>
            </w:pPr>
            <w:r>
              <w:rPr>
                <w:rFonts w:ascii="Times New Roman" w:cs="Times New Roman" w:eastAsia="Times New Roman" w:hAnsi="Times New Roman"/>
                <w:sz w:val="20"/>
                <w:szCs w:val="20"/>
                <w:color w:val="auto"/>
              </w:rPr>
              <w:t>Shared power to vote or to direct the vote:</w:t>
            </w:r>
          </w:p>
        </w:tc>
        <w:tc>
          <w:tcPr>
            <w:tcW w:w="2500" w:type="dxa"/>
            <w:vAlign w:val="bottom"/>
            <w:tcBorders>
              <w:bottom w:val="single" w:sz="8" w:color="DCDCDC"/>
            </w:tcBorders>
            <w:shd w:val="clear" w:color="auto" w:fill="DCDCDC"/>
          </w:tcPr>
          <w:p>
            <w:pPr>
              <w:jc w:val="center"/>
              <w:ind w:left="501"/>
              <w:spacing w:after="0"/>
              <w:rPr>
                <w:sz w:val="20"/>
                <w:szCs w:val="20"/>
                <w:color w:val="auto"/>
              </w:rPr>
            </w:pPr>
            <w:r>
              <w:rPr>
                <w:rFonts w:ascii="Times New Roman" w:cs="Times New Roman" w:eastAsia="Times New Roman" w:hAnsi="Times New Roman"/>
                <w:sz w:val="20"/>
                <w:szCs w:val="20"/>
                <w:color w:val="auto"/>
                <w:w w:val="96"/>
              </w:rPr>
              <w:t>None</w:t>
            </w:r>
          </w:p>
        </w:tc>
        <w:tc>
          <w:tcPr>
            <w:tcW w:w="2020" w:type="dxa"/>
            <w:vAlign w:val="bottom"/>
            <w:tcBorders>
              <w:bottom w:val="single" w:sz="8" w:color="DCDCDC"/>
            </w:tcBorders>
            <w:shd w:val="clear" w:color="auto" w:fill="DCDCDC"/>
          </w:tcPr>
          <w:p>
            <w:pPr>
              <w:jc w:val="center"/>
              <w:ind w:right="21"/>
              <w:spacing w:after="0"/>
              <w:rPr>
                <w:sz w:val="20"/>
                <w:szCs w:val="20"/>
                <w:color w:val="auto"/>
              </w:rPr>
            </w:pPr>
            <w:r>
              <w:rPr>
                <w:rFonts w:ascii="Times New Roman" w:cs="Times New Roman" w:eastAsia="Times New Roman" w:hAnsi="Times New Roman"/>
                <w:sz w:val="20"/>
                <w:szCs w:val="20"/>
                <w:color w:val="auto"/>
                <w:w w:val="96"/>
              </w:rPr>
              <w:t>None</w:t>
            </w:r>
          </w:p>
        </w:tc>
      </w:tr>
      <w:tr>
        <w:trPr>
          <w:trHeight w:val="263"/>
        </w:trPr>
        <w:tc>
          <w:tcPr>
            <w:tcW w:w="10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(iii)</w:t>
            </w:r>
          </w:p>
        </w:tc>
        <w:tc>
          <w:tcPr>
            <w:tcW w:w="5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Sole power to dispose or to direct the disposition of:</w:t>
            </w:r>
          </w:p>
        </w:tc>
        <w:tc>
          <w:tcPr>
            <w:tcW w:w="250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7"/>
              </w:rPr>
              <w:t>4,620,896</w:t>
            </w:r>
          </w:p>
        </w:tc>
        <w:tc>
          <w:tcPr>
            <w:tcW w:w="202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7"/>
              </w:rPr>
              <w:t>2,543,263</w:t>
            </w:r>
          </w:p>
        </w:tc>
      </w:tr>
      <w:tr>
        <w:trPr>
          <w:trHeight w:val="21"/>
        </w:trPr>
        <w:tc>
          <w:tcPr>
            <w:tcW w:w="10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3"/>
        </w:trPr>
        <w:tc>
          <w:tcPr>
            <w:tcW w:w="1060" w:type="dxa"/>
            <w:vAlign w:val="bottom"/>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(iv)</w:t>
            </w:r>
          </w:p>
        </w:tc>
        <w:tc>
          <w:tcPr>
            <w:tcW w:w="566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20"/>
                <w:szCs w:val="20"/>
                <w:color w:val="auto"/>
              </w:rPr>
              <w:t>Shared power to dispose or to direct the disposition of:</w:t>
            </w:r>
          </w:p>
        </w:tc>
        <w:tc>
          <w:tcPr>
            <w:tcW w:w="2500" w:type="dxa"/>
            <w:vAlign w:val="bottom"/>
            <w:shd w:val="clear" w:color="auto" w:fill="DCDCDC"/>
          </w:tcPr>
          <w:p>
            <w:pPr>
              <w:jc w:val="center"/>
              <w:ind w:left="501"/>
              <w:spacing w:after="0"/>
              <w:rPr>
                <w:sz w:val="20"/>
                <w:szCs w:val="20"/>
                <w:color w:val="auto"/>
              </w:rPr>
            </w:pPr>
            <w:r>
              <w:rPr>
                <w:rFonts w:ascii="Times New Roman" w:cs="Times New Roman" w:eastAsia="Times New Roman" w:hAnsi="Times New Roman"/>
                <w:sz w:val="20"/>
                <w:szCs w:val="20"/>
                <w:color w:val="auto"/>
                <w:w w:val="96"/>
              </w:rPr>
              <w:t>None</w:t>
            </w:r>
          </w:p>
        </w:tc>
        <w:tc>
          <w:tcPr>
            <w:tcW w:w="2020" w:type="dxa"/>
            <w:vAlign w:val="bottom"/>
            <w:shd w:val="clear" w:color="auto" w:fill="DCDCDC"/>
          </w:tcPr>
          <w:p>
            <w:pPr>
              <w:jc w:val="center"/>
              <w:ind w:right="21"/>
              <w:spacing w:after="0"/>
              <w:rPr>
                <w:sz w:val="20"/>
                <w:szCs w:val="20"/>
                <w:color w:val="auto"/>
              </w:rPr>
            </w:pPr>
            <w:r>
              <w:rPr>
                <w:rFonts w:ascii="Times New Roman" w:cs="Times New Roman" w:eastAsia="Times New Roman" w:hAnsi="Times New Roman"/>
                <w:sz w:val="20"/>
                <w:szCs w:val="20"/>
                <w:color w:val="auto"/>
                <w:w w:val="96"/>
              </w:rPr>
              <w:t>None</w:t>
            </w:r>
          </w:p>
        </w:tc>
      </w:tr>
      <w:tr>
        <w:trPr>
          <w:trHeight w:val="21"/>
        </w:trPr>
        <w:tc>
          <w:tcPr>
            <w:tcW w:w="1060" w:type="dxa"/>
            <w:vAlign w:val="bottom"/>
            <w:shd w:val="clear" w:color="auto" w:fill="DCDCDC"/>
          </w:tcPr>
          <w:p>
            <w:pPr>
              <w:spacing w:after="0" w:line="20" w:lineRule="exact"/>
              <w:rPr>
                <w:sz w:val="1"/>
                <w:szCs w:val="1"/>
                <w:color w:val="auto"/>
              </w:rPr>
            </w:pPr>
          </w:p>
        </w:tc>
        <w:tc>
          <w:tcPr>
            <w:tcW w:w="5660" w:type="dxa"/>
            <w:vAlign w:val="bottom"/>
            <w:shd w:val="clear" w:color="auto" w:fill="DCDCDC"/>
          </w:tcPr>
          <w:p>
            <w:pPr>
              <w:spacing w:after="0" w:line="20" w:lineRule="exact"/>
              <w:rPr>
                <w:sz w:val="1"/>
                <w:szCs w:val="1"/>
                <w:color w:val="auto"/>
              </w:rPr>
            </w:pPr>
          </w:p>
        </w:tc>
        <w:tc>
          <w:tcPr>
            <w:tcW w:w="2500" w:type="dxa"/>
            <w:vAlign w:val="bottom"/>
            <w:shd w:val="clear" w:color="auto" w:fill="DCDCDC"/>
          </w:tcPr>
          <w:p>
            <w:pPr>
              <w:spacing w:after="0" w:line="20" w:lineRule="exact"/>
              <w:rPr>
                <w:sz w:val="1"/>
                <w:szCs w:val="1"/>
                <w:color w:val="auto"/>
              </w:rPr>
            </w:pPr>
          </w:p>
        </w:tc>
        <w:tc>
          <w:tcPr>
            <w:tcW w:w="2020" w:type="dxa"/>
            <w:vAlign w:val="bottom"/>
            <w:shd w:val="clear" w:color="auto" w:fill="DCDCDC"/>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Ownership of Five Percent or Less of a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 five percent of the class of securities, check the following [ ].</w:t>
      </w:r>
    </w:p>
    <w:p>
      <w:pPr>
        <w:spacing w:after="0"/>
        <w:rPr>
          <w:sz w:val="20"/>
          <w:szCs w:val="20"/>
          <w:color w:val="auto"/>
        </w:rPr>
      </w:pPr>
      <w:r>
        <w:rPr>
          <w:rFonts w:ascii="Times New Roman" w:cs="Times New Roman" w:eastAsia="Times New Roman" w:hAnsi="Times New Roman"/>
          <w:sz w:val="20"/>
          <w:szCs w:val="20"/>
          <w:i w:val="1"/>
          <w:iCs w:val="1"/>
          <w:color w:val="auto"/>
        </w:rPr>
        <w:t>Instruction</w:t>
      </w:r>
      <w:r>
        <w:rPr>
          <w:rFonts w:ascii="Times New Roman" w:cs="Times New Roman" w:eastAsia="Times New Roman" w:hAnsi="Times New Roman"/>
          <w:sz w:val="20"/>
          <w:szCs w:val="20"/>
          <w:color w:val="auto"/>
        </w:rPr>
        <w:t>. Dissolution of a group requires a response to this item.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Ownership of More than Five Percent on Behalf of Another Person.</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All of the shares of Common Stock set forth in Item 4 are owned by various investment advisory clients of Brown Capital Management, LLC, which is deemed to be a beneficial owner of those shares pursuant to Rule 13d-3 under the Securities Exchange Act of 1934, due to its discretionary power to make investment decisions over such shares for its clients and/or its ability to vote such shares. In all cases, persons other than Brown Capital Management, LLC have the right to receive, or the power to direct the receipt of, dividends from, or the proceeds from the sale of the shares. No individual client holds more than five percent of the class, other than the Brown Capital Management Small Company Fund as disclosed in this filing.</w:t>
      </w:r>
    </w:p>
    <w:p>
      <w:pPr>
        <w:spacing w:after="0" w:line="19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471"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6 of 6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Certification.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Brown Capital Management, LLC</w:t>
      </w:r>
    </w:p>
    <w:p>
      <w:pPr>
        <w:spacing w:after="0" w:line="23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20"/>
          <w:szCs w:val="20"/>
          <w:color w:val="auto"/>
        </w:rPr>
        <w:t>By:</w:t>
        <w:tab/>
        <w:t>/s/ Eddie C. Brown</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Eddie C.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-144780</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620"/>
        <w:spacing w:after="0"/>
        <w:tabs>
          <w:tab w:leader="none" w:pos="6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CEO</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color w:val="auto"/>
        </w:rPr>
        <w:t>March 9, 2023</w:t>
      </w:r>
    </w:p>
    <w:sectPr>
      <w:pgSz w:w="11900" w:h="16838" w:orient="portrait"/>
      <w:cols w:equalWidth="0" w:num="1">
        <w:col w:w="11240"/>
      </w:cols>
      <w:pgMar w:left="320" w:top="4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decimal"/>
      <w:start w:val="8"/>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lvl w:ilvl="1">
      <w:lvlJc w:val="left"/>
      <w:lvlText w:val="%2."/>
      <w:numFmt w:val="decimal"/>
      <w:start w:val="8"/>
    </w:lvl>
  </w:abstractNum>
  <w:abstractNum w:abstractNumId="7">
    <w:nsid w:val="216231B"/>
    <w:multiLevelType w:val="hybridMultilevel"/>
    <w:lvl w:ilvl="0">
      <w:lvlJc w:val="left"/>
      <w:lvlText w:val="%1."/>
      <w:numFmt w:val="decimal"/>
      <w:start w:val="9"/>
    </w:lvl>
    <w:lvl w:ilvl="1">
      <w:lvlJc w:val="left"/>
      <w:lvlText w:val="%2"/>
      <w:numFmt w:val="decimal"/>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2023-03-09T12:30:58Z</dcterms:created>
  <dcterms:modified xsi:type="dcterms:W3CDTF">2023-03-09T12:30:58Z</dcterms:modified>
</cp:coreProperties>
</file>