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xmtr-20230930.htm"/>
        <w:bookmarkStart w:id="1" w:name="ksxmtr20230930"/>
        <w:bookmarkEnd w:id="0"/>
        <w:bookmarkEnd w:id="1"/>
        <w:r>
          <w:rPr>
            <w:rStyle w:val="InternetLink"/>
            <w:rFonts w:ascii="Times New Roman" w:hAnsi="Times New Roman"/>
            <w:b w:val="false"/>
            <w:color w:val="0000FF"/>
            <w:sz w:val="20"/>
            <w:u w:val="single"/>
          </w:rPr>
          <w:t>Table of Contents</w:t>
        </w:r>
      </w:hyperlink>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__________ to __________</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001-40546</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XOMETRY,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32-0415449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6116 Executive Blvd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18"/>
              </w:rPr>
              <w:t>Suite 800</w:t>
            </w:r>
            <w:r>
              <w:rPr>
                <w:rFonts w:ascii="Times New Roman" w:hAnsi="Times New Roman"/>
                <w:color w:val="000000"/>
                <w:sz w:val="20"/>
              </w:rPr>
              <w:t xml:space="preserve"> </w:t>
            </w:r>
          </w:p>
          <w:p>
            <w:pPr>
              <w:pStyle w:val="TableContents"/>
              <w:bidi w:val="0"/>
              <w:spacing w:before="0" w:after="283"/>
              <w:jc w:val="center"/>
              <w:rPr>
                <w:rFonts w:ascii="Times New Roman" w:hAnsi="Times New Roman"/>
                <w:sz w:val="20"/>
              </w:rPr>
            </w:pPr>
            <w:r>
              <w:rPr>
                <w:rFonts w:ascii="Times New Roman" w:hAnsi="Times New Roman"/>
                <w:b/>
                <w:color w:val="000000"/>
                <w:sz w:val="18"/>
              </w:rPr>
              <w:t>North Bethesda, MD</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20852</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(240) 335-7914</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440" w:type="dxa"/>
        <w:jc w:val="left"/>
        <w:tblInd w:w="0" w:type="dxa"/>
        <w:tblLayout w:type="fixed"/>
        <w:tblCellMar>
          <w:top w:w="28" w:type="dxa"/>
          <w:left w:w="28" w:type="dxa"/>
          <w:bottom w:w="28" w:type="dxa"/>
          <w:right w:w="28" w:type="dxa"/>
        </w:tblCellMar>
      </w:tblPr>
      <w:tblGrid>
        <w:gridCol w:w="4006"/>
        <w:gridCol w:w="146"/>
        <w:gridCol w:w="826"/>
        <w:gridCol w:w="146"/>
        <w:gridCol w:w="3316"/>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00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Class A common stock, par value $0.000001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XMTR</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8"/>
        </w:rPr>
        <w:t>As of November 1, 2023, the registrant had 45,394,804</w:t>
      </w:r>
      <w:r>
        <w:rPr>
          <w:rFonts w:ascii="Times New Roman" w:hAnsi="Times New Roman"/>
          <w:color w:val="000000"/>
          <w:sz w:val="20"/>
        </w:rPr>
        <w:t xml:space="preserve"> </w:t>
      </w:r>
      <w:r>
        <w:rPr>
          <w:rFonts w:ascii="Times New Roman" w:hAnsi="Times New Roman"/>
          <w:b w:val="false"/>
          <w:color w:val="000000"/>
          <w:sz w:val="18"/>
        </w:rPr>
        <w:t>shares of Class A common stock, $0.000001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spacing w:before="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val="false"/>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b w:val="false"/>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b w:val="false"/>
                  <w:color w:val="0000FF"/>
                  <w:sz w:val="20"/>
                  <w:u w:val="single"/>
                </w:rPr>
                <w:t>Condensed Consolidated Balance Sheets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b w:val="false"/>
                  <w:color w:val="0000FF"/>
                  <w:sz w:val="20"/>
                  <w:u w:val="single"/>
                </w:rPr>
                <w:t>Condensed Consolidated Statements of Operations and Comprehensive Loss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equity">
              <w:r>
                <w:rPr>
                  <w:rStyle w:val="InternetLink"/>
                  <w:rFonts w:ascii="Times New Roman" w:hAnsi="Times New Roman"/>
                  <w:b w:val="false"/>
                  <w:color w:val="0000FF"/>
                  <w:sz w:val="20"/>
                  <w:u w:val="single"/>
                </w:rPr>
                <w:t>Condensed Consolidated Statements of Changes in Stockholders' Equity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b w:val="false"/>
                  <w:color w:val="0000FF"/>
                  <w:sz w:val="20"/>
                  <w:u w:val="single"/>
                </w:rPr>
                <w:t>Condensed Consolidated Statements of Cash Flows</w:t>
              </w:r>
            </w:hyperlink>
            <w:r>
              <w:rPr>
                <w:rFonts w:ascii="Times New Roman" w:hAnsi="Times New Roman"/>
                <w:color w:val="000000"/>
                <w:sz w:val="20"/>
              </w:rPr>
              <w:t xml:space="preserve"> </w:t>
            </w:r>
            <w:hyperlink w:anchor="balance_sheet">
              <w:r>
                <w:rPr>
                  <w:rStyle w:val="InternetLink"/>
                  <w:rFonts w:ascii="Times New Roman" w:hAnsi="Times New Roman"/>
                  <w:b w:val="false"/>
                  <w:color w:val="0000FF"/>
                  <w:sz w:val="20"/>
                  <w:u w:val="single"/>
                </w:rPr>
                <w:t>(Unaudited)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b w:val="false"/>
                  <w:color w:val="0000FF"/>
                  <w:sz w:val="20"/>
                  <w:u w:val="single"/>
                </w:rPr>
                <w:t>Notes to 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b w:val="false"/>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b w:val="false"/>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b w:val="false"/>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val="false"/>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b w:val="false"/>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b w:val="false"/>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b w:val="false"/>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b w:val="false"/>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b w:val="false"/>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b w:val="false"/>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b w:val="false"/>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center"/>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jc w:val="left"/>
        <w:rPr/>
      </w:pPr>
      <w:r>
        <w:rPr/>
        <w:t> </w:t>
      </w:r>
    </w:p>
    <w:tbl>
      <w:tblPr>
        <w:tblW w:w="6837" w:type="dxa"/>
        <w:jc w:val="left"/>
        <w:tblInd w:w="0" w:type="dxa"/>
        <w:tblLayout w:type="fixed"/>
        <w:tblCellMar>
          <w:top w:w="28" w:type="dxa"/>
          <w:left w:w="28" w:type="dxa"/>
          <w:bottom w:w="28" w:type="dxa"/>
          <w:right w:w="28" w:type="dxa"/>
        </w:tblCellMar>
      </w:tblPr>
      <w:tblGrid>
        <w:gridCol w:w="161"/>
        <w:gridCol w:w="109"/>
        <w:gridCol w:w="146"/>
        <w:gridCol w:w="642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our expectations regarding our revenue, expenses and other operating results;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anticipated growth of our business, including our ability to effectively manage or sustain our growth and to achieve or sustain profitability;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the effects of public health crises or other macroeconomic factors and geopolitical tension, which may lead to periods of global economic uncertainty;</w:t>
            </w:r>
            <w:r>
              <w:rPr>
                <w:rFonts w:ascii="Times New Roman" w:hAnsi="Times New Roman"/>
                <w:color w:val="000000"/>
                <w:sz w:val="20"/>
              </w:rPr>
              <w:t xml:space="preser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future investments in our business, our anticipated capital expenditures and our estimates regarding our capital requirements;</w:t>
            </w:r>
          </w:p>
        </w:tc>
      </w:tr>
    </w:tbl>
    <w:p>
      <w:pPr>
        <w:pStyle w:val="TextBody"/>
        <w:bidi w:val="0"/>
        <w:jc w:val="left"/>
        <w:rPr/>
      </w:pPr>
      <w:r>
        <w:rPr/>
        <w:t> </w:t>
      </w:r>
    </w:p>
    <w:tbl>
      <w:tblPr>
        <w:tblW w:w="9477" w:type="dxa"/>
        <w:jc w:val="left"/>
        <w:tblInd w:w="0" w:type="dxa"/>
        <w:tblLayout w:type="fixed"/>
        <w:tblCellMar>
          <w:top w:w="28" w:type="dxa"/>
          <w:left w:w="28" w:type="dxa"/>
          <w:bottom w:w="28" w:type="dxa"/>
          <w:right w:w="28" w:type="dxa"/>
        </w:tblCellMar>
      </w:tblPr>
      <w:tblGrid>
        <w:gridCol w:w="161"/>
        <w:gridCol w:w="109"/>
        <w:gridCol w:w="146"/>
        <w:gridCol w:w="90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our ability to attract new buyers and suppliers and successfully engage new and existing buyers and suppliers;</w:t>
            </w:r>
          </w:p>
        </w:tc>
      </w:tr>
    </w:tbl>
    <w:p>
      <w:pPr>
        <w:pStyle w:val="TextBody"/>
        <w:bidi w:val="0"/>
        <w:jc w:val="left"/>
        <w:rPr/>
      </w:pPr>
      <w:r>
        <w:rPr/>
        <w:t> </w:t>
      </w:r>
    </w:p>
    <w:tbl>
      <w:tblPr>
        <w:tblW w:w="8097" w:type="dxa"/>
        <w:jc w:val="left"/>
        <w:tblInd w:w="0" w:type="dxa"/>
        <w:tblLayout w:type="fixed"/>
        <w:tblCellMar>
          <w:top w:w="28" w:type="dxa"/>
          <w:left w:w="28" w:type="dxa"/>
          <w:bottom w:w="28" w:type="dxa"/>
          <w:right w:w="28" w:type="dxa"/>
        </w:tblCellMar>
      </w:tblPr>
      <w:tblGrid>
        <w:gridCol w:w="161"/>
        <w:gridCol w:w="109"/>
        <w:gridCol w:w="146"/>
        <w:gridCol w:w="76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costs and success of our sales and marketing efforts, and our ability to promote our brand;</w:t>
            </w:r>
          </w:p>
        </w:tc>
      </w:tr>
    </w:tbl>
    <w:p>
      <w:pPr>
        <w:pStyle w:val="TextBody"/>
        <w:bidi w:val="0"/>
        <w:jc w:val="left"/>
        <w:rPr/>
      </w:pPr>
      <w:r>
        <w:rPr/>
        <w:t> </w:t>
      </w:r>
    </w:p>
    <w:tbl>
      <w:tblPr>
        <w:tblW w:w="8082" w:type="dxa"/>
        <w:jc w:val="left"/>
        <w:tblInd w:w="0" w:type="dxa"/>
        <w:tblLayout w:type="fixed"/>
        <w:tblCellMar>
          <w:top w:w="28" w:type="dxa"/>
          <w:left w:w="28" w:type="dxa"/>
          <w:bottom w:w="28" w:type="dxa"/>
          <w:right w:w="28" w:type="dxa"/>
        </w:tblCellMar>
      </w:tblPr>
      <w:tblGrid>
        <w:gridCol w:w="161"/>
        <w:gridCol w:w="109"/>
        <w:gridCol w:w="146"/>
        <w:gridCol w:w="766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our reliance on key personnel and our ability to identify, recruit and retain skilled personnel;</w:t>
            </w:r>
          </w:p>
        </w:tc>
      </w:tr>
    </w:tbl>
    <w:p>
      <w:pPr>
        <w:pStyle w:val="TextBody"/>
        <w:bidi w:val="0"/>
        <w:jc w:val="left"/>
        <w:rPr/>
      </w:pPr>
      <w:r>
        <w:rPr/>
        <w:t> </w:t>
      </w:r>
    </w:p>
    <w:tbl>
      <w:tblPr>
        <w:tblW w:w="7422" w:type="dxa"/>
        <w:jc w:val="left"/>
        <w:tblInd w:w="0" w:type="dxa"/>
        <w:tblLayout w:type="fixed"/>
        <w:tblCellMar>
          <w:top w:w="28" w:type="dxa"/>
          <w:left w:w="28" w:type="dxa"/>
          <w:bottom w:w="28" w:type="dxa"/>
          <w:right w:w="28" w:type="dxa"/>
        </w:tblCellMar>
      </w:tblPr>
      <w:tblGrid>
        <w:gridCol w:w="161"/>
        <w:gridCol w:w="109"/>
        <w:gridCol w:w="146"/>
        <w:gridCol w:w="700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our ability to effectively manage our growth, including any international expansion;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our ability to obtain, maintain, protect and enforce our intellectual property or other proprietary rights and any costs associated therewith;</w:t>
            </w:r>
          </w:p>
        </w:tc>
      </w:tr>
    </w:tbl>
    <w:p>
      <w:pPr>
        <w:pStyle w:val="TextBody"/>
        <w:bidi w:val="0"/>
        <w:jc w:val="left"/>
        <w:rPr/>
      </w:pPr>
      <w:r>
        <w:rPr/>
        <w:t> </w:t>
      </w:r>
    </w:p>
    <w:tbl>
      <w:tblPr>
        <w:tblW w:w="9267" w:type="dxa"/>
        <w:jc w:val="left"/>
        <w:tblInd w:w="0" w:type="dxa"/>
        <w:tblLayout w:type="fixed"/>
        <w:tblCellMar>
          <w:top w:w="28" w:type="dxa"/>
          <w:left w:w="28" w:type="dxa"/>
          <w:bottom w:w="28" w:type="dxa"/>
          <w:right w:w="28" w:type="dxa"/>
        </w:tblCellMar>
      </w:tblPr>
      <w:tblGrid>
        <w:gridCol w:w="161"/>
        <w:gridCol w:w="109"/>
        <w:gridCol w:w="146"/>
        <w:gridCol w:w="885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our ability to effectively manage our costs and expenses, which may be impacted by inflationary pressures;</w:t>
            </w:r>
            <w:r>
              <w:rPr>
                <w:rFonts w:ascii="Times New Roman" w:hAnsi="Times New Roman"/>
                <w:color w:val="000000"/>
                <w:sz w:val="20"/>
              </w:rPr>
              <w:t xml:space="preserve"> </w:t>
            </w:r>
          </w:p>
        </w:tc>
      </w:tr>
    </w:tbl>
    <w:p>
      <w:pPr>
        <w:pStyle w:val="TextBody"/>
        <w:bidi w:val="0"/>
        <w:jc w:val="left"/>
        <w:rPr/>
      </w:pPr>
      <w:r>
        <w:rPr/>
        <w:t> </w:t>
      </w:r>
    </w:p>
    <w:tbl>
      <w:tblPr>
        <w:tblW w:w="7812" w:type="dxa"/>
        <w:jc w:val="left"/>
        <w:tblInd w:w="0" w:type="dxa"/>
        <w:tblLayout w:type="fixed"/>
        <w:tblCellMar>
          <w:top w:w="28" w:type="dxa"/>
          <w:left w:w="28" w:type="dxa"/>
          <w:bottom w:w="28" w:type="dxa"/>
          <w:right w:w="28" w:type="dxa"/>
        </w:tblCellMar>
      </w:tblPr>
      <w:tblGrid>
        <w:gridCol w:w="161"/>
        <w:gridCol w:w="109"/>
        <w:gridCol w:w="146"/>
        <w:gridCol w:w="73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our ability to compete effectively with existing competitors and new market entrants; and</w:t>
            </w:r>
          </w:p>
        </w:tc>
      </w:tr>
    </w:tbl>
    <w:p>
      <w:pPr>
        <w:pStyle w:val="TextBody"/>
        <w:bidi w:val="0"/>
        <w:jc w:val="left"/>
        <w:rPr/>
      </w:pPr>
      <w:r>
        <w:rPr/>
        <w:t> </w:t>
      </w:r>
    </w:p>
    <w:tbl>
      <w:tblPr>
        <w:tblW w:w="4842" w:type="dxa"/>
        <w:jc w:val="left"/>
        <w:tblInd w:w="0" w:type="dxa"/>
        <w:tblLayout w:type="fixed"/>
        <w:tblCellMar>
          <w:top w:w="28" w:type="dxa"/>
          <w:left w:w="28" w:type="dxa"/>
          <w:bottom w:w="28" w:type="dxa"/>
          <w:right w:w="28" w:type="dxa"/>
        </w:tblCellMar>
      </w:tblPr>
      <w:tblGrid>
        <w:gridCol w:w="161"/>
        <w:gridCol w:w="109"/>
        <w:gridCol w:w="146"/>
        <w:gridCol w:w="442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growth rates of the markets in which we compete.</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4" w:name="i_item1"/>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fin120843_2"/>
      <w:bookmarkEnd w:id="5"/>
      <w:r>
        <w:rPr>
          <w:rFonts w:ascii="Times New Roman" w:hAnsi="Times New Roman"/>
          <w:b w:val="false"/>
          <w:color w:val="000000"/>
          <w:sz w:val="20"/>
        </w:rPr>
        <w:t xml:space="preserve">Condensed Consolidated </w:t>
      </w:r>
      <w:bookmarkStart w:id="6" w:name="balance_sheet"/>
      <w:bookmarkEnd w:id="6"/>
      <w:r>
        <w:rPr>
          <w:rFonts w:ascii="Times New Roman" w:hAnsi="Times New Roman"/>
          <w:b w:val="false"/>
          <w:color w:val="000000"/>
          <w:sz w:val="20"/>
        </w:rPr>
        <w:t>Balance Sheets (Unaudited)</w:t>
      </w:r>
    </w:p>
    <w:p>
      <w:pPr>
        <w:pStyle w:val="TextBody"/>
        <w:bidi w:val="0"/>
        <w:jc w:val="center"/>
        <w:rPr>
          <w:rFonts w:ascii="Times New Roman" w:hAnsi="Times New Roman"/>
          <w:sz w:val="20"/>
        </w:rPr>
      </w:pPr>
      <w:r>
        <w:rPr>
          <w:rFonts w:ascii="Times New Roman" w:hAnsi="Times New Roman"/>
          <w:b w:val="false"/>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20"/>
        <w:gridCol w:w="146"/>
        <w:gridCol w:w="212"/>
        <w:gridCol w:w="814"/>
        <w:gridCol w:w="166"/>
        <w:gridCol w:w="146"/>
        <w:gridCol w:w="208"/>
        <w:gridCol w:w="800"/>
        <w:gridCol w:w="593"/>
      </w:tblGrid>
      <w:tr>
        <w:trPr/>
        <w:tc>
          <w:tcPr>
            <w:tcW w:w="7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46" w:type="dxa"/>
            <w:gridSpan w:val="6"/>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712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10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8"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12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vAlign w:val="center"/>
          </w:tcPr>
          <w:p>
            <w:pPr>
              <w:pStyle w:val="TableContents"/>
              <w:bidi w:val="0"/>
              <w:spacing w:before="0" w:after="283"/>
              <w:jc w:val="left"/>
              <w:rPr/>
            </w:pPr>
            <w:r>
              <w:rPr/>
              <w:t> </w:t>
            </w:r>
          </w:p>
        </w:tc>
        <w:tc>
          <w:tcPr>
            <w:tcW w:w="10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8"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44,373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65,662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Marketable securities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253,770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Accounts receivable, less allowance for credit losses of $2.1</w:t>
            </w:r>
            <w:r>
              <w:rPr>
                <w:rFonts w:ascii="Times New Roman" w:hAnsi="Times New Roman"/>
                <w:color w:val="000000"/>
                <w:sz w:val="20"/>
              </w:rPr>
              <w:t> </w:t>
            </w:r>
            <w:r>
              <w:rPr>
                <w:rFonts w:ascii="Times New Roman" w:hAnsi="Times New Roman"/>
                <w:b w:val="false"/>
                <w:color w:val="000000"/>
                <w:sz w:val="16"/>
              </w:rPr>
              <w:t>million and $2.0</w:t>
            </w:r>
            <w:r>
              <w:rPr>
                <w:rFonts w:ascii="Times New Roman" w:hAnsi="Times New Roman"/>
                <w:color w:val="000000"/>
                <w:sz w:val="20"/>
              </w:rPr>
              <w:t> </w:t>
            </w:r>
            <w:r>
              <w:rPr>
                <w:rFonts w:ascii="Times New Roman" w:hAnsi="Times New Roman"/>
                <w:b w:val="false"/>
                <w:color w:val="000000"/>
                <w:sz w:val="16"/>
              </w:rPr>
              <w:t>million as of September 30, 2023 and December 31, 2022</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63,974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49,188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Inventory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1,571</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Prepaid expenses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7,591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current assets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12,273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2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357,263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390,055</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25,689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19,079</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25,923</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Investment in unconsolidated joint venture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4,068</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Intangible assets, net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36,678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39,351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Goodwill</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262,898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258,036</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assets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20"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736,925</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0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8"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712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FFFFFF" w:val="clear"/>
            <w:vAlign w:val="center"/>
          </w:tcPr>
          <w:p>
            <w:pPr>
              <w:pStyle w:val="TableContents"/>
              <w:bidi w:val="0"/>
              <w:spacing w:before="0" w:after="283"/>
              <w:jc w:val="left"/>
              <w:rPr/>
            </w:pPr>
            <w:r>
              <w:rPr/>
              <w:t> </w:t>
            </w:r>
          </w:p>
        </w:tc>
        <w:tc>
          <w:tcPr>
            <w:tcW w:w="10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8"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12,437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Accrued expenses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35,113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33,430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Contract liabilities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8,509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Income taxes payable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3,956</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Operating lease liabilities, current portion</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5,471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20"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67,790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63,803</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Convertible notes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281,305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279,909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16,940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Deferred income taxes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429</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liabilities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2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363,632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362,092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6"/>
              </w:rPr>
              <w:t>Commitments and contingencies</w:t>
            </w:r>
            <w:r>
              <w:rPr>
                <w:rFonts w:ascii="Times New Roman" w:hAnsi="Times New Roman"/>
                <w:color w:val="000000"/>
                <w:sz w:val="20"/>
              </w:rPr>
              <w:t> </w:t>
            </w:r>
            <w:r>
              <w:rPr>
                <w:rFonts w:ascii="Times New Roman" w:hAnsi="Times New Roman"/>
                <w:b/>
                <w:color w:val="000000"/>
                <w:sz w:val="16"/>
              </w:rPr>
              <w:t>(Note 13)</w:t>
            </w:r>
          </w:p>
        </w:tc>
        <w:tc>
          <w:tcPr>
            <w:tcW w:w="146" w:type="dxa"/>
            <w:tcBorders/>
            <w:shd w:fill="FFFFFF" w:val="clear"/>
            <w:vAlign w:val="center"/>
          </w:tcPr>
          <w:p>
            <w:pPr>
              <w:pStyle w:val="TableContents"/>
              <w:bidi w:val="0"/>
              <w:spacing w:before="0" w:after="283"/>
              <w:jc w:val="left"/>
              <w:rPr/>
            </w:pPr>
            <w:r>
              <w:rPr/>
              <w:t> </w:t>
            </w:r>
          </w:p>
        </w:tc>
        <w:tc>
          <w:tcPr>
            <w:tcW w:w="10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8"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12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CFF0FC" w:val="clear"/>
            <w:vAlign w:val="center"/>
          </w:tcPr>
          <w:p>
            <w:pPr>
              <w:pStyle w:val="TableContents"/>
              <w:bidi w:val="0"/>
              <w:spacing w:before="0" w:after="283"/>
              <w:jc w:val="left"/>
              <w:rPr/>
            </w:pPr>
            <w:r>
              <w:rPr/>
              <w:t> </w:t>
            </w:r>
          </w:p>
        </w:tc>
        <w:tc>
          <w:tcPr>
            <w:tcW w:w="10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8"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Preferred stock, $0.000001</w:t>
            </w:r>
            <w:r>
              <w:rPr>
                <w:rFonts w:ascii="Times New Roman" w:hAnsi="Times New Roman"/>
                <w:color w:val="000000"/>
                <w:sz w:val="20"/>
              </w:rPr>
              <w:t> </w:t>
            </w:r>
            <w:r>
              <w:rPr>
                <w:rFonts w:ascii="Times New Roman" w:hAnsi="Times New Roman"/>
                <w:b w:val="false"/>
                <w:color w:val="000000"/>
                <w:sz w:val="16"/>
              </w:rPr>
              <w:t>par value. Authorized; 50,000,000</w:t>
            </w:r>
            <w:r>
              <w:rPr>
                <w:rFonts w:ascii="Times New Roman" w:hAnsi="Times New Roman"/>
                <w:color w:val="000000"/>
                <w:sz w:val="20"/>
              </w:rPr>
              <w:t> </w:t>
            </w:r>
            <w:r>
              <w:rPr>
                <w:rFonts w:ascii="Times New Roman" w:hAnsi="Times New Roman"/>
                <w:b w:val="false"/>
                <w:color w:val="000000"/>
                <w:sz w:val="16"/>
              </w:rPr>
              <w:t>shares; zero</w:t>
            </w:r>
            <w:r>
              <w:rPr>
                <w:rFonts w:ascii="Times New Roman" w:hAnsi="Times New Roman"/>
                <w:color w:val="000000"/>
                <w:sz w:val="20"/>
              </w:rPr>
              <w:t> </w:t>
            </w:r>
            <w:r>
              <w:rPr>
                <w:rFonts w:ascii="Times New Roman" w:hAnsi="Times New Roman"/>
                <w:b w:val="false"/>
                <w:color w:val="000000"/>
                <w:sz w:val="16"/>
              </w:rPr>
              <w:t>shares issued and outstanding as of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Class A Common stock, $0.000001</w:t>
            </w:r>
            <w:r>
              <w:rPr>
                <w:rFonts w:ascii="Times New Roman" w:hAnsi="Times New Roman"/>
                <w:color w:val="000000"/>
                <w:sz w:val="20"/>
              </w:rPr>
              <w:t> </w:t>
            </w:r>
            <w:r>
              <w:rPr>
                <w:rFonts w:ascii="Times New Roman" w:hAnsi="Times New Roman"/>
                <w:b w:val="false"/>
                <w:color w:val="000000"/>
                <w:sz w:val="16"/>
              </w:rPr>
              <w:t>par value. Authorized; 750,000,000</w:t>
            </w:r>
            <w:r>
              <w:rPr>
                <w:rFonts w:ascii="Times New Roman" w:hAnsi="Times New Roman"/>
                <w:color w:val="000000"/>
                <w:sz w:val="20"/>
              </w:rPr>
              <w:t> </w:t>
            </w:r>
            <w:r>
              <w:rPr>
                <w:rFonts w:ascii="Times New Roman" w:hAnsi="Times New Roman"/>
                <w:b w:val="false"/>
                <w:color w:val="000000"/>
                <w:sz w:val="16"/>
              </w:rPr>
              <w:t>shares; 45,346,289</w:t>
            </w:r>
            <w:r>
              <w:rPr>
                <w:rFonts w:ascii="Times New Roman" w:hAnsi="Times New Roman"/>
                <w:color w:val="000000"/>
                <w:sz w:val="20"/>
              </w:rPr>
              <w:t> </w:t>
            </w:r>
            <w:r>
              <w:rPr>
                <w:rFonts w:ascii="Times New Roman" w:hAnsi="Times New Roman"/>
                <w:b w:val="false"/>
                <w:color w:val="000000"/>
                <w:sz w:val="16"/>
              </w:rPr>
              <w:t>shares and 44,822,264</w:t>
            </w:r>
            <w:r>
              <w:rPr>
                <w:rFonts w:ascii="Times New Roman" w:hAnsi="Times New Roman"/>
                <w:color w:val="000000"/>
                <w:sz w:val="20"/>
              </w:rPr>
              <w:t> </w:t>
            </w:r>
            <w:r>
              <w:rPr>
                <w:rFonts w:ascii="Times New Roman" w:hAnsi="Times New Roman"/>
                <w:b w:val="false"/>
                <w:color w:val="000000"/>
                <w:sz w:val="16"/>
              </w:rPr>
              <w:t>shares issued and outstanding as of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color w:val="000000"/>
              </w:rPr>
            </w:pPr>
            <w:r>
              <w:rPr>
                <w:color w:val="000000"/>
              </w:rPr>
              <w:t>—</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Class B Common stock, $0.000001</w:t>
            </w:r>
            <w:r>
              <w:rPr>
                <w:rFonts w:ascii="Times New Roman" w:hAnsi="Times New Roman"/>
                <w:color w:val="000000"/>
                <w:sz w:val="20"/>
              </w:rPr>
              <w:t> </w:t>
            </w:r>
            <w:r>
              <w:rPr>
                <w:rFonts w:ascii="Times New Roman" w:hAnsi="Times New Roman"/>
                <w:b w:val="false"/>
                <w:color w:val="000000"/>
                <w:sz w:val="16"/>
              </w:rPr>
              <w:t>par value. Authorized; 5,000,000</w:t>
            </w:r>
            <w:r>
              <w:rPr>
                <w:rFonts w:ascii="Times New Roman" w:hAnsi="Times New Roman"/>
                <w:color w:val="000000"/>
                <w:sz w:val="20"/>
              </w:rPr>
              <w:t> </w:t>
            </w:r>
            <w:r>
              <w:rPr>
                <w:rFonts w:ascii="Times New Roman" w:hAnsi="Times New Roman"/>
                <w:b w:val="false"/>
                <w:color w:val="000000"/>
                <w:sz w:val="16"/>
              </w:rPr>
              <w:t>shares; 2,676,154</w:t>
            </w:r>
            <w:r>
              <w:rPr>
                <w:rFonts w:ascii="Times New Roman" w:hAnsi="Times New Roman"/>
                <w:color w:val="000000"/>
                <w:sz w:val="20"/>
              </w:rPr>
              <w:t> </w:t>
            </w:r>
            <w:r>
              <w:rPr>
                <w:rFonts w:ascii="Times New Roman" w:hAnsi="Times New Roman"/>
                <w:b w:val="false"/>
                <w:color w:val="000000"/>
                <w:sz w:val="16"/>
              </w:rPr>
              <w:t>shares issued and outstanding as of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color w:val="000000"/>
              </w:rPr>
            </w:pPr>
            <w:r>
              <w:rPr>
                <w:color w:val="000000"/>
              </w:rPr>
              <w:t>—</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Additional paid-in capital</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641,607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623,081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1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Accumulated other comprehensive income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1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Accumulated deficit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(306,287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(249,366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7120"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335,762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373,743</w:t>
            </w:r>
          </w:p>
        </w:tc>
        <w:tc>
          <w:tcPr>
            <w:tcW w:w="593" w:type="dxa"/>
            <w:tcBorders/>
            <w:shd w:fill="FFFFFF" w:val="clear"/>
            <w:vAlign w:val="center"/>
          </w:tcPr>
          <w:p>
            <w:pPr>
              <w:pStyle w:val="TableContents"/>
              <w:bidi w:val="0"/>
              <w:spacing w:before="0" w:after="283"/>
              <w:ind w:left="0" w:right="0" w:firstLine="400"/>
              <w:jc w:val="left"/>
              <w:rPr/>
            </w:pPr>
            <w:r>
              <w:rPr/>
              <w:t> </w:t>
            </w:r>
          </w:p>
        </w:tc>
      </w:tr>
      <w:tr>
        <w:trPr/>
        <w:tc>
          <w:tcPr>
            <w:tcW w:w="7120"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Noncontrolling interest</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20"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equity</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336,897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374,833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0"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700,529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736,925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fin120843_3"/>
      <w:bookmarkEnd w:id="7"/>
      <w:r>
        <w:rPr>
          <w:rFonts w:ascii="Times New Roman" w:hAnsi="Times New Roman"/>
          <w:b w:val="false"/>
          <w:color w:val="000000"/>
          <w:sz w:val="20"/>
        </w:rPr>
        <w:t>Condensed Consolidated St</w:t>
      </w:r>
      <w:bookmarkStart w:id="8" w:name="statement_of_operations"/>
      <w:bookmarkEnd w:id="8"/>
      <w:r>
        <w:rPr>
          <w:rFonts w:ascii="Times New Roman" w:hAnsi="Times New Roman"/>
          <w:b w:val="false"/>
          <w:color w:val="000000"/>
          <w:sz w:val="20"/>
        </w:rPr>
        <w: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sz w:val="20"/>
        </w:rPr>
      </w:pPr>
      <w:r>
        <w:rPr>
          <w:rFonts w:ascii="Times New Roman" w:hAnsi="Times New Roman"/>
          <w:b w:val="false"/>
          <w:color w:val="000000"/>
          <w:sz w:val="20"/>
        </w:rPr>
        <w:t>(In thousands, except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918"/>
        <w:gridCol w:w="146"/>
        <w:gridCol w:w="196"/>
        <w:gridCol w:w="916"/>
        <w:gridCol w:w="166"/>
        <w:gridCol w:w="146"/>
        <w:gridCol w:w="196"/>
        <w:gridCol w:w="916"/>
        <w:gridCol w:w="166"/>
        <w:gridCol w:w="146"/>
        <w:gridCol w:w="196"/>
        <w:gridCol w:w="916"/>
        <w:gridCol w:w="166"/>
        <w:gridCol w:w="146"/>
        <w:gridCol w:w="196"/>
        <w:gridCol w:w="916"/>
        <w:gridCol w:w="166"/>
        <w:gridCol w:w="591"/>
      </w:tblGrid>
      <w:tr>
        <w:trPr/>
        <w:tc>
          <w:tcPr>
            <w:tcW w:w="3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r>
      <w:tr>
        <w:trPr/>
        <w:tc>
          <w:tcPr>
            <w:tcW w:w="39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6"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118,927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103,571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335,261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282,857</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Cost of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206,087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171,321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918"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Gross profit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Sales and marketing</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23,210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21,416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68,315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58,846</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Operations and support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39,450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36,158</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Product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25,570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22,698</w:t>
            </w:r>
          </w:p>
        </w:tc>
        <w:tc>
          <w:tcPr>
            <w:tcW w:w="1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General and administrative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56,479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43,143</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Impairment of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190,211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918"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Loss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(13,197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(15,199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(61,037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(49,753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income (expenses)</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(3,596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Interest and dividend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1,914</w:t>
            </w:r>
          </w:p>
        </w:tc>
        <w:tc>
          <w:tcPr>
            <w:tcW w:w="1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Income from unconsolidated joint venture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other income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918"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Loss before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(11,871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(56,704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(52,144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CFF0FC"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(Provision) benefit for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918"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(56,912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(51,585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CFF0FC"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income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918"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CFF0FC"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 per share, basic and diluted, of Class A and Class B common stock</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Weighted-average number of shares outstanding used to compute </w:t>
              <w:br/>
              <w:t>   net loss per share, basic and diluted, of Class A and Class B common stock</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47,989,277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47,303,090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47,852,671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47,057,521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Comprehensive loss:</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91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9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Total other comprehensive income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CFF0FC"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Comprehensive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(11,919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(15,600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(56,462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(52,158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FFFFFF" w:val="clear"/>
            <w:vAlign w:val="center"/>
          </w:tcPr>
          <w:p>
            <w:pPr>
              <w:pStyle w:val="TableContents"/>
              <w:bidi w:val="0"/>
              <w:spacing w:before="0" w:after="283"/>
              <w:jc w:val="left"/>
              <w:rPr/>
            </w:pPr>
            <w:r>
              <w:rPr/>
              <w:t> </w:t>
            </w:r>
          </w:p>
        </w:tc>
      </w:tr>
      <w:tr>
        <w:trPr/>
        <w:tc>
          <w:tcPr>
            <w:tcW w:w="391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Comprehensive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(52,243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9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bookmarkStart w:id="9" w:name="statements_of_equity"/>
      <w:bookmarkEnd w:id="9"/>
      <w:r>
        <w:rPr>
          <w:rFonts w:ascii="Times New Roman" w:hAnsi="Times New Roman"/>
          <w:b/>
          <w:color w:val="000000"/>
          <w:sz w:val="20"/>
        </w:rPr>
        <w:t>XOMETRY, INC. AND SUBSIDIARIES</w:t>
      </w:r>
    </w:p>
    <w:p>
      <w:pPr>
        <w:pStyle w:val="TextBody"/>
        <w:bidi w:val="0"/>
        <w:jc w:val="center"/>
        <w:rPr>
          <w:rFonts w:ascii="Times New Roman" w:hAnsi="Times New Roman"/>
          <w:sz w:val="20"/>
        </w:rPr>
      </w:pPr>
      <w:r>
        <w:rPr>
          <w:rFonts w:ascii="Times New Roman" w:hAnsi="Times New Roman"/>
          <w:b w:val="false"/>
          <w:color w:val="000000"/>
          <w:sz w:val="20"/>
        </w:rPr>
        <w:t>Condensed Consolidated Statements of Changes in Stockholders’ Equity</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Three months ended September 30, 2023 and 2022</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 except share and per share data)</w:t>
      </w:r>
    </w:p>
    <w:tbl>
      <w:tblPr>
        <w:tblW w:w="12854" w:type="dxa"/>
        <w:jc w:val="left"/>
        <w:tblInd w:w="0" w:type="dxa"/>
        <w:tblLayout w:type="fixed"/>
        <w:tblCellMar>
          <w:top w:w="28" w:type="dxa"/>
          <w:left w:w="28" w:type="dxa"/>
          <w:bottom w:w="28" w:type="dxa"/>
          <w:right w:w="28" w:type="dxa"/>
        </w:tblCellMar>
      </w:tblPr>
      <w:tblGrid>
        <w:gridCol w:w="1201"/>
        <w:gridCol w:w="146"/>
        <w:gridCol w:w="916"/>
        <w:gridCol w:w="146"/>
        <w:gridCol w:w="146"/>
        <w:gridCol w:w="206"/>
        <w:gridCol w:w="365"/>
        <w:gridCol w:w="146"/>
        <w:gridCol w:w="146"/>
        <w:gridCol w:w="146"/>
        <w:gridCol w:w="826"/>
        <w:gridCol w:w="146"/>
        <w:gridCol w:w="146"/>
        <w:gridCol w:w="206"/>
        <w:gridCol w:w="365"/>
        <w:gridCol w:w="146"/>
        <w:gridCol w:w="146"/>
        <w:gridCol w:w="196"/>
        <w:gridCol w:w="691"/>
        <w:gridCol w:w="146"/>
        <w:gridCol w:w="146"/>
        <w:gridCol w:w="316"/>
        <w:gridCol w:w="705"/>
        <w:gridCol w:w="166"/>
        <w:gridCol w:w="146"/>
        <w:gridCol w:w="196"/>
        <w:gridCol w:w="751"/>
        <w:gridCol w:w="166"/>
        <w:gridCol w:w="146"/>
        <w:gridCol w:w="196"/>
        <w:gridCol w:w="691"/>
        <w:gridCol w:w="166"/>
        <w:gridCol w:w="283"/>
        <w:gridCol w:w="738"/>
        <w:gridCol w:w="166"/>
        <w:gridCol w:w="196"/>
        <w:gridCol w:w="691"/>
        <w:gridCol w:w="4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center"/>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June 30,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45,243,447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2,676,154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635,267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(294,264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341,362</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1,114</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342,476</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Exercise of common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284</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284</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Donated 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326</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 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5,730</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5,730</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Comprehensive income</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12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2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(12,023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comprehensive (loss)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September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45,346,289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2,676,154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641,607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(306,287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335,762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336,897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June 30, 2022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44,545,080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2,676,154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610,331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(209,906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400,510</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1,105</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401,615</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Exercise of common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847</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847</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Donated 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987</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987</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 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5,113</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5,113</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Comprehensive income</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12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2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 income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(15,037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comprehensive (loss)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(15,600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September 30, 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44,721,409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2,676,154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617,278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(224,943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391,843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392,962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 accompanying notes to the unaudited condensed consolidated financial statements.</w:t>
      </w:r>
    </w:p>
    <w:p>
      <w:pPr>
        <w:pStyle w:val="TextBody"/>
        <w:bidi w:val="0"/>
        <w:jc w:val="center"/>
        <w:rPr/>
      </w:pPr>
      <w:r>
        <w:rPr/>
        <w:t> </w:t>
      </w:r>
    </w:p>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XOMETRY, INC. AND SUBSIDIARIES</w:t>
      </w:r>
    </w:p>
    <w:p>
      <w:pPr>
        <w:pStyle w:val="TextBody"/>
        <w:bidi w:val="0"/>
        <w:jc w:val="center"/>
        <w:rPr>
          <w:rFonts w:ascii="Times New Roman" w:hAnsi="Times New Roman"/>
          <w:sz w:val="20"/>
        </w:rPr>
      </w:pPr>
      <w:r>
        <w:rPr>
          <w:rFonts w:ascii="Times New Roman" w:hAnsi="Times New Roman"/>
          <w:b w:val="false"/>
          <w:color w:val="000000"/>
          <w:sz w:val="20"/>
        </w:rPr>
        <w:t>Condensed Consolidated Statements of Changes in Stockholders’ Equity</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Nine months ended September 30, 2023 and 2022</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 except share and per share data)</w:t>
      </w:r>
    </w:p>
    <w:tbl>
      <w:tblPr>
        <w:tblW w:w="11812" w:type="dxa"/>
        <w:jc w:val="left"/>
        <w:tblInd w:w="0" w:type="dxa"/>
        <w:tblLayout w:type="fixed"/>
        <w:tblCellMar>
          <w:top w:w="28" w:type="dxa"/>
          <w:left w:w="28" w:type="dxa"/>
          <w:bottom w:w="28" w:type="dxa"/>
          <w:right w:w="28" w:type="dxa"/>
        </w:tblCellMar>
      </w:tblPr>
      <w:tblGrid>
        <w:gridCol w:w="1201"/>
        <w:gridCol w:w="146"/>
        <w:gridCol w:w="916"/>
        <w:gridCol w:w="146"/>
        <w:gridCol w:w="206"/>
        <w:gridCol w:w="365"/>
        <w:gridCol w:w="146"/>
        <w:gridCol w:w="146"/>
        <w:gridCol w:w="826"/>
        <w:gridCol w:w="146"/>
        <w:gridCol w:w="206"/>
        <w:gridCol w:w="365"/>
        <w:gridCol w:w="146"/>
        <w:gridCol w:w="196"/>
        <w:gridCol w:w="691"/>
        <w:gridCol w:w="146"/>
        <w:gridCol w:w="316"/>
        <w:gridCol w:w="705"/>
        <w:gridCol w:w="166"/>
        <w:gridCol w:w="196"/>
        <w:gridCol w:w="751"/>
        <w:gridCol w:w="166"/>
        <w:gridCol w:w="196"/>
        <w:gridCol w:w="691"/>
        <w:gridCol w:w="166"/>
        <w:gridCol w:w="283"/>
        <w:gridCol w:w="738"/>
        <w:gridCol w:w="146"/>
        <w:gridCol w:w="196"/>
        <w:gridCol w:w="691"/>
        <w:gridCol w:w="4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center"/>
              <w:rPr/>
            </w:pPr>
            <w:r>
              <w:rPr/>
              <w:t> </w:t>
            </w:r>
          </w:p>
        </w:tc>
        <w:tc>
          <w:tcPr>
            <w:tcW w:w="1779" w:type="dxa"/>
            <w:gridSpan w:val="5"/>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89" w:type="dxa"/>
            <w:gridSpan w:val="5"/>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779" w:type="dxa"/>
            <w:gridSpan w:val="5"/>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 Common Stock</w:t>
            </w:r>
          </w:p>
        </w:tc>
        <w:tc>
          <w:tcPr>
            <w:tcW w:w="146" w:type="dxa"/>
            <w:tcBorders/>
            <w:shd w:fill="FFFFFF" w:val="clear"/>
            <w:vAlign w:val="center"/>
          </w:tcPr>
          <w:p>
            <w:pPr>
              <w:pStyle w:val="TableContents"/>
              <w:bidi w:val="0"/>
              <w:spacing w:before="0" w:after="283"/>
              <w:jc w:val="center"/>
              <w:rPr/>
            </w:pPr>
            <w:r>
              <w:rPr/>
              <w:t> </w:t>
            </w:r>
          </w:p>
        </w:tc>
        <w:tc>
          <w:tcPr>
            <w:tcW w:w="1689" w:type="dxa"/>
            <w:gridSpan w:val="5"/>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 - 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 Paid-In</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 Other Comprehensive</w:t>
            </w:r>
          </w:p>
        </w:tc>
        <w:tc>
          <w:tcPr>
            <w:tcW w:w="16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Stockholders'</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shd w:fill="FFFFFF" w:val="clear"/>
            <w:vAlign w:val="center"/>
          </w:tcPr>
          <w:p>
            <w:pPr>
              <w:pStyle w:val="TableContents"/>
              <w:bidi w:val="0"/>
              <w:spacing w:before="0" w:after="283"/>
              <w:jc w:val="center"/>
              <w:rPr/>
            </w:pPr>
            <w:r>
              <w:rPr/>
              <w:t> </w:t>
            </w:r>
          </w:p>
        </w:tc>
      </w:tr>
      <w:tr>
        <w:trPr/>
        <w:tc>
          <w:tcPr>
            <w:tcW w:w="1201"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 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December 31, 2022</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44,822,264</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2,676,154</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623,081</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(249,366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373,743</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374,833</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Exercise of common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202,423</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1,428</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1,428</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1,428</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277,774</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Shared issued in business combination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3,562</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180</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Donated common stock</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40,266</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696</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696</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696</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 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16,222</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16,222</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16,222</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Comprehensive loss</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7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12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414</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12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(56,921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(56,912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(56,462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September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45,346,289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2,676,154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641,607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(306,287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335,762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336,897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December 31, 2021</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43,998,404</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2,676,154</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597,641</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(173,341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424,449</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1,034</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425,483</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Exercise of common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662,606</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3,317</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3,317</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3,317</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Donated 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60,399</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2,272</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2,272</w:t>
            </w:r>
          </w:p>
        </w:tc>
        <w:tc>
          <w:tcPr>
            <w:tcW w:w="16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2,272</w:t>
            </w:r>
          </w:p>
        </w:tc>
        <w:tc>
          <w:tcPr>
            <w:tcW w:w="411"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 based compensation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14,048</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14,048</w:t>
            </w:r>
          </w:p>
        </w:tc>
        <w:tc>
          <w:tcPr>
            <w:tcW w:w="16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14,048</w:t>
            </w:r>
          </w:p>
        </w:tc>
        <w:tc>
          <w:tcPr>
            <w:tcW w:w="411"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Comprehensive loss</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12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12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loss (income)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(51,602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(51,585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(52,158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September 30,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44,721,409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2,676,154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617,278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(224,943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391,843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392,962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See accompanying notes to the unaudited condensed consolidated financial statements.</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sz w:val="20"/>
        </w:rPr>
      </w:pPr>
      <w:bookmarkStart w:id="10" w:name="fin120843_4"/>
      <w:bookmarkEnd w:id="10"/>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1" w:name="fin120843_5"/>
      <w:bookmarkEnd w:id="11"/>
      <w:r>
        <w:rPr>
          <w:rFonts w:ascii="Times New Roman" w:hAnsi="Times New Roman"/>
          <w:b w:val="false"/>
          <w:color w:val="000000"/>
          <w:sz w:val="20"/>
        </w:rPr>
        <w:t xml:space="preserve">Condensed Consolidated Statements of </w:t>
      </w:r>
      <w:bookmarkStart w:id="12" w:name="cash_flows"/>
      <w:bookmarkEnd w:id="12"/>
      <w:r>
        <w:rPr>
          <w:rFonts w:ascii="Times New Roman" w:hAnsi="Times New Roman"/>
          <w:b w:val="false"/>
          <w:color w:val="000000"/>
          <w:sz w:val="20"/>
        </w:rPr>
        <w:t>Cash Flows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sz w:val="20"/>
        </w:rPr>
      </w:pPr>
      <w:r>
        <w:rPr>
          <w:rFonts w:ascii="Times New Roman" w:hAnsi="Times New Roman"/>
          <w:b w:val="false"/>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4731"/>
        <w:gridCol w:w="546"/>
        <w:gridCol w:w="181"/>
        <w:gridCol w:w="571"/>
        <w:gridCol w:w="151"/>
        <w:gridCol w:w="146"/>
        <w:gridCol w:w="181"/>
        <w:gridCol w:w="646"/>
        <w:gridCol w:w="151"/>
        <w:gridCol w:w="791"/>
      </w:tblGrid>
      <w:tr>
        <w:trPr/>
        <w:tc>
          <w:tcPr>
            <w:tcW w:w="47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31"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28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Nine Months Ended September 30,</w:t>
            </w:r>
          </w:p>
        </w:tc>
      </w:tr>
      <w:tr>
        <w:trPr/>
        <w:tc>
          <w:tcPr>
            <w:tcW w:w="4731"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operating activities:</w:t>
            </w:r>
          </w:p>
        </w:tc>
        <w:tc>
          <w:tcPr>
            <w:tcW w:w="546" w:type="dxa"/>
            <w:tcBorders/>
            <w:shd w:fill="CFF0FC" w:val="clear"/>
            <w:vAlign w:val="center"/>
          </w:tcPr>
          <w:p>
            <w:pPr>
              <w:pStyle w:val="TableContents"/>
              <w:bidi w:val="0"/>
              <w:spacing w:before="0" w:after="283"/>
              <w:jc w:val="left"/>
              <w:rPr/>
            </w:pPr>
            <w:r>
              <w:rPr/>
              <w:t> </w:t>
            </w:r>
          </w:p>
        </w:tc>
        <w:tc>
          <w:tcPr>
            <w:tcW w:w="1876" w:type="dxa"/>
            <w:gridSpan w:val="6"/>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Net loss</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(56,912</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(51,585</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Adjustments to reconcile net loss to net cash used in operating activities:</w:t>
            </w:r>
          </w:p>
        </w:tc>
        <w:tc>
          <w:tcPr>
            <w:tcW w:w="5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Depreciation and amortization</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7,939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5,716</w:t>
            </w:r>
          </w:p>
        </w:tc>
        <w:tc>
          <w:tcPr>
            <w:tcW w:w="15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Impairment of assets</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444</w:t>
            </w:r>
          </w:p>
        </w:tc>
        <w:tc>
          <w:tcPr>
            <w:tcW w:w="151" w:type="dxa"/>
            <w:tcBorders/>
            <w:shd w:fill="CFF0FC"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Reduction in carrying amount of right-of-use asset</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13,257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5,351</w:t>
            </w:r>
          </w:p>
        </w:tc>
        <w:tc>
          <w:tcPr>
            <w:tcW w:w="15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Stock based compensation</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16,222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14,048</w:t>
            </w:r>
          </w:p>
        </w:tc>
        <w:tc>
          <w:tcPr>
            <w:tcW w:w="151" w:type="dxa"/>
            <w:tcBorders/>
            <w:shd w:fill="CFF0FC"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Revaluation of contingent consideration</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434</w:t>
            </w:r>
          </w:p>
        </w:tc>
        <w:tc>
          <w:tcPr>
            <w:tcW w:w="15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Income from unconsolidated joint venture</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(137</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(100</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Donation of common stock</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696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2,272</w:t>
            </w:r>
          </w:p>
        </w:tc>
        <w:tc>
          <w:tcPr>
            <w:tcW w:w="15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Losses on marketable securities</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1,659</w:t>
            </w:r>
          </w:p>
        </w:tc>
        <w:tc>
          <w:tcPr>
            <w:tcW w:w="151" w:type="dxa"/>
            <w:tcBorders/>
            <w:shd w:fill="CFF0FC"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Non-cash income tax benefit</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(559</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Loss on sale of property and equipment</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92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71</w:t>
            </w:r>
          </w:p>
        </w:tc>
        <w:tc>
          <w:tcPr>
            <w:tcW w:w="151" w:type="dxa"/>
            <w:tcBorders/>
            <w:shd w:fill="CFF0FC"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Inventory write-off</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223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Amortization of deferred costs on convertible notes</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1,396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1,250</w:t>
            </w:r>
          </w:p>
        </w:tc>
        <w:tc>
          <w:tcPr>
            <w:tcW w:w="151" w:type="dxa"/>
            <w:tcBorders/>
            <w:shd w:fill="CFF0FC"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Deferred taxes benefit</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(66</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Changes in other assets and liabilities:</w:t>
            </w:r>
          </w:p>
        </w:tc>
        <w:tc>
          <w:tcPr>
            <w:tcW w:w="5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600"/>
              <w:jc w:val="right"/>
              <w:rPr/>
            </w:pPr>
            <w:r>
              <w:rPr/>
              <w:t> </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5"/>
              </w:rPr>
            </w:pPr>
            <w:r>
              <w:rPr>
                <w:rFonts w:ascii="Times New Roman" w:hAnsi="Times New Roman"/>
                <w:b w:val="false"/>
                <w:color w:val="000000"/>
                <w:sz w:val="15"/>
              </w:rPr>
              <w:t>Accounts receivable, net</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(14,873</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(19,032</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600"/>
              <w:jc w:val="right"/>
              <w:rPr/>
            </w:pPr>
            <w:r>
              <w:rPr/>
              <w:t> </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5"/>
              </w:rPr>
            </w:pPr>
            <w:r>
              <w:rPr>
                <w:rFonts w:ascii="Times New Roman" w:hAnsi="Times New Roman"/>
                <w:b w:val="false"/>
                <w:color w:val="000000"/>
                <w:sz w:val="15"/>
              </w:rPr>
              <w:t>Inventory</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(17</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(3,680</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600"/>
              <w:jc w:val="right"/>
              <w:rPr/>
            </w:pPr>
            <w:r>
              <w:rPr/>
              <w:t> </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5"/>
              </w:rPr>
            </w:pPr>
            <w:r>
              <w:rPr>
                <w:rFonts w:ascii="Times New Roman" w:hAnsi="Times New Roman"/>
                <w:b w:val="false"/>
                <w:color w:val="000000"/>
                <w:sz w:val="15"/>
              </w:rPr>
              <w:t>Prepaid expenses</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2,335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(1,784</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600"/>
              <w:jc w:val="right"/>
              <w:rPr/>
            </w:pPr>
            <w:r>
              <w:rPr/>
              <w:t> </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5"/>
              </w:rPr>
            </w:pPr>
            <w:r>
              <w:rPr>
                <w:rFonts w:ascii="Times New Roman" w:hAnsi="Times New Roman"/>
                <w:b w:val="false"/>
                <w:color w:val="000000"/>
                <w:sz w:val="15"/>
              </w:rPr>
              <w:t>Other assets</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1,395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(3,922</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600"/>
              <w:jc w:val="right"/>
              <w:rPr/>
            </w:pPr>
            <w:r>
              <w:rPr/>
              <w:t> </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5"/>
              </w:rPr>
            </w:pPr>
            <w:r>
              <w:rPr>
                <w:rFonts w:ascii="Times New Roman" w:hAnsi="Times New Roman"/>
                <w:b w:val="false"/>
                <w:color w:val="000000"/>
                <w:sz w:val="15"/>
              </w:rPr>
              <w:t>Accounts payable</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(240</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600"/>
              <w:jc w:val="left"/>
              <w:rPr/>
            </w:pPr>
            <w:r>
              <w:rPr/>
              <w:t> </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5"/>
              </w:rPr>
            </w:pPr>
            <w:r>
              <w:rPr>
                <w:rFonts w:ascii="Times New Roman" w:hAnsi="Times New Roman"/>
                <w:b w:val="false"/>
                <w:color w:val="000000"/>
                <w:sz w:val="15"/>
              </w:rPr>
              <w:t>Accrued expenses</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5,591</w:t>
            </w:r>
          </w:p>
        </w:tc>
        <w:tc>
          <w:tcPr>
            <w:tcW w:w="151" w:type="dxa"/>
            <w:tcBorders/>
            <w:shd w:fill="CFF0FC"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600"/>
              <w:jc w:val="left"/>
              <w:rPr/>
            </w:pPr>
            <w:r>
              <w:rPr/>
              <w:t> </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5"/>
              </w:rPr>
            </w:pPr>
            <w:r>
              <w:rPr>
                <w:rFonts w:ascii="Times New Roman" w:hAnsi="Times New Roman"/>
                <w:b w:val="false"/>
                <w:color w:val="000000"/>
                <w:sz w:val="15"/>
              </w:rPr>
              <w:t>Contract liabilities</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1,178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2,777</w:t>
            </w:r>
          </w:p>
        </w:tc>
        <w:tc>
          <w:tcPr>
            <w:tcW w:w="15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600"/>
              <w:jc w:val="left"/>
              <w:rPr/>
            </w:pPr>
            <w:r>
              <w:rPr/>
              <w:t> </w:t>
            </w:r>
          </w:p>
        </w:tc>
      </w:tr>
      <w:tr>
        <w:trPr/>
        <w:tc>
          <w:tcPr>
            <w:tcW w:w="473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5"/>
              </w:rPr>
            </w:pPr>
            <w:r>
              <w:rPr>
                <w:rFonts w:ascii="Times New Roman" w:hAnsi="Times New Roman"/>
                <w:b w:val="false"/>
                <w:color w:val="000000"/>
                <w:sz w:val="15"/>
              </w:rPr>
              <w:t>Lease liabilities</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(3,845</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(4,219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600"/>
              <w:jc w:val="left"/>
              <w:rPr/>
            </w:pPr>
            <w:r>
              <w:rPr/>
              <w:t> </w:t>
            </w:r>
          </w:p>
        </w:tc>
      </w:tr>
      <w:tr>
        <w:trPr/>
        <w:tc>
          <w:tcPr>
            <w:tcW w:w="473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5"/>
              </w:rPr>
            </w:pPr>
            <w:r>
              <w:rPr>
                <w:rFonts w:ascii="Times New Roman" w:hAnsi="Times New Roman"/>
                <w:b w:val="false"/>
                <w:color w:val="000000"/>
                <w:sz w:val="15"/>
              </w:rPr>
              <w:t>Income taxes payable</w:t>
            </w:r>
          </w:p>
        </w:tc>
        <w:tc>
          <w:tcPr>
            <w:tcW w:w="5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4731"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Net cash used in operating activities</w:t>
            </w:r>
          </w:p>
        </w:tc>
        <w:tc>
          <w:tcPr>
            <w:tcW w:w="5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(28,583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(45,510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jc w:val="left"/>
              <w:rPr/>
            </w:pPr>
            <w:r>
              <w:rPr/>
              <w:t> </w:t>
            </w:r>
          </w:p>
        </w:tc>
      </w:tr>
      <w:tr>
        <w:trPr/>
        <w:tc>
          <w:tcPr>
            <w:tcW w:w="473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investing activities:</w:t>
            </w:r>
          </w:p>
        </w:tc>
        <w:tc>
          <w:tcPr>
            <w:tcW w:w="546" w:type="dxa"/>
            <w:tcBorders/>
            <w:shd w:fill="FFFFFF" w:val="clear"/>
            <w:vAlign w:val="center"/>
          </w:tcPr>
          <w:p>
            <w:pPr>
              <w:pStyle w:val="TableContents"/>
              <w:bidi w:val="0"/>
              <w:spacing w:before="0" w:after="283"/>
              <w:jc w:val="left"/>
              <w:rPr/>
            </w:pPr>
            <w:r>
              <w:rPr/>
              <w:t> </w:t>
            </w:r>
          </w:p>
        </w:tc>
        <w:tc>
          <w:tcPr>
            <w:tcW w:w="75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Purchases of marketable securities</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(8,630</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(281,897</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Proceeds from sale of marketable securities</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w:t>
            </w:r>
          </w:p>
        </w:tc>
        <w:tc>
          <w:tcPr>
            <w:tcW w:w="15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Purchases of property and equipment</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(12,063</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(9,608</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Proceeds from sale of property and equipment</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223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165</w:t>
            </w:r>
          </w:p>
        </w:tc>
        <w:tc>
          <w:tcPr>
            <w:tcW w:w="15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Cash paid for business combination, net of cash acquired</w:t>
            </w:r>
          </w:p>
        </w:tc>
        <w:tc>
          <w:tcPr>
            <w:tcW w:w="5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(3,349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Net cash provided by (used in) investing activities</w:t>
            </w:r>
          </w:p>
        </w:tc>
        <w:tc>
          <w:tcPr>
            <w:tcW w:w="5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6,181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(291,336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jc w:val="left"/>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financing activities:</w:t>
            </w:r>
          </w:p>
        </w:tc>
        <w:tc>
          <w:tcPr>
            <w:tcW w:w="5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Proceeds from stock options exercised</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3,317</w:t>
            </w:r>
          </w:p>
        </w:tc>
        <w:tc>
          <w:tcPr>
            <w:tcW w:w="15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Proceeds from issuance of convertible notes</w:t>
            </w:r>
          </w:p>
        </w:tc>
        <w:tc>
          <w:tcPr>
            <w:tcW w:w="5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287,500</w:t>
            </w:r>
          </w:p>
        </w:tc>
        <w:tc>
          <w:tcPr>
            <w:tcW w:w="151" w:type="dxa"/>
            <w:tcBorders/>
            <w:shd w:fill="CFF0FC"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Costs incurred in connection with issuance of convertible notes</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(9,309</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Payments on finance lease obligations</w:t>
            </w:r>
          </w:p>
        </w:tc>
        <w:tc>
          <w:tcPr>
            <w:tcW w:w="5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3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5"/>
              </w:rPr>
            </w:pPr>
            <w:r>
              <w:rPr>
                <w:rFonts w:ascii="Times New Roman" w:hAnsi="Times New Roman"/>
                <w:b/>
                <w:color w:val="000000"/>
                <w:sz w:val="15"/>
              </w:rPr>
              <w:t>Net cash provided by financing activities</w:t>
            </w:r>
          </w:p>
        </w:tc>
        <w:tc>
          <w:tcPr>
            <w:tcW w:w="5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281,506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Effect of foreign currency translation on cash and cash equivalents</w:t>
            </w:r>
          </w:p>
        </w:tc>
        <w:tc>
          <w:tcPr>
            <w:tcW w:w="5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731" w:type="dxa"/>
            <w:tcBorders/>
            <w:shd w:fill="FFFFFF" w:val="clear"/>
            <w:vAlign w:val="center"/>
          </w:tcPr>
          <w:p>
            <w:pPr>
              <w:pStyle w:val="TableContents"/>
              <w:bidi w:val="0"/>
              <w:spacing w:before="0" w:after="283"/>
              <w:ind w:left="0" w:right="0" w:firstLine="400"/>
              <w:jc w:val="left"/>
              <w:rPr>
                <w:rFonts w:ascii="Times New Roman" w:hAnsi="Times New Roman"/>
                <w:b/>
                <w:color w:val="000000"/>
                <w:sz w:val="15"/>
              </w:rPr>
            </w:pPr>
            <w:r>
              <w:rPr>
                <w:rFonts w:ascii="Times New Roman" w:hAnsi="Times New Roman"/>
                <w:b/>
                <w:color w:val="000000"/>
                <w:sz w:val="15"/>
              </w:rPr>
              <w:t>Net decrease in cash and cash equivalents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(21,289</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(55,765</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791" w:type="dxa"/>
            <w:tcBorders/>
            <w:shd w:fill="FFFFFF" w:val="clear"/>
            <w:vAlign w:val="center"/>
          </w:tcPr>
          <w:p>
            <w:pPr>
              <w:pStyle w:val="TableContents"/>
              <w:bidi w:val="0"/>
              <w:spacing w:before="0" w:after="283"/>
              <w:jc w:val="right"/>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and cash equivalents at beginning of the year</w:t>
            </w:r>
          </w:p>
        </w:tc>
        <w:tc>
          <w:tcPr>
            <w:tcW w:w="5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65,662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86,262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473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and cash equivalents at end of the period</w:t>
            </w:r>
          </w:p>
        </w:tc>
        <w:tc>
          <w:tcPr>
            <w:tcW w:w="5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44,373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30,497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cash flow information:</w:t>
            </w:r>
          </w:p>
        </w:tc>
        <w:tc>
          <w:tcPr>
            <w:tcW w:w="5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473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Cash paid for interest</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2,875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1,414</w:t>
            </w:r>
          </w:p>
        </w:tc>
        <w:tc>
          <w:tcPr>
            <w:tcW w:w="15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473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Non-cash investing and financing activities:</w:t>
            </w:r>
          </w:p>
        </w:tc>
        <w:tc>
          <w:tcPr>
            <w:tcW w:w="546" w:type="dxa"/>
            <w:tcBorders/>
            <w:shd w:fill="CFF0FC" w:val="clear"/>
            <w:vAlign w:val="center"/>
          </w:tcPr>
          <w:p>
            <w:pPr>
              <w:pStyle w:val="TableContents"/>
              <w:bidi w:val="0"/>
              <w:spacing w:before="0" w:after="283"/>
              <w:jc w:val="left"/>
              <w:rPr/>
            </w:pPr>
            <w:r>
              <w:rPr/>
              <w:t> </w:t>
            </w:r>
          </w:p>
        </w:tc>
        <w:tc>
          <w:tcPr>
            <w:tcW w:w="75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473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Non-cash consideration in connection with business combination</w:t>
            </w:r>
          </w:p>
        </w:tc>
        <w:tc>
          <w:tcPr>
            <w:tcW w:w="5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1,593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See accompanying notes to the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sz w:val="20"/>
        </w:rPr>
      </w:pPr>
      <w:bookmarkStart w:id="13" w:name="notes_to_financial_statements"/>
      <w:bookmarkEnd w:id="13"/>
      <w:r>
        <w:rPr>
          <w:rFonts w:ascii="Times New Roman" w:hAnsi="Times New Roman"/>
          <w:b/>
          <w:color w:val="000000"/>
          <w:sz w:val="20"/>
        </w:rPr>
        <w:t>XOMETRY, INC. AND SUBSIDIARIES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bookmarkStart w:id="14" w:name="fin120843_6"/>
      <w:bookmarkEnd w:id="14"/>
      <w:r>
        <w:rPr>
          <w:rFonts w:ascii="Times New Roman" w:hAnsi="Times New Roman"/>
          <w:b w:val="false"/>
          <w:color w:val="000000"/>
          <w:sz w:val="20"/>
        </w:rPr>
        <w:t>Notes to Unaudited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spacing w:before="12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Organization and Description of Business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Xometry, Inc. (“Xometry”, the “Company”, “we”, or “our”) was incorporated in the State of Delaware in May 2013. Xometry is a global online marketplace connecting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North Bethesda, Maryland.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Our AI-enabled technology platform is powered by proprietary machine learning algorithms and dataset, resulting in a sophisticated two-sided marketplace that is rapidly digitizing the manufacturing industry. As a result, buyers can procure the products they want on demand, and suppliers can source new manufacturing opportunities that match their specific capabilities and capacity. Interactions on our marketplace provide rich data insights that allow us to continuously improve our AI models and create new products and services, fueling powerful network effects as we scale.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We empower suppliers to grow their manufacturing businesses and improve machine uptime by providing access to an extensive, diverse base of buyers. We also offer suppliers supporting products and services to meet their unique needs. We offer suppliers digital advertising and marketing services and data solutions. In addition, our suite of supplier services includes financial service products to stabilize and enhance cash flow and a cloud-based manufacturing execution system (“Workcenter”) to help suppliers optimize their productivity.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2021, we acquired Thomas Publishing Company (“Thomas”) and Fusiform, Inc. (d/b/a FactoryFour) (“FactoryFour”), expanding our basket of supplier services to include advertising and marketing services and Workcenter to help suppliers optimize their productivity.</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Basis of Presentation and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March 16, 2023.</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condensed consolidated balance sheet as of December 31, 2022,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and cash flows for the interim periods, but are not necessarily indicative of the results of operations to be anticipated for the full year 2023 or any future period. The Company has two</w:t>
      </w:r>
      <w:r>
        <w:rPr>
          <w:rFonts w:ascii="Times New Roman" w:hAnsi="Times New Roman"/>
          <w:color w:val="000000"/>
          <w:sz w:val="20"/>
        </w:rPr>
        <w:t xml:space="preserve"> </w:t>
      </w:r>
      <w:r>
        <w:rPr>
          <w:rFonts w:ascii="Times New Roman" w:hAnsi="Times New Roman"/>
          <w:b w:val="false"/>
          <w:color w:val="000000"/>
          <w:sz w:val="20"/>
        </w:rPr>
        <w:t>reporting segments which are referred to as: (1) the United States (“U.S.”) and (2) International.</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val="false"/>
          <w:i/>
          <w:color w:val="000000"/>
          <w:sz w:val="20"/>
        </w:rPr>
        <w:t>Foreign Operations and 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U.S. dollar (“USD”) is the functional currency for Xometry’s consolidated subsidiary operating in the U.S. The primary functional currency for the Company's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Noncontrolling Interest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a 66.67% ownership in Incom Co., LTD. As we have a controlling interest in Incom Co., LTD, we have consolidated Incom Co., LTD into our unaudited condensed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Condensed Consolidated Balance Sheets. We include net (loss) income attributable to the noncontrolling interests in net loss in our Condensed Consolidated Statements of Operations and Comprehensive Loss.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Use of Estimates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Combinations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w:t>
      </w:r>
    </w:p>
    <w:p>
      <w:pPr>
        <w:pStyle w:val="TextBody"/>
        <w:bidi w:val="0"/>
        <w:spacing w:before="120" w:after="283"/>
        <w:jc w:val="left"/>
        <w:rPr>
          <w:rFonts w:ascii="Times New Roman" w:hAnsi="Times New Roman"/>
          <w:sz w:val="20"/>
        </w:rPr>
      </w:pPr>
      <w:r>
        <w:rPr>
          <w:rFonts w:ascii="Times New Roman" w:hAnsi="Times New Roman"/>
          <w:b/>
          <w:i/>
          <w:color w:val="000000"/>
          <w:sz w:val="20"/>
        </w:rPr>
        <w:t>Fair Value Measurements and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Level 1 - Observable inputs that reflect quoted prices (unadjusted) for identical assets or liabilities in active markets.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Level 3 - Unobservable inputs reflecting the Company’s own assumptions incorporated in valuation techniques used to determine fair value. These assumptions are required to be consistent with market participant assumptions that are reasonably available.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Marketable Securities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measures its marketable securities at fair value and recognizes any changes in fair value in other expenses on the Condensed Consolidated Statements of Operations and Comprehensive Loss. The Company's marketable securities represent our investments in a short term money market fund. These marketable securities have maturities of three months or less. As of September 30, 2023</w:t>
      </w:r>
      <w:r>
        <w:rPr>
          <w:rFonts w:ascii="Times New Roman" w:hAnsi="Times New Roman"/>
          <w:color w:val="000000"/>
          <w:sz w:val="20"/>
        </w:rPr>
        <w:t xml:space="preserve"> </w:t>
      </w:r>
      <w:r>
        <w:rPr>
          <w:rFonts w:ascii="Times New Roman" w:hAnsi="Times New Roman"/>
          <w:b w:val="false"/>
          <w:color w:val="000000"/>
          <w:sz w:val="20"/>
        </w:rPr>
        <w:t>and December 31, 2022, the Company's marketable securities of $232.4</w:t>
      </w:r>
      <w:r>
        <w:rPr>
          <w:rFonts w:ascii="Times New Roman" w:hAnsi="Times New Roman"/>
          <w:color w:val="000000"/>
          <w:sz w:val="20"/>
        </w:rPr>
        <w:t xml:space="preserve"> </w:t>
      </w:r>
      <w:r>
        <w:rPr>
          <w:rFonts w:ascii="Times New Roman" w:hAnsi="Times New Roman"/>
          <w:b w:val="false"/>
          <w:color w:val="000000"/>
          <w:sz w:val="20"/>
        </w:rPr>
        <w:t>million and $253.8</w:t>
      </w:r>
      <w:r>
        <w:rPr>
          <w:rFonts w:ascii="Times New Roman" w:hAnsi="Times New Roman"/>
          <w:color w:val="000000"/>
          <w:sz w:val="20"/>
        </w:rPr>
        <w:t xml:space="preserve"> </w:t>
      </w:r>
      <w:r>
        <w:rPr>
          <w:rFonts w:ascii="Times New Roman" w:hAnsi="Times New Roman"/>
          <w:b w:val="false"/>
          <w:color w:val="000000"/>
          <w:sz w:val="20"/>
        </w:rPr>
        <w:t>million, respectively,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No</w:t>
      </w:r>
      <w:r>
        <w:rPr>
          <w:rFonts w:ascii="Times New Roman" w:hAnsi="Times New Roman"/>
          <w:color w:val="000000"/>
          <w:sz w:val="20"/>
        </w:rPr>
        <w:t xml:space="preserve"> </w:t>
      </w:r>
      <w:r>
        <w:rPr>
          <w:rFonts w:ascii="Times New Roman" w:hAnsi="Times New Roman"/>
          <w:b w:val="false"/>
          <w:color w:val="000000"/>
          <w:sz w:val="20"/>
        </w:rPr>
        <w:t>losses were recorded during the three and nine months ended September 30, 2023. During the three and nine months ended September 30, 2022, the Company recorded losses of $0.5</w:t>
      </w:r>
      <w:r>
        <w:rPr>
          <w:rFonts w:ascii="Times New Roman" w:hAnsi="Times New Roman"/>
          <w:color w:val="000000"/>
          <w:sz w:val="20"/>
        </w:rPr>
        <w:t xml:space="preserve"> </w:t>
      </w:r>
      <w:r>
        <w:rPr>
          <w:rFonts w:ascii="Times New Roman" w:hAnsi="Times New Roman"/>
          <w:b w:val="false"/>
          <w:color w:val="000000"/>
          <w:sz w:val="20"/>
        </w:rPr>
        <w:t>million and $1.7</w:t>
      </w:r>
      <w:r>
        <w:rPr>
          <w:rFonts w:ascii="Times New Roman" w:hAnsi="Times New Roman"/>
          <w:color w:val="000000"/>
          <w:sz w:val="20"/>
        </w:rPr>
        <w:t xml:space="preserve"> </w:t>
      </w:r>
      <w:r>
        <w:rPr>
          <w:rFonts w:ascii="Times New Roman" w:hAnsi="Times New Roman"/>
          <w:b w:val="false"/>
          <w:color w:val="000000"/>
          <w:sz w:val="20"/>
        </w:rPr>
        <w:t>million, respectively, related to these securities, which is recorded in other expenses on the Condensed Consolidated Statements of Operations and 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w:t>
      </w:r>
    </w:p>
    <w:p>
      <w:pPr>
        <w:pStyle w:val="TextBody"/>
        <w:bidi w:val="0"/>
        <w:spacing w:before="120" w:after="283"/>
        <w:jc w:val="left"/>
        <w:rPr>
          <w:rFonts w:ascii="Times New Roman" w:hAnsi="Times New Roman"/>
          <w:sz w:val="20"/>
        </w:rPr>
      </w:pPr>
      <w:r>
        <w:rPr>
          <w:rFonts w:ascii="Times New Roman" w:hAnsi="Times New Roman"/>
          <w:b/>
          <w:i/>
          <w:color w:val="000000"/>
          <w:sz w:val="20"/>
        </w:rPr>
        <w:t>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Accounts receivable are stated at the amount the Company expects to collect from outstanding balances. The Company's accounts receivable do not bear interest. Amounts collected on accounts receivable are included in net cash used in operating activities in the Condensed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Allowance For Credit Losses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allowance for credit losses related to accounts receivable and changes were as follows (in thousands):</w:t>
      </w:r>
    </w:p>
    <w:p>
      <w:pPr>
        <w:pStyle w:val="TextBody"/>
        <w:bidi w:val="0"/>
        <w:spacing w:before="120" w:after="283"/>
        <w:jc w:val="left"/>
        <w:rPr/>
      </w:pPr>
      <w:r>
        <w:rPr/>
        <w:t> </w:t>
      </w:r>
    </w:p>
    <w:tbl>
      <w:tblPr>
        <w:tblW w:w="7919" w:type="dxa"/>
        <w:jc w:val="left"/>
        <w:tblInd w:w="0" w:type="dxa"/>
        <w:tblLayout w:type="fixed"/>
        <w:tblCellMar>
          <w:top w:w="28" w:type="dxa"/>
          <w:left w:w="28" w:type="dxa"/>
          <w:bottom w:w="28" w:type="dxa"/>
          <w:right w:w="28" w:type="dxa"/>
        </w:tblCellMar>
      </w:tblPr>
      <w:tblGrid>
        <w:gridCol w:w="5626"/>
        <w:gridCol w:w="146"/>
        <w:gridCol w:w="211"/>
        <w:gridCol w:w="631"/>
        <w:gridCol w:w="166"/>
        <w:gridCol w:w="146"/>
        <w:gridCol w:w="211"/>
        <w:gridCol w:w="571"/>
        <w:gridCol w:w="211"/>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5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beginning of year, January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809</w:t>
            </w:r>
          </w:p>
        </w:tc>
        <w:tc>
          <w:tcPr>
            <w:tcW w:w="211" w:type="dxa"/>
            <w:tcBorders/>
            <w:shd w:fill="FFFFFF" w:val="cle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Charge to provision accounts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w:t>
            </w:r>
          </w:p>
        </w:tc>
        <w:tc>
          <w:tcPr>
            <w:tcW w:w="211"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Write-offs or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period end, September 30 and December 31,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and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Property and equipment are stated at cost. Depreciation is calculated on the straight-line method over the estimated useful life of the assets, which range from three to seven years, or in the case of leasehold improvements, over the shorter of the remaining lease term or the useful life of the asset.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$10.6</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w:t>
      </w:r>
      <w:r>
        <w:rPr>
          <w:rFonts w:ascii="Times New Roman" w:hAnsi="Times New Roman"/>
          <w:color w:val="000000"/>
          <w:sz w:val="20"/>
        </w:rPr>
        <w:t xml:space="preserve"> </w:t>
      </w:r>
      <w:r>
        <w:rPr>
          <w:rFonts w:ascii="Times New Roman" w:hAnsi="Times New Roman"/>
          <w:b w:val="false"/>
          <w:color w:val="000000"/>
          <w:sz w:val="20"/>
        </w:rPr>
        <w:t>and $11.5</w:t>
      </w:r>
      <w:r>
        <w:rPr>
          <w:rFonts w:ascii="Times New Roman" w:hAnsi="Times New Roman"/>
          <w:color w:val="000000"/>
          <w:sz w:val="20"/>
        </w:rPr>
        <w:t xml:space="preserve"> </w:t>
      </w:r>
      <w:r>
        <w:rPr>
          <w:rFonts w:ascii="Times New Roman" w:hAnsi="Times New Roman"/>
          <w:b w:val="false"/>
          <w:color w:val="000000"/>
          <w:sz w:val="20"/>
        </w:rPr>
        <w:t>million for the year ended December 31, 2022.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w:t>
      </w:r>
    </w:p>
    <w:p>
      <w:pPr>
        <w:pStyle w:val="TextBody"/>
        <w:bidi w:val="0"/>
        <w:spacing w:before="120" w:after="283"/>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Goodwill represents the excess purchase price over the estimated fair value of net assets acquired in a business combination. As of September 30, 2023,</w:t>
      </w:r>
      <w:r>
        <w:rPr>
          <w:rFonts w:ascii="Times New Roman" w:hAnsi="Times New Roman"/>
          <w:color w:val="CC0000"/>
          <w:sz w:val="20"/>
        </w:rPr>
        <w:t xml:space="preserve"> </w:t>
      </w:r>
      <w:r>
        <w:rPr>
          <w:rFonts w:ascii="Times New Roman" w:hAnsi="Times New Roman"/>
          <w:b w:val="false"/>
          <w:color w:val="000000"/>
          <w:sz w:val="20"/>
        </w:rPr>
        <w:t>the Company's goodwill is attributable to both the U.S. and International reporting units. As of December</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val="false"/>
          <w:color w:val="000000"/>
          <w:sz w:val="20"/>
        </w:rPr>
        <w:t>31, 2022, the Company's goodwill is attributable to the U.S. reporting unit. Goodwill is not amortized. The Company tests goodwill for impairment annually in the fourth quarter, or more frequently, if events or changes in circumstances indicate that the carrying value of a reporting unit, including goodwill, might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Revenue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Company derives the majority of its marketplace revenue in the U.S. and Europe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 w:hAnsi="Times New Roman"/>
          <w:b w:val="false"/>
          <w:i/>
          <w:color w:val="000000"/>
          <w:sz w:val="20"/>
        </w:rPr>
        <w:t>Topic 606, Revenue from Contracts with Customers</w:t>
      </w:r>
      <w:r>
        <w:rPr>
          <w:rFonts w:ascii="Times New Roman" w:hAnsi="Times New Roman"/>
          <w:color w:val="000000"/>
          <w:sz w:val="20"/>
        </w:rPr>
        <w:t xml:space="preserve"> </w:t>
      </w:r>
      <w:r>
        <w:rPr>
          <w:rFonts w:ascii="Times New Roman" w:hAnsi="Times New Roman"/>
          <w:b w:val="false"/>
          <w:color w:val="000000"/>
          <w:sz w:val="20"/>
        </w:rPr>
        <w:t>(“ASC 606”).</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Xometry also derives revenue from its supplier services which is a suite of services offered to our suppliers. Revenue also includes the sale of marketing services which includes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Revenue is shown net of estimated returns, refunds, and allowances. At September 30, 2023</w:t>
      </w:r>
      <w:r>
        <w:rPr>
          <w:rFonts w:ascii="Times New Roman" w:hAnsi="Times New Roman"/>
          <w:color w:val="000000"/>
          <w:sz w:val="20"/>
        </w:rPr>
        <w:t xml:space="preserve"> </w:t>
      </w:r>
      <w:r>
        <w:rPr>
          <w:rFonts w:ascii="Times New Roman" w:hAnsi="Times New Roman"/>
          <w:b w:val="false"/>
          <w:color w:val="000000"/>
          <w:sz w:val="20"/>
        </w:rPr>
        <w:t>and December 31, 2022, the Company has a provision for estimated returns, refunds or allowances of $0.1</w:t>
      </w:r>
      <w:r>
        <w:rPr>
          <w:rFonts w:ascii="Times New Roman" w:hAnsi="Times New Roman"/>
          <w:color w:val="000000"/>
          <w:sz w:val="20"/>
        </w:rPr>
        <w:t xml:space="preserve"> </w:t>
      </w:r>
      <w:r>
        <w:rPr>
          <w:rFonts w:ascii="Times New Roman" w:hAnsi="Times New Roman"/>
          <w:b w:val="false"/>
          <w:color w:val="000000"/>
          <w:sz w:val="20"/>
        </w:rPr>
        <w:t>million and $0.3</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Sales tax and, if applicable, duties and/or tariffs collected from customers and remitted to governmental authorities is excluded from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Contract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presents contract liabilities as of December 31, 2022 and September 30, 2023 (in thousands):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tbl>
      <w:tblPr>
        <w:tblW w:w="4920" w:type="dxa"/>
        <w:jc w:val="left"/>
        <w:tblInd w:w="0" w:type="dxa"/>
        <w:tblLayout w:type="fixed"/>
        <w:tblCellMar>
          <w:top w:w="28" w:type="dxa"/>
          <w:left w:w="28" w:type="dxa"/>
          <w:bottom w:w="28" w:type="dxa"/>
          <w:right w:w="28" w:type="dxa"/>
        </w:tblCellMar>
      </w:tblPr>
      <w:tblGrid>
        <w:gridCol w:w="3511"/>
        <w:gridCol w:w="146"/>
        <w:gridCol w:w="211"/>
        <w:gridCol w:w="841"/>
        <w:gridCol w:w="21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Rollforward of contract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liabilities at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8,509</w:t>
            </w:r>
          </w:p>
        </w:tc>
        <w:tc>
          <w:tcPr>
            <w:tcW w:w="21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recognized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(151,504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Payments received in advance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152,633</w:t>
            </w:r>
          </w:p>
        </w:tc>
        <w:tc>
          <w:tcPr>
            <w:tcW w:w="21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Acquired contract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liabilities at September 30,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the Company recognized approximately $8.0</w:t>
      </w:r>
      <w:r>
        <w:rPr>
          <w:rFonts w:ascii="Times New Roman" w:hAnsi="Times New Roman"/>
          <w:color w:val="000000"/>
          <w:sz w:val="20"/>
        </w:rPr>
        <w:t xml:space="preserve"> </w:t>
      </w:r>
      <w:r>
        <w:rPr>
          <w:rFonts w:ascii="Times New Roman" w:hAnsi="Times New Roman"/>
          <w:b w:val="false"/>
          <w:color w:val="000000"/>
          <w:sz w:val="20"/>
        </w:rPr>
        <w:t>million of revenue related to its contract liabilities at December 31,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Sales Contract Acquisition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Company’s incremental costs to obtain a contract may include a sales commission which is generally determined on a per order basis. For contracts in excess of one year, the Company amortizes such costs on a straight-line basis over the average customer life of two years</w:t>
      </w:r>
      <w:r>
        <w:rPr>
          <w:rFonts w:ascii="Times New Roman" w:hAnsi="Times New Roman"/>
          <w:color w:val="000000"/>
          <w:sz w:val="20"/>
        </w:rPr>
        <w:t xml:space="preserve"> </w:t>
      </w:r>
      <w:r>
        <w:rPr>
          <w:rFonts w:ascii="Times New Roman" w:hAnsi="Times New Roman"/>
          <w:b w:val="false"/>
          <w:color w:val="000000"/>
          <w:sz w:val="20"/>
        </w:rPr>
        <w:t>for new customers and over the renewal period for existing customers which is generally one year. Sales commissions are included in the Company's sales and marketing expenses in the Condensed Consolidated Statements of Operations and Comprehensive Loss. For the three and nine months ended September 30, 2023, the Company recognized approximately $2.0</w:t>
      </w:r>
      <w:r>
        <w:rPr>
          <w:rFonts w:ascii="Times New Roman" w:hAnsi="Times New Roman"/>
          <w:color w:val="000000"/>
          <w:sz w:val="20"/>
        </w:rPr>
        <w:t xml:space="preserve"> </w:t>
      </w:r>
      <w:r>
        <w:rPr>
          <w:rFonts w:ascii="Times New Roman" w:hAnsi="Times New Roman"/>
          <w:b w:val="false"/>
          <w:color w:val="000000"/>
          <w:sz w:val="20"/>
        </w:rPr>
        <w:t>million and $6.0</w:t>
      </w:r>
      <w:r>
        <w:rPr>
          <w:rFonts w:ascii="Times New Roman" w:hAnsi="Times New Roman"/>
          <w:color w:val="000000"/>
          <w:sz w:val="20"/>
        </w:rPr>
        <w:t xml:space="preserve"> </w:t>
      </w:r>
      <w:r>
        <w:rPr>
          <w:rFonts w:ascii="Times New Roman" w:hAnsi="Times New Roman"/>
          <w:b w:val="false"/>
          <w:color w:val="000000"/>
          <w:sz w:val="20"/>
        </w:rPr>
        <w:t>million, respectively of amortization related to deferred sales commissions. For the three and nine months ended September 30, 2022, the Company recognized approximately $1.6</w:t>
      </w:r>
      <w:r>
        <w:rPr>
          <w:rFonts w:ascii="Times New Roman" w:hAnsi="Times New Roman"/>
          <w:color w:val="000000"/>
          <w:sz w:val="20"/>
        </w:rPr>
        <w:t xml:space="preserve"> </w:t>
      </w:r>
      <w:r>
        <w:rPr>
          <w:rFonts w:ascii="Times New Roman" w:hAnsi="Times New Roman"/>
          <w:b w:val="false"/>
          <w:color w:val="000000"/>
          <w:sz w:val="20"/>
        </w:rPr>
        <w:t>million and $3.1</w:t>
      </w:r>
      <w:r>
        <w:rPr>
          <w:rFonts w:ascii="Times New Roman" w:hAnsi="Times New Roman"/>
          <w:color w:val="000000"/>
          <w:sz w:val="20"/>
        </w:rPr>
        <w:t xml:space="preserve"> </w:t>
      </w:r>
      <w:r>
        <w:rPr>
          <w:rFonts w:ascii="Times New Roman" w:hAnsi="Times New Roman"/>
          <w:b w:val="false"/>
          <w:color w:val="000000"/>
          <w:sz w:val="20"/>
        </w:rPr>
        <w:t>million, respectively of amortization related to deferred sales commissions. During the nine months ended September 30, 2022, the amount included a $1.9</w:t>
      </w:r>
      <w:r>
        <w:rPr>
          <w:rFonts w:ascii="Times New Roman" w:hAnsi="Times New Roman"/>
          <w:color w:val="000000"/>
          <w:sz w:val="20"/>
        </w:rPr>
        <w:t xml:space="preserve"> </w:t>
      </w:r>
      <w:r>
        <w:rPr>
          <w:rFonts w:ascii="Times New Roman" w:hAnsi="Times New Roman"/>
          <w:b w:val="false"/>
          <w:color w:val="000000"/>
          <w:sz w:val="20"/>
        </w:rPr>
        <w:t>million measurement period benefit related to the Company's acquisition of Thomas. As of September 30, 2023</w:t>
      </w:r>
      <w:r>
        <w:rPr>
          <w:rFonts w:ascii="Times New Roman" w:hAnsi="Times New Roman"/>
          <w:color w:val="000000"/>
          <w:sz w:val="20"/>
        </w:rPr>
        <w:t xml:space="preserve"> </w:t>
      </w:r>
      <w:r>
        <w:rPr>
          <w:rFonts w:ascii="Times New Roman" w:hAnsi="Times New Roman"/>
          <w:b w:val="false"/>
          <w:color w:val="000000"/>
          <w:sz w:val="20"/>
        </w:rPr>
        <w:t>and December 31, 2022, the Company had deferred sales contract acquisition costs of $3.6</w:t>
      </w:r>
      <w:r>
        <w:rPr>
          <w:rFonts w:ascii="Times New Roman" w:hAnsi="Times New Roman"/>
          <w:color w:val="000000"/>
          <w:sz w:val="20"/>
        </w:rPr>
        <w:t xml:space="preserve"> </w:t>
      </w:r>
      <w:r>
        <w:rPr>
          <w:rFonts w:ascii="Times New Roman" w:hAnsi="Times New Roman"/>
          <w:b w:val="false"/>
          <w:color w:val="000000"/>
          <w:sz w:val="20"/>
        </w:rPr>
        <w:t>million and $3.3</w:t>
      </w:r>
      <w:r>
        <w:rPr>
          <w:rFonts w:ascii="Times New Roman" w:hAnsi="Times New Roman"/>
          <w:color w:val="000000"/>
          <w:sz w:val="20"/>
        </w:rPr>
        <w:t xml:space="preserve"> </w:t>
      </w:r>
      <w:r>
        <w:rPr>
          <w:rFonts w:ascii="Times New Roman" w:hAnsi="Times New Roman"/>
          <w:b w:val="false"/>
          <w:color w:val="000000"/>
          <w:sz w:val="20"/>
        </w:rPr>
        <w:t>million, respectively which is classified in other current assets on the Condensed Consolidated Balance Sheets.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Cost of revenue for supplier services primarily consists of internal and external production costs and website hosting.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determines if an arrangement contains a lease and the classification of that lease, if applicable, at its inception. Operating leases are included in operating lease right-of-use ("ROU") assets, operating lease liabilities, current portion and operating lease liabilities, net of current portion in the Condensed Consolidated Balance Sheets. For leases with terms of twelve months or less, the Company does not recognize ROU assets or lease liabilities on the Condensed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Condensed Consolidated Balance Sheets.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Lease expense is recognized on a straight-line basis over the term of the lease.</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Sales and Marketing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three and nine months ended September 30, 2023, the Company's advertising cost were $7.7</w:t>
      </w:r>
      <w:r>
        <w:rPr>
          <w:rFonts w:ascii="Times New Roman" w:hAnsi="Times New Roman"/>
          <w:color w:val="000000"/>
          <w:sz w:val="20"/>
        </w:rPr>
        <w:t xml:space="preserve"> </w:t>
      </w:r>
      <w:r>
        <w:rPr>
          <w:rFonts w:ascii="Times New Roman" w:hAnsi="Times New Roman"/>
          <w:b w:val="false"/>
          <w:color w:val="000000"/>
          <w:sz w:val="20"/>
        </w:rPr>
        <w:t>million and $23.4</w:t>
      </w:r>
      <w:r>
        <w:rPr>
          <w:rFonts w:ascii="Times New Roman" w:hAnsi="Times New Roman"/>
          <w:color w:val="000000"/>
          <w:sz w:val="20"/>
        </w:rPr>
        <w:t xml:space="preserve"> </w:t>
      </w:r>
      <w:r>
        <w:rPr>
          <w:rFonts w:ascii="Times New Roman" w:hAnsi="Times New Roman"/>
          <w:b w:val="false"/>
          <w:color w:val="000000"/>
          <w:sz w:val="20"/>
        </w:rPr>
        <w:t>million, respectively. For the three and nine months ended September 30, 2022, the Company's advertising costs were $8.3</w:t>
      </w:r>
      <w:r>
        <w:rPr>
          <w:rFonts w:ascii="Times New Roman" w:hAnsi="Times New Roman"/>
          <w:color w:val="000000"/>
          <w:sz w:val="20"/>
        </w:rPr>
        <w:t xml:space="preserve"> </w:t>
      </w:r>
      <w:r>
        <w:rPr>
          <w:rFonts w:ascii="Times New Roman" w:hAnsi="Times New Roman"/>
          <w:b w:val="false"/>
          <w:color w:val="000000"/>
          <w:sz w:val="20"/>
        </w:rPr>
        <w:t>million and $23.3</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Operations and Support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and supplier services.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w:t>
      </w:r>
    </w:p>
    <w:p>
      <w:pPr>
        <w:pStyle w:val="TextBody"/>
        <w:bidi w:val="0"/>
        <w:spacing w:before="120" w:after="283"/>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Product development costs which are not eligible for capitalization are expensed as incurred. This account also includes compensation expenses, including stock-based compensation to the Company’s employees performing these functions and certain depreciation and amortization expense.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primarily consist of compensation expenses, including stock-based compensation expenses, for executive, finance, legal and other administrative personnel, professional service fees and certain depreciation and amortization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w:t>
      </w:r>
    </w:p>
    <w:p>
      <w:pPr>
        <w:pStyle w:val="TextBody"/>
        <w:bidi w:val="0"/>
        <w:spacing w:before="120" w:after="283"/>
        <w:jc w:val="left"/>
        <w:rPr>
          <w:rFonts w:ascii="Times New Roman" w:hAnsi="Times New Roman"/>
          <w:sz w:val="20"/>
        </w:rPr>
      </w:pPr>
      <w:r>
        <w:rPr>
          <w:rFonts w:ascii="Times New Roman" w:hAnsi="Times New Roman"/>
          <w:b/>
          <w:i/>
          <w:color w:val="000000"/>
          <w:sz w:val="20"/>
        </w:rPr>
        <w:t>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All stock-based compensation, including stock options and restricted stock units, are measured at the grant date fair value of the award. The Company estimates grant date fair value of stock options using the Black-Scholes option-pricing model. The fair value of stock options and restricted stock units is recognized as compensation expense on a straight-line basis over the requisite service period, which is typically four years. The fair value of the restricted stock units is determined using the fair value of the Company's Class A common stock on the date of grant. Forfeitures are recorded in the period in which they occur.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Black-Scholes model considers several variables and assumptions in estimating the fair value of stock-based awards.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These variables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expected annual dividend yield;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expected volatility over the expected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expected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risk free interest rate;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per share value of the underlying common stock;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exercise price.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(q)</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Net Loss Per Share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shared proportionately in the Company’s net losses.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Recently Issued Accounting Standards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are currently no other accounting standards that have been issued, but not yet adopted, that are expected to have a significant impact on the Company’s consolidated financial position, results of operations or cash flows upon adoption.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Credit Concentrations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A majority of the Company’s buyers are located in the United States.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and 2022, no</w:t>
      </w:r>
      <w:r>
        <w:rPr>
          <w:rFonts w:ascii="Times New Roman" w:hAnsi="Times New Roman"/>
          <w:color w:val="000000"/>
          <w:sz w:val="20"/>
        </w:rPr>
        <w:t xml:space="preserve"> </w:t>
      </w:r>
      <w:r>
        <w:rPr>
          <w:rFonts w:ascii="Times New Roman" w:hAnsi="Times New Roman"/>
          <w:b w:val="false"/>
          <w:color w:val="000000"/>
          <w:sz w:val="20"/>
        </w:rPr>
        <w:t>single buyer accounted for more than 10% of the Company's revenue. As of September 30, 2023, and December 31, 2022, no</w:t>
      </w:r>
      <w:r>
        <w:rPr>
          <w:rFonts w:ascii="Times New Roman" w:hAnsi="Times New Roman"/>
          <w:color w:val="000000"/>
          <w:sz w:val="20"/>
        </w:rPr>
        <w:t xml:space="preserve"> </w:t>
      </w:r>
      <w:r>
        <w:rPr>
          <w:rFonts w:ascii="Times New Roman" w:hAnsi="Times New Roman"/>
          <w:b w:val="false"/>
          <w:color w:val="000000"/>
          <w:sz w:val="20"/>
        </w:rPr>
        <w:t>single buyer accounted for more than 10% of the Company’s 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Inventory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Inventory consists of raw materials, work-in-process, tools inventory and finished goods. Raw materials (plastics and metals) become manufactured products in the additive and subtractive manufacturing processes. Work-in-progress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September 30, 2023 and December 31, 2022 (in thousands): </w:t>
      </w:r>
    </w:p>
    <w:p>
      <w:pPr>
        <w:pStyle w:val="TextBody"/>
        <w:bidi w:val="0"/>
        <w:jc w:val="left"/>
        <w:rPr/>
      </w:pPr>
      <w:r>
        <w:rPr/>
        <w:t> </w:t>
      </w:r>
    </w:p>
    <w:tbl>
      <w:tblPr>
        <w:tblW w:w="4395" w:type="dxa"/>
        <w:jc w:val="left"/>
        <w:tblInd w:w="0" w:type="dxa"/>
        <w:tblLayout w:type="fixed"/>
        <w:tblCellMar>
          <w:top w:w="28" w:type="dxa"/>
          <w:left w:w="28" w:type="dxa"/>
          <w:bottom w:w="28" w:type="dxa"/>
          <w:right w:w="28" w:type="dxa"/>
        </w:tblCellMar>
      </w:tblPr>
      <w:tblGrid>
        <w:gridCol w:w="1531"/>
        <w:gridCol w:w="146"/>
        <w:gridCol w:w="307"/>
        <w:gridCol w:w="833"/>
        <w:gridCol w:w="146"/>
        <w:gridCol w:w="146"/>
        <w:gridCol w:w="294"/>
        <w:gridCol w:w="801"/>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Work-in-progress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675</w:t>
            </w:r>
          </w:p>
        </w:tc>
        <w:tc>
          <w:tcPr>
            <w:tcW w:w="191" w:type="dxa"/>
            <w:tcBorders/>
            <w:shd w:fill="FFFFFF" w:val="cle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Tools inventory</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477</w:t>
            </w:r>
          </w:p>
        </w:tc>
        <w:tc>
          <w:tcPr>
            <w:tcW w:w="191" w:type="dxa"/>
            <w:tcBorders/>
            <w:shd w:fill="CFF0FC" w:val="clear"/>
            <w:vAlign w:val="center"/>
          </w:tcPr>
          <w:p>
            <w:pPr>
              <w:pStyle w:val="TableContents"/>
              <w:bidi w:val="0"/>
              <w:spacing w:before="0" w:after="283"/>
              <w:jc w:val="left"/>
              <w:rPr/>
            </w:pPr>
            <w:r>
              <w:rPr/>
              <w:t> </w:t>
            </w:r>
          </w:p>
        </w:tc>
      </w:tr>
      <w:tr>
        <w:trPr/>
        <w:tc>
          <w:tcPr>
            <w:tcW w:w="1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Property and Equipment and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Property and equipment consist of the following as of September 30, 2023 and December 31, 2022 (in thousands):</w:t>
      </w:r>
      <w:r>
        <w:rPr>
          <w:rFonts w:ascii="Times New Roman" w:hAnsi="Times New Roman"/>
          <w:color w:val="000000"/>
          <w:sz w:val="20"/>
        </w:rPr>
        <w:t xml:space="preserve"> </w:t>
      </w:r>
    </w:p>
    <w:p>
      <w:pPr>
        <w:pStyle w:val="TextBody"/>
        <w:bidi w:val="0"/>
        <w:spacing w:before="120" w:after="283"/>
        <w:jc w:val="left"/>
        <w:rPr/>
      </w:pPr>
      <w:r>
        <w:rPr/>
        <w:t> </w:t>
      </w:r>
    </w:p>
    <w:tbl>
      <w:tblPr>
        <w:tblW w:w="7387" w:type="dxa"/>
        <w:jc w:val="left"/>
        <w:tblInd w:w="0" w:type="dxa"/>
        <w:tblLayout w:type="fixed"/>
        <w:tblCellMar>
          <w:top w:w="28" w:type="dxa"/>
          <w:left w:w="28" w:type="dxa"/>
          <w:bottom w:w="28" w:type="dxa"/>
          <w:right w:w="28" w:type="dxa"/>
        </w:tblCellMar>
      </w:tblPr>
      <w:tblGrid>
        <w:gridCol w:w="2896"/>
        <w:gridCol w:w="146"/>
        <w:gridCol w:w="1441"/>
        <w:gridCol w:w="146"/>
        <w:gridCol w:w="254"/>
        <w:gridCol w:w="886"/>
        <w:gridCol w:w="166"/>
        <w:gridCol w:w="146"/>
        <w:gridCol w:w="244"/>
        <w:gridCol w:w="85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Technology hardware</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3</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2,927</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Manufacturing equipment</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 years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2,892</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Capitalized software development</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 years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24,343</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Shorter of useful</w:t>
              <w:br/>
              <w:t>life or lease term</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1,345</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146" w:type="dxa"/>
            <w:tcBorders/>
            <w:shd w:fill="CFF0FC" w:val="clear"/>
            <w:vAlign w:val="center"/>
          </w:tcPr>
          <w:p>
            <w:pPr>
              <w:pStyle w:val="TableContents"/>
              <w:bidi w:val="0"/>
              <w:spacing w:before="0" w:after="283"/>
              <w:jc w:val="right"/>
              <w:rPr/>
            </w:pPr>
            <w:r>
              <w:rPr/>
              <w:t> </w:t>
            </w:r>
          </w:p>
        </w:tc>
        <w:tc>
          <w:tcPr>
            <w:tcW w:w="14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 years</w:t>
            </w:r>
          </w:p>
        </w:tc>
        <w:tc>
          <w:tcPr>
            <w:tcW w:w="146" w:type="dxa"/>
            <w:tcBorders/>
            <w:shd w:fill="CFF0FC" w:val="cle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33,212</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Depreciation expense for the three and nine months ended September 30, 2023 and 2022 was as follows (in thousands):</w:t>
      </w:r>
      <w:r>
        <w:rPr>
          <w:rFonts w:ascii="Times New Roman" w:hAnsi="Times New Roman"/>
          <w:color w:val="000000"/>
          <w:sz w:val="20"/>
        </w:rPr>
        <w:t xml:space="preserve"> </w:t>
      </w:r>
    </w:p>
    <w:p>
      <w:pPr>
        <w:pStyle w:val="TextBody"/>
        <w:bidi w:val="0"/>
        <w:jc w:val="left"/>
        <w:rPr/>
      </w:pPr>
      <w:r>
        <w:rPr/>
        <w:t> </w:t>
      </w:r>
    </w:p>
    <w:tbl>
      <w:tblPr>
        <w:tblW w:w="7938" w:type="dxa"/>
        <w:jc w:val="left"/>
        <w:tblInd w:w="0" w:type="dxa"/>
        <w:tblLayout w:type="fixed"/>
        <w:tblCellMar>
          <w:top w:w="28" w:type="dxa"/>
          <w:left w:w="28" w:type="dxa"/>
          <w:bottom w:w="28" w:type="dxa"/>
          <w:right w:w="28" w:type="dxa"/>
        </w:tblCellMar>
      </w:tblPr>
      <w:tblGrid>
        <w:gridCol w:w="2326"/>
        <w:gridCol w:w="332"/>
        <w:gridCol w:w="899"/>
        <w:gridCol w:w="229"/>
        <w:gridCol w:w="229"/>
        <w:gridCol w:w="332"/>
        <w:gridCol w:w="662"/>
        <w:gridCol w:w="146"/>
        <w:gridCol w:w="146"/>
        <w:gridCol w:w="254"/>
        <w:gridCol w:w="687"/>
        <w:gridCol w:w="175"/>
        <w:gridCol w:w="175"/>
        <w:gridCol w:w="254"/>
        <w:gridCol w:w="687"/>
        <w:gridCol w:w="175"/>
        <w:gridCol w:w="230"/>
      </w:tblGrid>
      <w:tr>
        <w:trPr/>
        <w:tc>
          <w:tcPr>
            <w:tcW w:w="232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326" w:type="dxa"/>
            <w:tcBorders/>
            <w:shd w:fill="FFFFFF" w:val="cle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center"/>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22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175" w:type="dxa"/>
            <w:tcBorders/>
            <w:shd w:fill="CFF0FC"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33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22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7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Operations and support</w:t>
            </w:r>
          </w:p>
        </w:tc>
        <w:tc>
          <w:tcPr>
            <w:tcW w:w="332"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22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75" w:type="dxa"/>
            <w:tcBorders/>
            <w:shd w:fill="CFF0FC"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development</w:t>
            </w:r>
          </w:p>
        </w:tc>
        <w:tc>
          <w:tcPr>
            <w:tcW w:w="332"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1,252</w:t>
            </w:r>
          </w:p>
        </w:tc>
        <w:tc>
          <w:tcPr>
            <w:tcW w:w="22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3,872</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2,180</w:t>
            </w:r>
          </w:p>
        </w:tc>
        <w:tc>
          <w:tcPr>
            <w:tcW w:w="175"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depreciation expense</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1,571</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5,175</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2,834</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Operating lease expense for the three and nine months ended September 30, 2023 and 2022 was as follows (in thousands):</w:t>
      </w:r>
      <w:r>
        <w:rPr>
          <w:rFonts w:ascii="Times New Roman" w:hAnsi="Times New Roman"/>
          <w:color w:val="000000"/>
          <w:sz w:val="20"/>
        </w:rPr>
        <w:t xml:space="preserve"> </w:t>
      </w:r>
    </w:p>
    <w:tbl>
      <w:tblPr>
        <w:tblW w:w="8442" w:type="dxa"/>
        <w:jc w:val="left"/>
        <w:tblInd w:w="0" w:type="dxa"/>
        <w:tblLayout w:type="fixed"/>
        <w:tblCellMar>
          <w:top w:w="28" w:type="dxa"/>
          <w:left w:w="28" w:type="dxa"/>
          <w:bottom w:w="28" w:type="dxa"/>
          <w:right w:w="28" w:type="dxa"/>
        </w:tblCellMar>
      </w:tblPr>
      <w:tblGrid>
        <w:gridCol w:w="2536"/>
        <w:gridCol w:w="146"/>
        <w:gridCol w:w="305"/>
        <w:gridCol w:w="826"/>
        <w:gridCol w:w="211"/>
        <w:gridCol w:w="211"/>
        <w:gridCol w:w="305"/>
        <w:gridCol w:w="826"/>
        <w:gridCol w:w="146"/>
        <w:gridCol w:w="146"/>
        <w:gridCol w:w="279"/>
        <w:gridCol w:w="894"/>
        <w:gridCol w:w="193"/>
        <w:gridCol w:w="193"/>
        <w:gridCol w:w="279"/>
        <w:gridCol w:w="755"/>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69" w:type="dxa"/>
            <w:gridSpan w:val="14"/>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righ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1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13,802</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lease expense</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13,856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first quarter of 2023, the Company entered into two</w:t>
      </w:r>
      <w:r>
        <w:rPr>
          <w:rFonts w:ascii="Times New Roman" w:hAnsi="Times New Roman"/>
          <w:color w:val="000000"/>
          <w:sz w:val="20"/>
        </w:rPr>
        <w:t xml:space="preserve"> </w:t>
      </w:r>
      <w:r>
        <w:rPr>
          <w:rFonts w:ascii="Times New Roman" w:hAnsi="Times New Roman"/>
          <w:b w:val="false"/>
          <w:color w:val="000000"/>
          <w:sz w:val="20"/>
        </w:rPr>
        <w:t>new office leases in Lyon, France and Istanbul, Turkey. In connection with these leases, the Company recorded non-cash ROU assets and lease liabilities of $0.3</w:t>
      </w:r>
      <w:r>
        <w:rPr>
          <w:rFonts w:ascii="Times New Roman" w:hAnsi="Times New Roman"/>
          <w:color w:val="000000"/>
          <w:sz w:val="20"/>
        </w:rPr>
        <w:t xml:space="preserve"> </w:t>
      </w:r>
      <w:r>
        <w:rPr>
          <w:rFonts w:ascii="Times New Roman" w:hAnsi="Times New Roman"/>
          <w:b w:val="false"/>
          <w:color w:val="000000"/>
          <w:sz w:val="20"/>
        </w:rPr>
        <w:t>million. During the second quarter of 2023, the Company determined that it was reasonably certain to exercise an extension option in an existing lease and recorded a non-cash ROU asset and lease liability of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second quarter of 2023, the Company assessed its lease portfolio. As a result, the Company abandoned certain leases and/or portions of its leases in New York, NY, Horsham, PA, Culver City, CA, Doraville, GA and Gaithersburg, MD. As a result of abandoning these leases, the Company ceased its use of these locations and accelerated the amortization of the ROU assets to reduce the ROU assets carrying values to zero. The Company recognized a one-time charge of $8.7</w:t>
      </w:r>
      <w:r>
        <w:rPr>
          <w:rFonts w:ascii="Times New Roman" w:hAnsi="Times New Roman"/>
          <w:color w:val="000000"/>
          <w:sz w:val="20"/>
        </w:rPr>
        <w:t xml:space="preserve"> </w:t>
      </w:r>
      <w:r>
        <w:rPr>
          <w:rFonts w:ascii="Times New Roman" w:hAnsi="Times New Roman"/>
          <w:b w:val="false"/>
          <w:color w:val="000000"/>
          <w:sz w:val="20"/>
        </w:rPr>
        <w:t>million of additional operating lease expense during the second quarter of 2023 in general and administrative on our Condensed Consolidated Statements of Operations and Comprehensive Loss. The Company will continue to pay the rent owed under the existing lease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Acquisition</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Tridi</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January 2, 2023, the Company acquired Tridi Teknoloj A.S. (“Tridi”) located in Istanbul, Türkiye pursuant to a Share Purchase Agreement. The acquisition of Tridi extends the Company's marketplace capabilities in Europe and provides the Company with access to the Turkish market. The Company accounted for the acquisition as a business combination. The goodwill of $4.8</w:t>
      </w:r>
      <w:r>
        <w:rPr>
          <w:rFonts w:ascii="Times New Roman" w:hAnsi="Times New Roman"/>
          <w:color w:val="000000"/>
          <w:sz w:val="20"/>
        </w:rPr>
        <w:t xml:space="preserve"> </w:t>
      </w:r>
      <w:r>
        <w:rPr>
          <w:rFonts w:ascii="Times New Roman" w:hAnsi="Times New Roman"/>
          <w:b w:val="false"/>
          <w:color w:val="000000"/>
          <w:sz w:val="20"/>
        </w:rPr>
        <w:t>million arising from the acquisition of Tridi related to expected synergies including access to the Turkish market and an established supplier network. The goodwill is included in our International reporting segment and is not deductible for tax purposes.</w:t>
      </w:r>
      <w:r>
        <w:rPr>
          <w:rFonts w:ascii="Times New Roman" w:hAnsi="Times New Roman"/>
          <w:color w:val="000000"/>
          <w:sz w:val="20"/>
        </w:rPr>
        <w:t xml:space="preserve"> </w:t>
      </w:r>
      <w:r>
        <w:rPr>
          <w:rFonts w:ascii="Times New Roman" w:hAnsi="Times New Roman"/>
          <w:b w:val="false"/>
          <w:color w:val="000000"/>
          <w:sz w:val="20"/>
        </w:rPr>
        <w:t>The aggregate non-contingent portion of the purchase price was approximately $3.8</w:t>
      </w:r>
      <w:r>
        <w:rPr>
          <w:rFonts w:ascii="Times New Roman" w:hAnsi="Times New Roman"/>
          <w:color w:val="000000"/>
          <w:sz w:val="20"/>
        </w:rPr>
        <w:t xml:space="preserve"> </w:t>
      </w:r>
      <w:r>
        <w:rPr>
          <w:rFonts w:ascii="Times New Roman" w:hAnsi="Times New Roman"/>
          <w:b w:val="false"/>
          <w:color w:val="000000"/>
          <w:sz w:val="20"/>
        </w:rPr>
        <w:t>million in cash, of which approximately $0.4</w:t>
      </w:r>
      <w:r>
        <w:rPr>
          <w:rFonts w:ascii="Times New Roman" w:hAnsi="Times New Roman"/>
          <w:color w:val="000000"/>
          <w:sz w:val="20"/>
        </w:rPr>
        <w:t xml:space="preserve"> </w:t>
      </w:r>
      <w:r>
        <w:rPr>
          <w:rFonts w:ascii="Times New Roman" w:hAnsi="Times New Roman"/>
          <w:b w:val="false"/>
          <w:color w:val="000000"/>
          <w:sz w:val="20"/>
        </w:rPr>
        <w:t>million was withheld and will be paid in a future period. In addition, the purchase price included a contingent consideration arrangement to the former owner of Tridi up to a maximum amount of $1.25</w:t>
      </w:r>
      <w:r>
        <w:rPr>
          <w:rFonts w:ascii="Times New Roman" w:hAnsi="Times New Roman"/>
          <w:color w:val="000000"/>
          <w:sz w:val="20"/>
        </w:rPr>
        <w:t xml:space="preserve"> </w:t>
      </w:r>
      <w:r>
        <w:rPr>
          <w:rFonts w:ascii="Times New Roman" w:hAnsi="Times New Roman"/>
          <w:b w:val="false"/>
          <w:color w:val="000000"/>
          <w:sz w:val="20"/>
        </w:rPr>
        <w:t>million (undiscounted) in shares of the Company’s Class A common stock in two installments on the first and second anniversary of the acquisition.</w:t>
      </w:r>
      <w:r>
        <w:rPr>
          <w:rFonts w:ascii="Times New Roman" w:hAnsi="Times New Roman"/>
          <w:color w:val="000000"/>
          <w:sz w:val="20"/>
        </w:rPr>
        <w:t xml:space="preserve"> </w:t>
      </w:r>
      <w:r>
        <w:rPr>
          <w:rFonts w:ascii="Times New Roman" w:hAnsi="Times New Roman"/>
          <w:b w:val="false"/>
          <w:color w:val="000000"/>
          <w:sz w:val="20"/>
        </w:rPr>
        <w:t>The contingent consideration arrangement is tied to the achievement of revenue thresholds. The initial fair value of the contingent consideration of $0.9</w:t>
      </w:r>
      <w:r>
        <w:rPr>
          <w:rFonts w:ascii="Times New Roman" w:hAnsi="Times New Roman"/>
          <w:color w:val="000000"/>
          <w:sz w:val="20"/>
        </w:rPr>
        <w:t xml:space="preserve"> </w:t>
      </w:r>
      <w:r>
        <w:rPr>
          <w:rFonts w:ascii="Times New Roman" w:hAnsi="Times New Roman"/>
          <w:b w:val="false"/>
          <w:color w:val="000000"/>
          <w:sz w:val="20"/>
        </w:rPr>
        <w:t>million was estimated by applying an income valuation approach. The measurement is based on inputs that are not observable in the market (Level 3 inputs). Key assumptions made include (a) discount rate and (b) probability weighted assumptions about achieving revenue thresholds.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second quarter of 2023, the Company recognized measurement period adjustments related to the initial fair value of the intangible asset. The Company reduced the fair value of the intangible asset from $0.6</w:t>
      </w:r>
      <w:r>
        <w:rPr>
          <w:rFonts w:ascii="Times New Roman" w:hAnsi="Times New Roman"/>
          <w:color w:val="000000"/>
          <w:sz w:val="20"/>
        </w:rPr>
        <w:t xml:space="preserve"> </w:t>
      </w:r>
      <w:r>
        <w:rPr>
          <w:rFonts w:ascii="Times New Roman" w:hAnsi="Times New Roman"/>
          <w:b w:val="false"/>
          <w:color w:val="000000"/>
          <w:sz w:val="20"/>
        </w:rPr>
        <w:t>million to $0.1</w:t>
      </w:r>
      <w:r>
        <w:rPr>
          <w:rFonts w:ascii="Times New Roman" w:hAnsi="Times New Roman"/>
          <w:color w:val="000000"/>
          <w:sz w:val="20"/>
        </w:rPr>
        <w:t xml:space="preserve"> </w:t>
      </w:r>
      <w:r>
        <w:rPr>
          <w:rFonts w:ascii="Times New Roman" w:hAnsi="Times New Roman"/>
          <w:b w:val="false"/>
          <w:color w:val="000000"/>
          <w:sz w:val="20"/>
        </w:rPr>
        <w:t>million, which resulted in $0.5</w:t>
      </w:r>
      <w:r>
        <w:rPr>
          <w:rFonts w:ascii="Times New Roman" w:hAnsi="Times New Roman"/>
          <w:color w:val="000000"/>
          <w:sz w:val="20"/>
        </w:rPr>
        <w:t xml:space="preserve"> </w:t>
      </w:r>
      <w:r>
        <w:rPr>
          <w:rFonts w:ascii="Times New Roman" w:hAnsi="Times New Roman"/>
          <w:b w:val="false"/>
          <w:color w:val="000000"/>
          <w:sz w:val="20"/>
        </w:rPr>
        <w:t>million of additional goodwill. The Company completed its valuation of the acquired assets and liabilities during the third quarter of 2023.</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1"/>
        </w:rPr>
        <w:t>The following table (in thousands) summarizes the consideration paid for Tridi and the fair value of the assets acquired and liabilities assumed on the acquisition date:</w:t>
      </w:r>
      <w:r>
        <w:rPr>
          <w:rFonts w:ascii="Times New Roman" w:hAnsi="Times New Roman"/>
          <w:color w:val="000000"/>
          <w:sz w:val="20"/>
        </w:rPr>
        <w:t xml:space="preserve"> </w:t>
      </w:r>
    </w:p>
    <w:tbl>
      <w:tblPr>
        <w:tblW w:w="7795" w:type="dxa"/>
        <w:jc w:val="left"/>
        <w:tblInd w:w="0" w:type="dxa"/>
        <w:tblLayout w:type="fixed"/>
        <w:tblCellMar>
          <w:top w:w="28" w:type="dxa"/>
          <w:left w:w="28" w:type="dxa"/>
          <w:bottom w:w="28" w:type="dxa"/>
          <w:right w:w="28" w:type="dxa"/>
        </w:tblCellMar>
      </w:tblPr>
      <w:tblGrid>
        <w:gridCol w:w="6256"/>
        <w:gridCol w:w="146"/>
        <w:gridCol w:w="211"/>
        <w:gridCol w:w="571"/>
        <w:gridCol w:w="61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Consideration:</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Settlement of preexisting relationship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Fair value of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Recognized amounts of identifiable assets acquired and liabilities assumed:</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Intangible asset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25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identifiable net assets assumed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5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 estimated fair value of the intangible asset acquired was determined by the Company. The Company engaged a third</w:t>
        <w:noBreakHyphen/>
        <w:t>party expert to assist with the valuation analysis. The Company used a cost method to estimate the fair value of the vendor relationship using Level 3 inputs. The useful life of the vendor relationship is 10</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Tridi’s results of operations were included in the Company's consolidated financial statements from the date of acquisition, January 2, 2023. The acquisition of Tridi was not considered material to the Company for the periods presented, and therefore, proforma information has not been presented.</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Disaggregated Revenue and Cost of Revenue 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present our revenue and cost of revenue disaggregated by line of business. Revenue from our marketplace primarily reflects the sales of parts and assemblies on our platform. Revenue from supplier services primarily includes the sale of advertising and to a lesser extent supplies, financial service products and SaaS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Revenue and cost of revenue is presented in the following tables for the three and nine months ended September 30, 2023 and 2022, respectively (in thousands):</w:t>
      </w:r>
    </w:p>
    <w:p>
      <w:pPr>
        <w:pStyle w:val="TextBody"/>
        <w:bidi w:val="0"/>
        <w:spacing w:before="120" w:after="283"/>
        <w:jc w:val="left"/>
        <w:rPr/>
      </w:pPr>
      <w:r>
        <w:rPr/>
        <w:t> </w:t>
      </w:r>
    </w:p>
    <w:tbl>
      <w:tblPr>
        <w:tblW w:w="8335" w:type="dxa"/>
        <w:jc w:val="left"/>
        <w:tblInd w:w="0" w:type="dxa"/>
        <w:tblLayout w:type="fixed"/>
        <w:tblCellMar>
          <w:top w:w="28" w:type="dxa"/>
          <w:left w:w="28" w:type="dxa"/>
          <w:bottom w:w="28" w:type="dxa"/>
          <w:right w:w="28" w:type="dxa"/>
        </w:tblCellMar>
      </w:tblPr>
      <w:tblGrid>
        <w:gridCol w:w="1591"/>
        <w:gridCol w:w="146"/>
        <w:gridCol w:w="303"/>
        <w:gridCol w:w="1122"/>
        <w:gridCol w:w="209"/>
        <w:gridCol w:w="209"/>
        <w:gridCol w:w="303"/>
        <w:gridCol w:w="971"/>
        <w:gridCol w:w="146"/>
        <w:gridCol w:w="146"/>
        <w:gridCol w:w="278"/>
        <w:gridCol w:w="1029"/>
        <w:gridCol w:w="192"/>
        <w:gridCol w:w="192"/>
        <w:gridCol w:w="278"/>
        <w:gridCol w:w="1029"/>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102,473</w:t>
            </w:r>
          </w:p>
        </w:tc>
        <w:tc>
          <w:tcPr>
            <w:tcW w:w="209"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282,664</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224,073</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70,578</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196,240</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158,712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31,895</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86,424</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7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Supplier Services</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7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16,454</w:t>
            </w:r>
          </w:p>
        </w:tc>
        <w:tc>
          <w:tcPr>
            <w:tcW w:w="209"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52,597</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58,784</w:t>
            </w:r>
          </w:p>
        </w:tc>
        <w:tc>
          <w:tcPr>
            <w:tcW w:w="191" w:type="dxa"/>
            <w:tcBorders/>
            <w:shd w:fill="CFF0FC"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2,100</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9,847</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14,354</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42,750</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Investment in Unconsolidated Joint Venture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receives dividends from IM, LLC, which are recorded as a reduction to the Company's investment in unconsolidated joint venture on our Condensed Consolidated Balance Sheets. For the three months ended September 30, 2023 and 2022 the Company received dividends of $0.2</w:t>
      </w:r>
      <w:r>
        <w:rPr>
          <w:rFonts w:ascii="Times New Roman" w:hAnsi="Times New Roman"/>
          <w:color w:val="000000"/>
          <w:sz w:val="20"/>
        </w:rPr>
        <w:t xml:space="preserve"> </w:t>
      </w:r>
      <w:r>
        <w:rPr>
          <w:rFonts w:ascii="Times New Roman" w:hAnsi="Times New Roman"/>
          <w:b w:val="false"/>
          <w:color w:val="000000"/>
          <w:sz w:val="20"/>
        </w:rPr>
        <w:t>million and $0.3</w:t>
      </w:r>
      <w:r>
        <w:rPr>
          <w:rFonts w:ascii="Times New Roman" w:hAnsi="Times New Roman"/>
          <w:color w:val="000000"/>
          <w:sz w:val="20"/>
        </w:rPr>
        <w:t xml:space="preserve"> </w:t>
      </w:r>
      <w:r>
        <w:rPr>
          <w:rFonts w:ascii="Times New Roman" w:hAnsi="Times New Roman"/>
          <w:b w:val="false"/>
          <w:color w:val="000000"/>
          <w:sz w:val="20"/>
        </w:rPr>
        <w:t>million, respectively, and for the nine months ended September 30, 2023 and 2022 the Company received dividends of $0.3</w:t>
      </w:r>
      <w:r>
        <w:rPr>
          <w:rFonts w:ascii="Times New Roman" w:hAnsi="Times New Roman"/>
          <w:color w:val="000000"/>
          <w:sz w:val="20"/>
        </w:rPr>
        <w:t xml:space="preserve"> </w:t>
      </w:r>
      <w:r>
        <w:rPr>
          <w:rFonts w:ascii="Times New Roman" w:hAnsi="Times New Roman"/>
          <w:b w:val="false"/>
          <w:color w:val="000000"/>
          <w:sz w:val="20"/>
        </w:rPr>
        <w:t>million and $0.5</w:t>
      </w:r>
      <w:r>
        <w:rPr>
          <w:rFonts w:ascii="Times New Roman" w:hAnsi="Times New Roman"/>
          <w:color w:val="000000"/>
          <w:sz w:val="20"/>
        </w:rPr>
        <w:t xml:space="preserve"> </w:t>
      </w:r>
      <w:r>
        <w:rPr>
          <w:rFonts w:ascii="Times New Roman" w:hAnsi="Times New Roman"/>
          <w:b w:val="false"/>
          <w:color w:val="000000"/>
          <w:sz w:val="20"/>
        </w:rPr>
        <w:t>million, respectively. The Company recorded expense to IM, LLC of $0.1</w:t>
      </w:r>
      <w:r>
        <w:rPr>
          <w:rFonts w:ascii="Times New Roman" w:hAnsi="Times New Roman"/>
          <w:color w:val="000000"/>
          <w:sz w:val="20"/>
        </w:rPr>
        <w:t xml:space="preserve"> </w:t>
      </w:r>
      <w:r>
        <w:rPr>
          <w:rFonts w:ascii="Times New Roman" w:hAnsi="Times New Roman"/>
          <w:b w:val="false"/>
          <w:color w:val="000000"/>
          <w:sz w:val="20"/>
        </w:rPr>
        <w:t>million and $0.1</w:t>
      </w:r>
      <w:r>
        <w:rPr>
          <w:rFonts w:ascii="Times New Roman" w:hAnsi="Times New Roman"/>
          <w:color w:val="000000"/>
          <w:sz w:val="20"/>
        </w:rPr>
        <w:t xml:space="preserve"> </w:t>
      </w:r>
      <w:r>
        <w:rPr>
          <w:rFonts w:ascii="Times New Roman" w:hAnsi="Times New Roman"/>
          <w:b w:val="false"/>
          <w:color w:val="000000"/>
          <w:sz w:val="20"/>
        </w:rPr>
        <w:t>million, respectively for the three months ended September 30, 2023 and 2022 and $0.2</w:t>
      </w:r>
      <w:r>
        <w:rPr>
          <w:rFonts w:ascii="Times New Roman" w:hAnsi="Times New Roman"/>
          <w:color w:val="000000"/>
          <w:sz w:val="20"/>
        </w:rPr>
        <w:t xml:space="preserve"> </w:t>
      </w:r>
      <w:r>
        <w:rPr>
          <w:rFonts w:ascii="Times New Roman" w:hAnsi="Times New Roman"/>
          <w:b w:val="false"/>
          <w:color w:val="000000"/>
          <w:sz w:val="20"/>
        </w:rPr>
        <w:t>million and $0.1</w:t>
      </w:r>
      <w:r>
        <w:rPr>
          <w:rFonts w:ascii="Times New Roman" w:hAnsi="Times New Roman"/>
          <w:color w:val="000000"/>
          <w:sz w:val="20"/>
        </w:rPr>
        <w:t xml:space="preserve"> </w:t>
      </w:r>
      <w:r>
        <w:rPr>
          <w:rFonts w:ascii="Times New Roman" w:hAnsi="Times New Roman"/>
          <w:b w:val="false"/>
          <w:color w:val="000000"/>
          <w:sz w:val="20"/>
        </w:rPr>
        <w:t>million, respectively, for the nine months ended September 30, 2023 and 2022.</w:t>
      </w:r>
    </w:p>
    <w:p>
      <w:pPr>
        <w:pStyle w:val="TextBody"/>
        <w:bidi w:val="0"/>
        <w:spacing w:before="120" w:after="283"/>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color w:val="000000"/>
          <w:sz w:val="20"/>
        </w:rPr>
        <w:t>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w:t>
      </w:r>
      <w:r>
        <w:rPr>
          <w:rFonts w:ascii="Times New Roman" w:hAnsi="Times New Roman"/>
          <w:color w:val="000000"/>
          <w:sz w:val="20"/>
        </w:rPr>
        <w:t xml:space="preserve"> </w:t>
      </w:r>
      <w:r>
        <w:rPr>
          <w:rFonts w:ascii="Times New Roman" w:hAnsi="Times New Roman"/>
          <w:b w:val="false"/>
          <w:color w:val="000000"/>
          <w:sz w:val="20"/>
        </w:rPr>
        <w:t>additional awards may be granted under the 2016 Equity Incentive Plan, however, outstanding awards continue in full effect in accordance with their existing terms.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there were 5,953,225</w:t>
      </w:r>
      <w:r>
        <w:rPr>
          <w:rFonts w:ascii="Times New Roman" w:hAnsi="Times New Roman"/>
          <w:color w:val="000000"/>
          <w:sz w:val="20"/>
        </w:rPr>
        <w:t xml:space="preserve"> </w:t>
      </w:r>
      <w:r>
        <w:rPr>
          <w:rFonts w:ascii="Times New Roman" w:hAnsi="Times New Roman"/>
          <w:b w:val="false"/>
          <w:color w:val="000000"/>
          <w:sz w:val="20"/>
        </w:rPr>
        <w:t>shares available for the Company to grant under the 2021 Equity Incentive Plan.</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weighted average assumptions for the nine months ended September 30, 2023 and 2022 are provided in the following table.</w:t>
      </w:r>
      <w:r>
        <w:rPr>
          <w:rFonts w:ascii="Times New Roman" w:hAnsi="Times New Roman"/>
          <w:color w:val="000000"/>
          <w:sz w:val="20"/>
        </w:rPr>
        <w:t xml:space="preserve"> </w:t>
      </w:r>
    </w:p>
    <w:tbl>
      <w:tblPr>
        <w:tblW w:w="5587" w:type="dxa"/>
        <w:jc w:val="left"/>
        <w:tblInd w:w="0" w:type="dxa"/>
        <w:tblLayout w:type="fixed"/>
        <w:tblCellMar>
          <w:top w:w="28" w:type="dxa"/>
          <w:left w:w="28" w:type="dxa"/>
          <w:bottom w:w="28" w:type="dxa"/>
          <w:right w:w="28" w:type="dxa"/>
        </w:tblCellMar>
      </w:tblPr>
      <w:tblGrid>
        <w:gridCol w:w="2331"/>
        <w:gridCol w:w="146"/>
        <w:gridCol w:w="276"/>
        <w:gridCol w:w="748"/>
        <w:gridCol w:w="355"/>
        <w:gridCol w:w="191"/>
        <w:gridCol w:w="276"/>
        <w:gridCol w:w="748"/>
        <w:gridCol w:w="516"/>
      </w:tblGrid>
      <w:tr>
        <w:trPr/>
        <w:tc>
          <w:tcPr>
            <w:tcW w:w="2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Valuation assumptions:</w:t>
            </w:r>
          </w:p>
        </w:tc>
        <w:tc>
          <w:tcPr>
            <w:tcW w:w="146" w:type="dxa"/>
            <w:tcBorders/>
            <w:shd w:fill="CFF0FC" w:val="clear"/>
            <w:vAlign w:val="center"/>
          </w:tcPr>
          <w:p>
            <w:pPr>
              <w:pStyle w:val="TableContents"/>
              <w:bidi w:val="0"/>
              <w:spacing w:before="0" w:after="283"/>
              <w:jc w:val="left"/>
              <w:rPr/>
            </w:pPr>
            <w:r>
              <w:rPr/>
              <w:t> </w:t>
            </w:r>
          </w:p>
        </w:tc>
        <w:tc>
          <w:tcPr>
            <w:tcW w:w="1024" w:type="dxa"/>
            <w:gridSpan w:val="2"/>
            <w:tcBorders/>
            <w:shd w:fill="CFF0FC" w:val="clear"/>
            <w:vAlign w:val="center"/>
          </w:tcPr>
          <w:p>
            <w:pPr>
              <w:pStyle w:val="TableContents"/>
              <w:bidi w:val="0"/>
              <w:spacing w:before="0" w:after="283"/>
              <w:jc w:val="right"/>
              <w:rPr/>
            </w:pPr>
            <w:r>
              <w:rPr/>
              <w:t> </w:t>
            </w:r>
          </w:p>
        </w:tc>
        <w:tc>
          <w:tcPr>
            <w:tcW w:w="355" w:type="dxa"/>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left"/>
              <w:rPr/>
            </w:pPr>
            <w:r>
              <w:rPr/>
              <w:t> </w:t>
            </w:r>
          </w:p>
        </w:tc>
        <w:tc>
          <w:tcPr>
            <w:tcW w:w="1024"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23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024" w:type="dxa"/>
            <w:gridSpan w:val="2"/>
            <w:tcBorders/>
            <w:shd w:fill="FFFFFF" w:val="clear"/>
            <w:vAlign w:val="center"/>
          </w:tcPr>
          <w:p>
            <w:pPr>
              <w:pStyle w:val="TableContents"/>
              <w:bidi w:val="0"/>
              <w:spacing w:before="0" w:after="283"/>
              <w:jc w:val="right"/>
              <w:rPr>
                <w:color w:val="000000"/>
              </w:rPr>
            </w:pPr>
            <w:r>
              <w:rPr>
                <w:color w:val="000000"/>
              </w:rPr>
              <w:t>—</w:t>
            </w:r>
            <w:r>
              <w:rPr>
                <w:rFonts w:ascii="Times New Roman" w:hAnsi="Times New Roman"/>
                <w:b w:val="false"/>
                <w:color w:val="000000"/>
                <w:sz w:val="20"/>
              </w:rPr>
              <w:t>%</w:t>
            </w:r>
          </w:p>
        </w:tc>
        <w:tc>
          <w:tcPr>
            <w:tcW w:w="355"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024" w:type="dxa"/>
            <w:gridSpan w:val="2"/>
            <w:tcBorders/>
            <w:shd w:fill="FFFFFF" w:val="clear"/>
            <w:vAlign w:val="center"/>
          </w:tcPr>
          <w:p>
            <w:pPr>
              <w:pStyle w:val="TableContents"/>
              <w:bidi w:val="0"/>
              <w:spacing w:before="0" w:after="283"/>
              <w:jc w:val="right"/>
              <w:rPr>
                <w:color w:val="000000"/>
              </w:rPr>
            </w:pPr>
            <w:r>
              <w:rPr>
                <w:color w:val="000000"/>
              </w:rPr>
              <w:t>—</w:t>
            </w:r>
            <w:r>
              <w:rPr>
                <w:rFonts w:ascii="Times New Roman" w:hAnsi="Times New Roman"/>
                <w:b w:val="false"/>
                <w:color w:val="000000"/>
                <w:sz w:val="20"/>
              </w:rPr>
              <w:t>%</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23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35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23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Fair value of share</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15.82</w:t>
            </w:r>
          </w:p>
        </w:tc>
        <w:tc>
          <w:tcPr>
            <w:tcW w:w="35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34.86</w:t>
            </w:r>
          </w:p>
        </w:tc>
        <w:tc>
          <w:tcPr>
            <w:tcW w:w="5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 summary of the status of the Company’s stock option activity and the changes during the nine months ended September 30, 2023, are as follows (in millions, except share and per share amounts):</w:t>
      </w:r>
      <w:r>
        <w:rPr>
          <w:rFonts w:ascii="Times New Roman" w:hAnsi="Times New Roman"/>
          <w:color w:val="000000"/>
          <w:sz w:val="20"/>
        </w:rPr>
        <w:t xml:space="preserve"> </w:t>
      </w:r>
    </w:p>
    <w:p>
      <w:pPr>
        <w:pStyle w:val="TextBody"/>
        <w:bidi w:val="0"/>
        <w:jc w:val="left"/>
        <w:rPr/>
      </w:pPr>
      <w:r>
        <w:rPr/>
        <w:t> </w:t>
      </w:r>
    </w:p>
    <w:tbl>
      <w:tblPr>
        <w:tblW w:w="8663"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229"/>
        <w:gridCol w:w="896"/>
        <w:gridCol w:w="146"/>
        <w:gridCol w:w="146"/>
        <w:gridCol w:w="285"/>
        <w:gridCol w:w="706"/>
        <w:gridCol w:w="146"/>
        <w:gridCol w:w="146"/>
        <w:gridCol w:w="271"/>
        <w:gridCol w:w="600"/>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1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Exercisable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1,391,047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w:t>
            </w:r>
          </w:p>
        </w:tc>
        <w:tc>
          <w:tcPr>
            <w:tcW w:w="3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2,841,419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428,278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(189,404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(141,900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2,931,092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3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Exercisable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1,796,986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weighted average grant date fair value of options granted during the nine months ended September 30, 2023 and 2022, was $11.37</w:t>
      </w:r>
      <w:r>
        <w:rPr>
          <w:rFonts w:ascii="Times New Roman" w:hAnsi="Times New Roman"/>
          <w:color w:val="000000"/>
          <w:sz w:val="20"/>
        </w:rPr>
        <w:t xml:space="preserve"> </w:t>
      </w:r>
      <w:r>
        <w:rPr>
          <w:rFonts w:ascii="Times New Roman" w:hAnsi="Times New Roman"/>
          <w:b w:val="false"/>
          <w:color w:val="000000"/>
          <w:sz w:val="20"/>
        </w:rPr>
        <w:t>and $21.08, respectively. The total intrinsic value of options exercised during the nine months ended September 30, 2023 and 2022, was $2.5</w:t>
      </w:r>
      <w:r>
        <w:rPr>
          <w:rFonts w:ascii="Times New Roman" w:hAnsi="Times New Roman"/>
          <w:color w:val="000000"/>
          <w:sz w:val="20"/>
        </w:rPr>
        <w:t xml:space="preserve"> </w:t>
      </w:r>
      <w:r>
        <w:rPr>
          <w:rFonts w:ascii="Times New Roman" w:hAnsi="Times New Roman"/>
          <w:b w:val="false"/>
          <w:color w:val="000000"/>
          <w:sz w:val="20"/>
        </w:rPr>
        <w:t>million and $22.0</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At September 30, 2023, there was approximately $16.0</w:t>
      </w:r>
      <w:r>
        <w:rPr>
          <w:rFonts w:ascii="Times New Roman" w:hAnsi="Times New Roman"/>
          <w:color w:val="000000"/>
          <w:sz w:val="20"/>
        </w:rPr>
        <w:t xml:space="preserve"> </w:t>
      </w:r>
      <w:r>
        <w:rPr>
          <w:rFonts w:ascii="Times New Roman" w:hAnsi="Times New Roman"/>
          <w:b w:val="false"/>
          <w:color w:val="000000"/>
          <w:sz w:val="20"/>
        </w:rPr>
        <w:t>million of total unrecognized compensation cost related to unvested stock options. That cost is expected to be recognized over a weighted average period of approximately two years</w:t>
      </w:r>
      <w:r>
        <w:rPr>
          <w:rFonts w:ascii="Times New Roman" w:hAnsi="Times New Roman"/>
          <w:color w:val="000000"/>
          <w:sz w:val="20"/>
        </w:rPr>
        <w:t xml:space="preserve"> </w:t>
      </w:r>
      <w:r>
        <w:rPr>
          <w:rFonts w:ascii="Times New Roman" w:hAnsi="Times New Roman"/>
          <w:b w:val="false"/>
          <w:color w:val="000000"/>
          <w:sz w:val="20"/>
        </w:rPr>
        <w:t>as of September 30, 2023.</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currently uses authorized and unissued shares to satisfy share award exercises.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summary of the status of the Company’s restricted stock unit activity and the changes during the nine months ended September 30, 2023 are as follows (in millions, except share and per share amounts):</w:t>
      </w:r>
      <w:r>
        <w:rPr>
          <w:rFonts w:ascii="Times New Roman" w:hAnsi="Times New Roman"/>
          <w:color w:val="000000"/>
          <w:sz w:val="20"/>
        </w:rPr>
        <w:t xml:space="preserve"> </w:t>
      </w:r>
    </w:p>
    <w:p>
      <w:pPr>
        <w:pStyle w:val="TextBody"/>
        <w:bidi w:val="0"/>
        <w:spacing w:before="120" w:after="283"/>
        <w:jc w:val="left"/>
        <w:rPr/>
      </w:pPr>
      <w:r>
        <w:rPr/>
        <w:t> </w:t>
      </w:r>
    </w:p>
    <w:tbl>
      <w:tblPr>
        <w:tblW w:w="8890" w:type="dxa"/>
        <w:jc w:val="left"/>
        <w:tblInd w:w="0" w:type="dxa"/>
        <w:tblLayout w:type="fixed"/>
        <w:tblCellMar>
          <w:top w:w="28" w:type="dxa"/>
          <w:left w:w="28" w:type="dxa"/>
          <w:bottom w:w="28" w:type="dxa"/>
          <w:right w:w="28" w:type="dxa"/>
        </w:tblCellMar>
      </w:tblPr>
      <w:tblGrid>
        <w:gridCol w:w="3466"/>
        <w:gridCol w:w="146"/>
        <w:gridCol w:w="146"/>
        <w:gridCol w:w="931"/>
        <w:gridCol w:w="166"/>
        <w:gridCol w:w="146"/>
        <w:gridCol w:w="516"/>
        <w:gridCol w:w="2019"/>
        <w:gridCol w:w="146"/>
        <w:gridCol w:w="146"/>
        <w:gridCol w:w="271"/>
        <w:gridCol w:w="600"/>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RSUs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875,902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w:t>
            </w:r>
          </w:p>
        </w:tc>
        <w:tc>
          <w:tcPr>
            <w:tcW w:w="1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1,357,297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2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(278,149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Forfeited and 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20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RSUs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1,679,729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c>
          <w:tcPr>
            <w:tcW w:w="20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At September 30, 2023, there was approximately $34.3</w:t>
      </w:r>
      <w:r>
        <w:rPr>
          <w:rFonts w:ascii="Times New Roman" w:hAnsi="Times New Roman"/>
          <w:color w:val="000000"/>
          <w:sz w:val="20"/>
        </w:rPr>
        <w:t xml:space="preserve"> </w:t>
      </w:r>
      <w:r>
        <w:rPr>
          <w:rFonts w:ascii="Times New Roman" w:hAnsi="Times New Roman"/>
          <w:b w:val="false"/>
          <w:color w:val="000000"/>
          <w:sz w:val="20"/>
        </w:rPr>
        <w:t>million of total unrecognized compensation cost related to unvested restricted stock units granted under the 2021 Equity Incentive Plan. That cost is expected to be recognized over a weighted average period of approximately</w:t>
      </w:r>
      <w:r>
        <w:rPr>
          <w:rFonts w:ascii="Times New Roman" w:hAnsi="Times New Roman"/>
          <w:color w:val="000000"/>
          <w:sz w:val="20"/>
        </w:rPr>
        <w:t xml:space="preserve"> </w:t>
      </w:r>
      <w:r>
        <w:rPr>
          <w:rFonts w:ascii="Times New Roman" w:hAnsi="Times New Roman"/>
          <w:b w:val="false"/>
          <w:color w:val="000000"/>
          <w:sz w:val="20"/>
        </w:rPr>
        <w:t>three years</w:t>
      </w:r>
      <w:r>
        <w:rPr>
          <w:rFonts w:ascii="Times New Roman" w:hAnsi="Times New Roman"/>
          <w:color w:val="000000"/>
          <w:sz w:val="20"/>
        </w:rPr>
        <w:t xml:space="preserve"> </w:t>
      </w:r>
      <w:r>
        <w:rPr>
          <w:rFonts w:ascii="Times New Roman" w:hAnsi="Times New Roman"/>
          <w:b w:val="false"/>
          <w:color w:val="000000"/>
          <w:sz w:val="20"/>
        </w:rPr>
        <w:t>as of September 30, 2023.</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val="false"/>
          <w:color w:val="000000"/>
          <w:sz w:val="20"/>
        </w:rPr>
        <w:t>Total stock-based compensation cost for the three and nine months ended September 30, 2023 and 2022 were as follows (in thousands):</w:t>
      </w:r>
      <w:r>
        <w:rPr>
          <w:rFonts w:ascii="Times New Roman" w:hAnsi="Times New Roman"/>
          <w:color w:val="000000"/>
          <w:sz w:val="20"/>
        </w:rPr>
        <w:t xml:space="preserve"> </w:t>
      </w:r>
    </w:p>
    <w:tbl>
      <w:tblPr>
        <w:tblW w:w="8683" w:type="dxa"/>
        <w:jc w:val="left"/>
        <w:tblInd w:w="0" w:type="dxa"/>
        <w:tblLayout w:type="fixed"/>
        <w:tblCellMar>
          <w:top w:w="28" w:type="dxa"/>
          <w:left w:w="28" w:type="dxa"/>
          <w:bottom w:w="28" w:type="dxa"/>
          <w:right w:w="28" w:type="dxa"/>
        </w:tblCellMar>
      </w:tblPr>
      <w:tblGrid>
        <w:gridCol w:w="2926"/>
        <w:gridCol w:w="146"/>
        <w:gridCol w:w="305"/>
        <w:gridCol w:w="826"/>
        <w:gridCol w:w="211"/>
        <w:gridCol w:w="211"/>
        <w:gridCol w:w="305"/>
        <w:gridCol w:w="826"/>
        <w:gridCol w:w="146"/>
        <w:gridCol w:w="146"/>
        <w:gridCol w:w="231"/>
        <w:gridCol w:w="742"/>
        <w:gridCol w:w="160"/>
        <w:gridCol w:w="160"/>
        <w:gridCol w:w="231"/>
        <w:gridCol w:w="742"/>
        <w:gridCol w:w="160"/>
        <w:gridCol w:w="209"/>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6" w:type="dxa"/>
            <w:gridSpan w:val="6"/>
            <w:tcBorders/>
            <w:shd w:fill="FFFFFF" w:val="cle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1,216</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3,453</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3,071</w:t>
            </w:r>
          </w:p>
        </w:tc>
        <w:tc>
          <w:tcPr>
            <w:tcW w:w="160"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1,955</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5,690</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4,879</w:t>
            </w:r>
          </w:p>
        </w:tc>
        <w:tc>
          <w:tcPr>
            <w:tcW w:w="1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1,424</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3,890</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3,119</w:t>
            </w:r>
          </w:p>
        </w:tc>
        <w:tc>
          <w:tcPr>
            <w:tcW w:w="160"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3,189</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2,979</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 compensation expense</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16,222</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14,048</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full valuation allowance has been established against our net U.S. federal and state deferred tax assets and foreign deferred tax assets, including net operating loss carryforwards.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had $0.1</w:t>
      </w:r>
      <w:r>
        <w:rPr>
          <w:rFonts w:ascii="Times New Roman" w:hAnsi="Times New Roman"/>
          <w:color w:val="000000"/>
          <w:sz w:val="20"/>
        </w:rPr>
        <w:t xml:space="preserve"> </w:t>
      </w:r>
      <w:r>
        <w:rPr>
          <w:rFonts w:ascii="Times New Roman" w:hAnsi="Times New Roman"/>
          <w:b w:val="false"/>
          <w:color w:val="000000"/>
          <w:sz w:val="20"/>
        </w:rPr>
        <w:t>million of income tax expense for the three months ended September 30, 2023, as compared to zero</w:t>
      </w:r>
      <w:r>
        <w:rPr>
          <w:rFonts w:ascii="Times New Roman" w:hAnsi="Times New Roman"/>
          <w:color w:val="000000"/>
          <w:sz w:val="20"/>
        </w:rPr>
        <w:t xml:space="preserve"> </w:t>
      </w:r>
      <w:r>
        <w:rPr>
          <w:rFonts w:ascii="Times New Roman" w:hAnsi="Times New Roman"/>
          <w:b w:val="false"/>
          <w:color w:val="000000"/>
          <w:sz w:val="20"/>
        </w:rPr>
        <w:t>income tax expense/benefit in the U.S. for the three months ended September 30, 2022. During the nine months ended September 30, 2023, the Company had $0.2</w:t>
      </w:r>
      <w:r>
        <w:rPr>
          <w:rFonts w:ascii="Times New Roman" w:hAnsi="Times New Roman"/>
          <w:color w:val="000000"/>
          <w:sz w:val="20"/>
        </w:rPr>
        <w:t xml:space="preserve"> </w:t>
      </w:r>
      <w:r>
        <w:rPr>
          <w:rFonts w:ascii="Times New Roman" w:hAnsi="Times New Roman"/>
          <w:b w:val="false"/>
          <w:color w:val="000000"/>
          <w:sz w:val="20"/>
        </w:rPr>
        <w:t>million of income tax expense in the U.S. The Company had an approximate $0.6</w:t>
      </w:r>
      <w:r>
        <w:rPr>
          <w:rFonts w:ascii="Times New Roman" w:hAnsi="Times New Roman"/>
          <w:color w:val="000000"/>
          <w:sz w:val="20"/>
        </w:rPr>
        <w:t xml:space="preserve"> </w:t>
      </w:r>
      <w:r>
        <w:rPr>
          <w:rFonts w:ascii="Times New Roman" w:hAnsi="Times New Roman"/>
          <w:b w:val="false"/>
          <w:color w:val="000000"/>
          <w:sz w:val="20"/>
        </w:rPr>
        <w:t>million income tax benefit during the same time period in 2022. This estimated annual effective tax rate of (0.45%), differs from the U.S. federal statutory rate primarily due to the effects of certain permanent items, foreign tax rate differences, and increases in the valuation allowance against deferred tax assets.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Net Operating Loss and Credit Carryforwards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December 31, 2022, the Company has net operating loss (“NOL”) carryforwards for U.S. federal income tax purposes, and similar state amounts, of approximately $224.6</w:t>
      </w:r>
      <w:r>
        <w:rPr>
          <w:rFonts w:ascii="Times New Roman" w:hAnsi="Times New Roman"/>
          <w:color w:val="000000"/>
          <w:sz w:val="20"/>
        </w:rPr>
        <w:t xml:space="preserve"> </w:t>
      </w:r>
      <w:r>
        <w:rPr>
          <w:rFonts w:ascii="Times New Roman" w:hAnsi="Times New Roman"/>
          <w:b w:val="false"/>
          <w:color w:val="000000"/>
          <w:sz w:val="20"/>
        </w:rPr>
        <w:t>million available to reduce future income subject to income taxes before limitations. As of December 31, 2022, the Company had a net operating loss carryforward for tax purposes related to its foreign subsidiaries of $33.8</w:t>
      </w:r>
      <w:r>
        <w:rPr>
          <w:rFonts w:ascii="Times New Roman" w:hAnsi="Times New Roman"/>
          <w:color w:val="000000"/>
          <w:sz w:val="20"/>
        </w:rPr>
        <w:t xml:space="preserve"> </w:t>
      </w:r>
      <w:r>
        <w:rPr>
          <w:rFonts w:ascii="Times New Roman" w:hAnsi="Times New Roman"/>
          <w:b w:val="false"/>
          <w:color w:val="000000"/>
          <w:sz w:val="20"/>
        </w:rPr>
        <w:t>million. U.S. federal net operating carryforwards generated prior to 2018 in the approximate amount of $71.9</w:t>
      </w:r>
      <w:r>
        <w:rPr>
          <w:rFonts w:ascii="Times New Roman" w:hAnsi="Times New Roman"/>
          <w:color w:val="000000"/>
          <w:sz w:val="20"/>
        </w:rPr>
        <w:t xml:space="preserve"> </w:t>
      </w:r>
      <w:r>
        <w:rPr>
          <w:rFonts w:ascii="Times New Roman" w:hAnsi="Times New Roman"/>
          <w:b w:val="false"/>
          <w:color w:val="000000"/>
          <w:sz w:val="20"/>
        </w:rPr>
        <w:t>million will begin to expire, if not utilized, in 2023. Our non-U.S.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(51,585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income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attributable to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9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number of shares outstanding used to compute net loss per share attributable to common stockholders, basic and diluted, of Class A and Class B common stock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47,989,277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47,303,090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47,852,671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47,057,521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attributable to common stockholders, basic and diluted, of Class A and Class B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pStyle w:val="TextBody"/>
        <w:bidi w:val="0"/>
        <w:jc w:val="left"/>
        <w:rPr/>
      </w:pPr>
      <w:r>
        <w:rPr/>
        <w:t> </w:t>
      </w:r>
    </w:p>
    <w:tbl>
      <w:tblPr>
        <w:tblW w:w="6444" w:type="dxa"/>
        <w:jc w:val="left"/>
        <w:tblInd w:w="0" w:type="dxa"/>
        <w:tblLayout w:type="fixed"/>
        <w:tblCellMar>
          <w:top w:w="28" w:type="dxa"/>
          <w:left w:w="28" w:type="dxa"/>
          <w:bottom w:w="28" w:type="dxa"/>
          <w:right w:w="28" w:type="dxa"/>
        </w:tblCellMar>
      </w:tblPr>
      <w:tblGrid>
        <w:gridCol w:w="3556"/>
        <w:gridCol w:w="146"/>
        <w:gridCol w:w="146"/>
        <w:gridCol w:w="1036"/>
        <w:gridCol w:w="146"/>
        <w:gridCol w:w="146"/>
        <w:gridCol w:w="146"/>
        <w:gridCol w:w="931"/>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2,931,092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2,865,598</w:t>
            </w:r>
          </w:p>
        </w:tc>
        <w:tc>
          <w:tcPr>
            <w:tcW w:w="19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1,679,729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841,153</w:t>
            </w:r>
          </w:p>
        </w:tc>
        <w:tc>
          <w:tcPr>
            <w:tcW w:w="19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87,784</w:t>
            </w:r>
          </w:p>
        </w:tc>
        <w:tc>
          <w:tcPr>
            <w:tcW w:w="19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reserved for charitable contribution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261,727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301,993</w:t>
            </w:r>
          </w:p>
        </w:tc>
        <w:tc>
          <w:tcPr>
            <w:tcW w:w="19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Convertible notes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5,123,624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5,123,624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shares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10,083,956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9,220,152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(13)</w:t>
      </w:r>
      <w:r>
        <w:rPr>
          <w:rFonts w:ascii="Times New Roman" w:hAnsi="Times New Roman"/>
          <w:color w:val="000000"/>
          <w:sz w:val="20"/>
        </w:rPr>
        <w:t xml:space="preserve"> </w:t>
      </w:r>
      <w:r>
        <w:rPr>
          <w:rFonts w:ascii="Times New Roman" w:hAnsi="Times New Roman"/>
          <w:b/>
          <w:color w:val="000000"/>
          <w:sz w:val="20"/>
        </w:rPr>
        <w:t>Debt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2027 Convertible Notes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2022, we entered into a purchase agreement with certain counterparties for the sale of an aggregate of $287.5</w:t>
      </w:r>
      <w:r>
        <w:rPr>
          <w:rFonts w:ascii="Times New Roman" w:hAnsi="Times New Roman"/>
          <w:color w:val="000000"/>
          <w:sz w:val="20"/>
        </w:rPr>
        <w:t xml:space="preserve"> </w:t>
      </w:r>
      <w:r>
        <w:rPr>
          <w:rFonts w:ascii="Times New Roman" w:hAnsi="Times New Roman"/>
          <w:b w:val="false"/>
          <w:color w:val="000000"/>
          <w:sz w:val="20"/>
        </w:rPr>
        <w:t>million principal amount of convertible senior notes due in 2027 (the “2027 Notes”) in a private offering to qualified institutional buyers pursuant to Rule 144A under the Securities Act of 1933, as amended (the “Securities Act”). The 2027 Notes consisted of a $250</w:t>
      </w:r>
      <w:r>
        <w:rPr>
          <w:rFonts w:ascii="Times New Roman" w:hAnsi="Times New Roman"/>
          <w:color w:val="000000"/>
          <w:sz w:val="20"/>
        </w:rPr>
        <w:t xml:space="preserve"> </w:t>
      </w:r>
      <w:r>
        <w:rPr>
          <w:rFonts w:ascii="Times New Roman" w:hAnsi="Times New Roman"/>
          <w:b w:val="false"/>
          <w:color w:val="000000"/>
          <w:sz w:val="20"/>
        </w:rPr>
        <w:t>million initial placement and an over-allotment option that provided the initial purchasers of the 2027 Notes with the option to purchase an additional $37.5</w:t>
      </w:r>
      <w:r>
        <w:rPr>
          <w:rFonts w:ascii="Times New Roman" w:hAnsi="Times New Roman"/>
          <w:color w:val="000000"/>
          <w:sz w:val="20"/>
        </w:rPr>
        <w:t xml:space="preserve"> </w:t>
      </w:r>
      <w:r>
        <w:rPr>
          <w:rFonts w:ascii="Times New Roman" w:hAnsi="Times New Roman"/>
          <w:b w:val="false"/>
          <w:color w:val="000000"/>
          <w:sz w:val="20"/>
        </w:rPr>
        <w:t>million aggregate principal amount of the 2027 Notes, which was fully exercised. The 2027 Notes were issued pursuant to an indenture dated February 4, 2022. The net proceeds from the issuance of the 2027 Notes were $278.2</w:t>
      </w:r>
      <w:r>
        <w:rPr>
          <w:rFonts w:ascii="Times New Roman" w:hAnsi="Times New Roman"/>
          <w:color w:val="000000"/>
          <w:sz w:val="20"/>
        </w:rPr>
        <w:t xml:space="preserve"> </w:t>
      </w:r>
      <w:r>
        <w:rPr>
          <w:rFonts w:ascii="Times New Roman" w:hAnsi="Times New Roman"/>
          <w:b w:val="false"/>
          <w:color w:val="000000"/>
          <w:sz w:val="20"/>
        </w:rPr>
        <w:t>million, net of debt issuance costs. The debt issuance costs are amortized to interest expense using the effective interest rate method.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2027 Notes are unsecured obligations which bear regular interest at 1% per annum and for which the principal balance will not accrete. Interest payment are due on February 1 and August 1 of each year the Notes remain outstanding. The 2027 Notes will mature on February 1, 2027</w:t>
      </w:r>
      <w:r>
        <w:rPr>
          <w:rFonts w:ascii="Times New Roman" w:hAnsi="Times New Roman"/>
          <w:color w:val="000000"/>
          <w:sz w:val="20"/>
        </w:rPr>
        <w:t xml:space="preserve"> </w:t>
      </w:r>
      <w:r>
        <w:rPr>
          <w:rFonts w:ascii="Times New Roman" w:hAnsi="Times New Roman"/>
          <w:b w:val="false"/>
          <w:color w:val="000000"/>
          <w:sz w:val="20"/>
        </w:rPr>
        <w:t>unless repurchased, redeemed, or converted in accordance with their terms prior to such date.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2027 Notes are convertible into cash, shares of our Class A common stock, or a combination of cash and shares of our Class A common stock, at our election, at an initial conversion rate of 17.8213</w:t>
      </w:r>
      <w:r>
        <w:rPr>
          <w:rFonts w:ascii="Times New Roman" w:hAnsi="Times New Roman"/>
          <w:color w:val="000000"/>
          <w:sz w:val="20"/>
        </w:rPr>
        <w:t xml:space="preserve"> </w:t>
      </w:r>
      <w:r>
        <w:rPr>
          <w:rFonts w:ascii="Times New Roman" w:hAnsi="Times New Roman"/>
          <w:b w:val="false"/>
          <w:color w:val="000000"/>
          <w:sz w:val="20"/>
        </w:rPr>
        <w:t>shares of Class A common stock per $1,000</w:t>
      </w:r>
      <w:r>
        <w:rPr>
          <w:rFonts w:ascii="Times New Roman" w:hAnsi="Times New Roman"/>
          <w:color w:val="000000"/>
          <w:sz w:val="20"/>
        </w:rPr>
        <w:t xml:space="preserve"> </w:t>
      </w:r>
      <w:r>
        <w:rPr>
          <w:rFonts w:ascii="Times New Roman" w:hAnsi="Times New Roman"/>
          <w:b w:val="false"/>
          <w:color w:val="000000"/>
          <w:sz w:val="20"/>
        </w:rPr>
        <w:t>principal amount of 2027 Notes, which is equivalent to an initial conversion price of approximately $56.11</w:t>
      </w:r>
      <w:r>
        <w:rPr>
          <w:rFonts w:ascii="Times New Roman" w:hAnsi="Times New Roman"/>
          <w:color w:val="000000"/>
          <w:sz w:val="20"/>
        </w:rPr>
        <w:t xml:space="preserve"> </w:t>
      </w:r>
      <w:r>
        <w:rPr>
          <w:rFonts w:ascii="Times New Roman" w:hAnsi="Times New Roman"/>
          <w:b w:val="false"/>
          <w:color w:val="000000"/>
          <w:sz w:val="20"/>
        </w:rPr>
        <w:t>per share of our Class A common stock. The conversion rate is subject to customary adjustments for certain events as described in the indenture governing the 2027 Notes.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redeem for cash all or any portion of the 2027 Notes, at our option, on or after February 5, 2025 if the last reported sale price of our Class A common stock has been at least 130% of the conversion price then in effect for at least 20</w:t>
      </w:r>
      <w:r>
        <w:rPr>
          <w:rFonts w:ascii="Times New Roman" w:hAnsi="Times New Roman"/>
          <w:color w:val="000000"/>
          <w:sz w:val="20"/>
        </w:rPr>
        <w:t xml:space="preserve"> </w:t>
      </w:r>
      <w:r>
        <w:rPr>
          <w:rFonts w:ascii="Times New Roman" w:hAnsi="Times New Roman"/>
          <w:b w:val="false"/>
          <w:color w:val="000000"/>
          <w:sz w:val="20"/>
        </w:rPr>
        <w:t>trading days at a redemption price equal to 100% of the principal amount of the 2027 Notes to be redeemed, plus accrued and unpaid interest or additional interest, if any.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Holders of the 2027 Notes may convert all or a portion of their 2027 Notes at their option prior to November 1, 2026, in multiples of $1,000</w:t>
      </w:r>
      <w:r>
        <w:rPr>
          <w:rFonts w:ascii="Times New Roman" w:hAnsi="Times New Roman"/>
          <w:color w:val="000000"/>
          <w:sz w:val="20"/>
        </w:rPr>
        <w:t xml:space="preserve"> </w:t>
      </w:r>
      <w:r>
        <w:rPr>
          <w:rFonts w:ascii="Times New Roman" w:hAnsi="Times New Roman"/>
          <w:b w:val="false"/>
          <w:color w:val="000000"/>
          <w:sz w:val="20"/>
        </w:rPr>
        <w:t>principal amounts, only under the following circumstances: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val="false"/>
          <w:color w:val="000000"/>
          <w:sz w:val="20"/>
        </w:rPr>
        <w:t>if the last reported sale price of our Class A common stock for at least 20</w:t>
      </w:r>
      <w:r>
        <w:rPr>
          <w:color w:val="000000"/>
        </w:rPr>
        <w:t xml:space="preserve"> </w:t>
      </w:r>
      <w:r>
        <w:rPr>
          <w:rFonts w:ascii="Times New Roman" w:hAnsi="Times New Roman"/>
          <w:b w:val="false"/>
          <w:color w:val="000000"/>
          <w:sz w:val="20"/>
        </w:rPr>
        <w:t>trading days (whether or not consecutive) during the period of 30</w:t>
      </w:r>
      <w:r>
        <w:rPr>
          <w:color w:val="000000"/>
        </w:rPr>
        <w:t xml:space="preserve"> </w:t>
      </w:r>
      <w:r>
        <w:rPr>
          <w:rFonts w:ascii="Times New Roman" w:hAnsi="Times New Roman"/>
          <w:b w:val="false"/>
          <w:color w:val="000000"/>
          <w:sz w:val="20"/>
        </w:rPr>
        <w:t>consecutive trading days ending on the last trading day of the preceding calendar quarter is greater than or equal to 130% of the applicable conversion price of the 2027 Notes on each such trading day;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val="false"/>
          <w:color w:val="000000"/>
          <w:sz w:val="20"/>
        </w:rPr>
        <w:t>during the five</w:t>
      </w:r>
      <w:r>
        <w:rPr>
          <w:color w:val="000000"/>
        </w:rPr>
        <w:t xml:space="preserve"> </w:t>
      </w:r>
      <w:r>
        <w:rPr>
          <w:rFonts w:ascii="Times New Roman" w:hAnsi="Times New Roman"/>
          <w:b w:val="false"/>
          <w:color w:val="000000"/>
          <w:sz w:val="20"/>
        </w:rPr>
        <w:t>business day period after any ten</w:t>
      </w:r>
      <w:r>
        <w:rPr>
          <w:color w:val="000000"/>
        </w:rPr>
        <w:t xml:space="preserve"> </w:t>
      </w:r>
      <w:r>
        <w:rPr>
          <w:rFonts w:ascii="Times New Roman" w:hAnsi="Times New Roman"/>
          <w:b w:val="false"/>
          <w:color w:val="000000"/>
          <w:sz w:val="20"/>
        </w:rPr>
        <w:t>consecutive trading day period in which the trading price per $1,000</w:t>
      </w:r>
      <w:r>
        <w:rPr>
          <w:color w:val="000000"/>
        </w:rPr>
        <w:t xml:space="preserve"> </w:t>
      </w:r>
      <w:r>
        <w:rPr>
          <w:rFonts w:ascii="Times New Roman" w:hAnsi="Times New Roman"/>
          <w:b w:val="false"/>
          <w:color w:val="000000"/>
          <w:sz w:val="20"/>
        </w:rPr>
        <w:t>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on the occurrence of specified corporate events. </w:t>
      </w:r>
    </w:p>
    <w:p>
      <w:pPr>
        <w:pStyle w:val="TextBody"/>
        <w:bidi w:val="0"/>
        <w:jc w:val="both"/>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or after November 1, 2026, the 2027 Notes are convertible at any time until the close of business on the second scheduled trading day immediately preceding the maturity date.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accounted for the issuance of the 2027 Notes as a single liability measured at its amortized cost, as no other embedded features require bifurcation and recognition as derivatives.</w:t>
      </w:r>
    </w:p>
    <w:p>
      <w:pPr>
        <w:pStyle w:val="TextBody"/>
        <w:bidi w:val="0"/>
        <w:spacing w:before="120" w:after="283"/>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presents the outstanding principal amount and carrying value of the 2027 Notes as of the dates indicated (in thousands):</w:t>
      </w:r>
    </w:p>
    <w:p>
      <w:pPr>
        <w:pStyle w:val="TextBody"/>
        <w:bidi w:val="0"/>
        <w:spacing w:before="120" w:after="283"/>
        <w:jc w:val="left"/>
        <w:rPr/>
      </w:pPr>
      <w:r>
        <w:rPr/>
        <w:t> </w:t>
      </w:r>
    </w:p>
    <w:tbl>
      <w:tblPr>
        <w:tblW w:w="5665" w:type="dxa"/>
        <w:jc w:val="left"/>
        <w:tblInd w:w="0" w:type="dxa"/>
        <w:tblLayout w:type="fixed"/>
        <w:tblCellMar>
          <w:top w:w="28" w:type="dxa"/>
          <w:left w:w="28" w:type="dxa"/>
          <w:bottom w:w="28" w:type="dxa"/>
          <w:right w:w="28" w:type="dxa"/>
        </w:tblCellMar>
      </w:tblPr>
      <w:tblGrid>
        <w:gridCol w:w="2761"/>
        <w:gridCol w:w="146"/>
        <w:gridCol w:w="242"/>
        <w:gridCol w:w="898"/>
        <w:gridCol w:w="166"/>
        <w:gridCol w:w="146"/>
        <w:gridCol w:w="172"/>
        <w:gridCol w:w="923"/>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9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287,500</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Unamortized debt discount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(7,044</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Unamortized debt issuance costs</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carrying value</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279,909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annual effective interest rate for the 2027 Notes was approximately 1.6%. Interest expense related to the 2027 Notes for the periods presented below was as follows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786"/>
        <w:gridCol w:w="146"/>
        <w:gridCol w:w="430"/>
        <w:gridCol w:w="1165"/>
        <w:gridCol w:w="146"/>
        <w:gridCol w:w="146"/>
        <w:gridCol w:w="430"/>
        <w:gridCol w:w="1165"/>
        <w:gridCol w:w="146"/>
        <w:gridCol w:w="146"/>
        <w:gridCol w:w="406"/>
        <w:gridCol w:w="1100"/>
        <w:gridCol w:w="146"/>
        <w:gridCol w:w="146"/>
        <w:gridCol w:w="406"/>
        <w:gridCol w:w="1100"/>
        <w:gridCol w:w="195"/>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Coupon interest</w:t>
            </w:r>
          </w:p>
        </w:tc>
        <w:tc>
          <w:tcPr>
            <w:tcW w:w="146"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1,887</w:t>
            </w:r>
          </w:p>
        </w:tc>
        <w:tc>
          <w:tcPr>
            <w:tcW w:w="195"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debt discount</w:t>
            </w:r>
          </w:p>
        </w:tc>
        <w:tc>
          <w:tcPr>
            <w:tcW w:w="146"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1,151</w:t>
            </w:r>
          </w:p>
        </w:tc>
        <w:tc>
          <w:tcPr>
            <w:tcW w:w="195" w:type="dxa"/>
            <w:tcBorders/>
            <w:shd w:fill="FFFFFF" w:val="clear"/>
            <w:vAlign w:val="center"/>
          </w:tcPr>
          <w:p>
            <w:pPr>
              <w:pStyle w:val="TableContents"/>
              <w:bidi w:val="0"/>
              <w:spacing w:before="0" w:after="283"/>
              <w:jc w:val="left"/>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transaction costs</w:t>
            </w:r>
          </w:p>
        </w:tc>
        <w:tc>
          <w:tcPr>
            <w:tcW w:w="146" w:type="dxa"/>
            <w:tcBorders/>
            <w:shd w:fill="CFF0FC" w:val="cle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interest expense</w:t>
            </w:r>
          </w:p>
        </w:tc>
        <w:tc>
          <w:tcPr>
            <w:tcW w:w="146"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6"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presents the carrying value and estimated fair value of the 2027 Notes as of the date indicated (in thousands):</w:t>
      </w:r>
    </w:p>
    <w:p>
      <w:pPr>
        <w:pStyle w:val="TextBody"/>
        <w:bidi w:val="0"/>
        <w:jc w:val="left"/>
        <w:rPr/>
      </w:pPr>
      <w:r>
        <w:rPr/>
        <w:t> </w:t>
      </w:r>
    </w:p>
    <w:tbl>
      <w:tblPr>
        <w:tblW w:w="7349" w:type="dxa"/>
        <w:jc w:val="left"/>
        <w:tblInd w:w="0" w:type="dxa"/>
        <w:tblLayout w:type="fixed"/>
        <w:tblCellMar>
          <w:top w:w="28" w:type="dxa"/>
          <w:left w:w="28" w:type="dxa"/>
          <w:bottom w:w="28" w:type="dxa"/>
          <w:right w:w="28" w:type="dxa"/>
        </w:tblCellMar>
      </w:tblPr>
      <w:tblGrid>
        <w:gridCol w:w="1216"/>
        <w:gridCol w:w="146"/>
        <w:gridCol w:w="306"/>
        <w:gridCol w:w="1134"/>
        <w:gridCol w:w="146"/>
        <w:gridCol w:w="146"/>
        <w:gridCol w:w="217"/>
        <w:gridCol w:w="803"/>
        <w:gridCol w:w="146"/>
        <w:gridCol w:w="146"/>
        <w:gridCol w:w="306"/>
        <w:gridCol w:w="1134"/>
        <w:gridCol w:w="146"/>
        <w:gridCol w:w="146"/>
        <w:gridCol w:w="217"/>
        <w:gridCol w:w="803"/>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2027 Notes</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281,305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266,487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279,909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257,671</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val="false"/>
          <w:color w:val="000000"/>
          <w:sz w:val="20"/>
        </w:rPr>
        <w:t>(1) At December 31, 2022, the fair value is estimated using a discounted cash flow analysis, using interest rate that we believe are offered for similar borrowings (a Level 3 measurement). As of September 30, 2023, the fair value of the 2027 Notes was measured using Level 2 inputs based on the frequency of trading on our debt at the end of the quarter.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December 2022 and May 2023, the Company reduced its workforce to help manage its operating expenses. During the three months ended September 30, 2023, the Company incurred no</w:t>
      </w:r>
      <w:r>
        <w:rPr>
          <w:rFonts w:ascii="Times New Roman" w:hAnsi="Times New Roman"/>
          <w:color w:val="000000"/>
          <w:sz w:val="20"/>
        </w:rPr>
        <w:t xml:space="preserve"> </w:t>
      </w:r>
      <w:r>
        <w:rPr>
          <w:rFonts w:ascii="Times New Roman" w:hAnsi="Times New Roman"/>
          <w:b w:val="false"/>
          <w:color w:val="000000"/>
          <w:sz w:val="20"/>
        </w:rPr>
        <w:t>employee termination costs. During the nine months ended September 30, 2023, the Company incurred $0.7</w:t>
      </w:r>
      <w:r>
        <w:rPr>
          <w:rFonts w:ascii="Times New Roman" w:hAnsi="Times New Roman"/>
          <w:color w:val="000000"/>
          <w:sz w:val="20"/>
        </w:rPr>
        <w:t xml:space="preserve"> </w:t>
      </w:r>
      <w:r>
        <w:rPr>
          <w:rFonts w:ascii="Times New Roman" w:hAnsi="Times New Roman"/>
          <w:b w:val="false"/>
          <w:color w:val="000000"/>
          <w:sz w:val="20"/>
        </w:rPr>
        <w:t>million for employee termination costs related to the May 2023 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shows the total amount incurred and the liability, which was recorded in accrued expenses in the Condensed Consolidated Balance Sheets, for restructuring-related employee termination benefits as of December 31, 2022 and September 30, 2023 (in thousands):</w:t>
      </w:r>
    </w:p>
    <w:p>
      <w:pPr>
        <w:pStyle w:val="TextBody"/>
        <w:bidi w:val="0"/>
        <w:jc w:val="left"/>
        <w:rPr/>
      </w:pPr>
      <w:r>
        <w:rPr/>
        <w:t> </w:t>
      </w:r>
    </w:p>
    <w:tbl>
      <w:tblPr>
        <w:tblW w:w="9268" w:type="dxa"/>
        <w:jc w:val="left"/>
        <w:tblInd w:w="0" w:type="dxa"/>
        <w:tblLayout w:type="fixed"/>
        <w:tblCellMar>
          <w:top w:w="28" w:type="dxa"/>
          <w:left w:w="28" w:type="dxa"/>
          <w:bottom w:w="28" w:type="dxa"/>
          <w:right w:w="28" w:type="dxa"/>
        </w:tblCellMar>
      </w:tblPr>
      <w:tblGrid>
        <w:gridCol w:w="6541"/>
        <w:gridCol w:w="146"/>
        <w:gridCol w:w="593"/>
        <w:gridCol w:w="1777"/>
        <w:gridCol w:w="211"/>
      </w:tblGrid>
      <w:tr>
        <w:trPr/>
        <w:tc>
          <w:tcPr>
            <w:tcW w:w="6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 Termination Benefits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0"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restructuring costs as of December 31, 2022</w:t>
            </w:r>
          </w:p>
        </w:tc>
        <w:tc>
          <w:tcPr>
            <w:tcW w:w="146"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1,549</w:t>
            </w:r>
          </w:p>
        </w:tc>
        <w:tc>
          <w:tcPr>
            <w:tcW w:w="211" w:type="dxa"/>
            <w:tcBorders/>
            <w:shd w:fill="FFFFFF" w:val="clear"/>
            <w:vAlign w:val="center"/>
          </w:tcPr>
          <w:p>
            <w:pPr>
              <w:pStyle w:val="TableContents"/>
              <w:bidi w:val="0"/>
              <w:spacing w:before="0" w:after="283"/>
              <w:jc w:val="left"/>
              <w:rPr/>
            </w:pPr>
            <w:r>
              <w:rPr/>
              <w:t> </w:t>
            </w:r>
          </w:p>
        </w:tc>
      </w:tr>
      <w:tr>
        <w:trPr/>
        <w:tc>
          <w:tcPr>
            <w:tcW w:w="6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Restructuring costs incurred during the nine months ended September 30, 2023</w:t>
            </w:r>
          </w:p>
        </w:tc>
        <w:tc>
          <w:tcPr>
            <w:tcW w:w="146"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left"/>
              <w:rPr/>
            </w:pPr>
            <w:r>
              <w:rPr/>
              <w:t> </w:t>
            </w:r>
          </w:p>
        </w:tc>
        <w:tc>
          <w:tcPr>
            <w:tcW w:w="17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738</w:t>
            </w:r>
          </w:p>
        </w:tc>
        <w:tc>
          <w:tcPr>
            <w:tcW w:w="211" w:type="dxa"/>
            <w:tcBorders/>
            <w:shd w:fill="CFF0FC" w:val="clear"/>
            <w:vAlign w:val="center"/>
          </w:tcPr>
          <w:p>
            <w:pPr>
              <w:pStyle w:val="TableContents"/>
              <w:bidi w:val="0"/>
              <w:spacing w:before="0" w:after="283"/>
              <w:jc w:val="left"/>
              <w:rPr/>
            </w:pPr>
            <w:r>
              <w:rPr/>
              <w:t> </w:t>
            </w:r>
          </w:p>
        </w:tc>
      </w:tr>
      <w:tr>
        <w:trPr/>
        <w:tc>
          <w:tcPr>
            <w:tcW w:w="65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Amount paid during the period ended September 30, 2023</w:t>
            </w:r>
          </w:p>
        </w:tc>
        <w:tc>
          <w:tcPr>
            <w:tcW w:w="146" w:type="dxa"/>
            <w:tcBorders/>
            <w:shd w:fill="FFFFFF" w:val="cle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restructuring costs as of September 30, 2023</w:t>
            </w:r>
          </w:p>
        </w:tc>
        <w:tc>
          <w:tcPr>
            <w:tcW w:w="146" w:type="dxa"/>
            <w:tcBorders/>
            <w:shd w:fill="CFF0FC" w:val="clear"/>
            <w:vAlign w:val="center"/>
          </w:tcPr>
          <w:p>
            <w:pPr>
              <w:pStyle w:val="TableContents"/>
              <w:bidi w:val="0"/>
              <w:spacing w:before="0" w:after="283"/>
              <w:jc w:val="left"/>
              <w:rPr/>
            </w:pPr>
            <w:r>
              <w:rPr/>
              <w:t> </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shows the total restructuring costs incurred during the three and nine months ended September 30, 2023 and 2022 (in thousands):</w:t>
      </w:r>
    </w:p>
    <w:tbl>
      <w:tblPr>
        <w:tblW w:w="8798" w:type="dxa"/>
        <w:jc w:val="left"/>
        <w:tblInd w:w="0" w:type="dxa"/>
        <w:tblLayout w:type="fixed"/>
        <w:tblCellMar>
          <w:top w:w="28" w:type="dxa"/>
          <w:left w:w="28" w:type="dxa"/>
          <w:bottom w:w="28" w:type="dxa"/>
          <w:right w:w="28" w:type="dxa"/>
        </w:tblCellMar>
      </w:tblPr>
      <w:tblGrid>
        <w:gridCol w:w="2311"/>
        <w:gridCol w:w="146"/>
        <w:gridCol w:w="541"/>
        <w:gridCol w:w="426"/>
        <w:gridCol w:w="374"/>
        <w:gridCol w:w="374"/>
        <w:gridCol w:w="541"/>
        <w:gridCol w:w="426"/>
        <w:gridCol w:w="146"/>
        <w:gridCol w:w="146"/>
        <w:gridCol w:w="515"/>
        <w:gridCol w:w="1029"/>
        <w:gridCol w:w="356"/>
        <w:gridCol w:w="356"/>
        <w:gridCol w:w="515"/>
        <w:gridCol w:w="405"/>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4"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5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left"/>
              <w:rPr/>
            </w:pPr>
            <w:r>
              <w:rPr/>
              <w:t> </w:t>
            </w:r>
          </w:p>
        </w:tc>
        <w:tc>
          <w:tcPr>
            <w:tcW w:w="9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7" w:type="dxa"/>
            <w:gridSpan w:val="2"/>
            <w:tcBorders/>
            <w:shd w:fill="FFFFFF" w:val="clear"/>
            <w:vAlign w:val="center"/>
          </w:tcPr>
          <w:p>
            <w:pPr>
              <w:pStyle w:val="TableContents"/>
              <w:bidi w:val="0"/>
              <w:spacing w:before="0" w:after="283"/>
              <w:jc w:val="center"/>
              <w:rPr/>
            </w:pPr>
            <w:r>
              <w:rPr/>
              <w:t> </w:t>
            </w:r>
          </w:p>
        </w:tc>
        <w:tc>
          <w:tcPr>
            <w:tcW w:w="374" w:type="dxa"/>
            <w:tcBorders/>
            <w:shd w:fill="FFFFFF" w:val="clear"/>
            <w:vAlign w:val="center"/>
          </w:tcPr>
          <w:p>
            <w:pPr>
              <w:pStyle w:val="TableContents"/>
              <w:bidi w:val="0"/>
              <w:spacing w:before="0" w:after="283"/>
              <w:jc w:val="center"/>
              <w:rPr/>
            </w:pPr>
            <w:r>
              <w:rPr/>
              <w:t> </w:t>
            </w:r>
          </w:p>
        </w:tc>
        <w:tc>
          <w:tcPr>
            <w:tcW w:w="374" w:type="dxa"/>
            <w:tcBorders/>
            <w:shd w:fill="FFFFFF" w:val="clear"/>
            <w:vAlign w:val="center"/>
          </w:tcPr>
          <w:p>
            <w:pPr>
              <w:pStyle w:val="TableContents"/>
              <w:bidi w:val="0"/>
              <w:spacing w:before="0" w:after="283"/>
              <w:jc w:val="left"/>
              <w:rPr/>
            </w:pPr>
            <w:r>
              <w:rPr/>
              <w:t> </w:t>
            </w:r>
          </w:p>
        </w:tc>
        <w:tc>
          <w:tcPr>
            <w:tcW w:w="96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4"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74"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w:t>
            </w:r>
          </w:p>
        </w:tc>
        <w:tc>
          <w:tcPr>
            <w:tcW w:w="35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5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74"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35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74"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5"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35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515"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restructure charge</w:t>
            </w:r>
          </w:p>
        </w:tc>
        <w:tc>
          <w:tcPr>
            <w:tcW w:w="146" w:type="dxa"/>
            <w:tcBorders/>
            <w:shd w:fill="CFF0FC" w:val="cle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738</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Exit from the Supplies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previously provided suppliers with access to competitively priced tools, material and supplies in the U.S. As a result of exiting the supplies business during the second quarter of 2023, the Company recognized $0.6</w:t>
      </w:r>
      <w:r>
        <w:rPr>
          <w:rFonts w:ascii="Times New Roman" w:hAnsi="Times New Roman"/>
          <w:color w:val="000000"/>
          <w:sz w:val="20"/>
        </w:rPr>
        <w:t xml:space="preserve"> </w:t>
      </w:r>
      <w:r>
        <w:rPr>
          <w:rFonts w:ascii="Times New Roman" w:hAnsi="Times New Roman"/>
          <w:b w:val="false"/>
          <w:color w:val="000000"/>
          <w:sz w:val="20"/>
        </w:rPr>
        <w:t>million of costs associated with its closure, of which $0.2</w:t>
      </w:r>
      <w:r>
        <w:rPr>
          <w:rFonts w:ascii="Times New Roman" w:hAnsi="Times New Roman"/>
          <w:color w:val="000000"/>
          <w:sz w:val="20"/>
        </w:rPr>
        <w:t xml:space="preserve"> </w:t>
      </w:r>
      <w:r>
        <w:rPr>
          <w:rFonts w:ascii="Times New Roman" w:hAnsi="Times New Roman"/>
          <w:b w:val="false"/>
          <w:color w:val="000000"/>
          <w:sz w:val="20"/>
        </w:rPr>
        <w:t>million is recognized in cost of revenue and $0.4</w:t>
      </w:r>
      <w:r>
        <w:rPr>
          <w:rFonts w:ascii="Times New Roman" w:hAnsi="Times New Roman"/>
          <w:color w:val="000000"/>
          <w:sz w:val="20"/>
        </w:rPr>
        <w:t xml:space="preserve"> </w:t>
      </w:r>
      <w:r>
        <w:rPr>
          <w:rFonts w:ascii="Times New Roman" w:hAnsi="Times New Roman"/>
          <w:b w:val="false"/>
          <w:color w:val="000000"/>
          <w:sz w:val="20"/>
        </w:rPr>
        <w:t>million is recognized in operations and support on the Condensed Consolidated Statements of Operations and Comprehensive Loss.</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Defined Contribution Plans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sponsors a defined contribution plan for qualifying employees, including a 401(k) Plan in the United States to which it makes matching contributions of 50% of participating employee contributions up to 6% of eligible income. The Company's total matching contribution to the 401(k) Plan was $0.5</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 and was $1.6</w:t>
      </w:r>
      <w:r>
        <w:rPr>
          <w:rFonts w:ascii="Times New Roman" w:hAnsi="Times New Roman"/>
          <w:color w:val="000000"/>
          <w:sz w:val="20"/>
        </w:rPr>
        <w:t xml:space="preserve"> </w:t>
      </w:r>
      <w:r>
        <w:rPr>
          <w:rFonts w:ascii="Times New Roman" w:hAnsi="Times New Roman"/>
          <w:b w:val="false"/>
          <w:color w:val="000000"/>
          <w:sz w:val="20"/>
        </w:rPr>
        <w:t>million and $1.1</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spacing w:before="120" w:after="283"/>
        <w:jc w:val="left"/>
        <w:rPr>
          <w:rFonts w:ascii="Times New Roman" w:hAnsi="Times New Roman"/>
          <w:sz w:val="20"/>
        </w:rPr>
      </w:pPr>
      <w:r>
        <w:rPr>
          <w:rFonts w:ascii="Times New Roman" w:hAnsi="Times New Roman"/>
          <w:b/>
          <w:color w:val="000000"/>
          <w:sz w:val="20"/>
        </w:rPr>
        <w:t>(14)</w:t>
      </w:r>
      <w:r>
        <w:rPr>
          <w:rFonts w:ascii="Times New Roman" w:hAnsi="Times New Roman"/>
          <w:color w:val="000000"/>
          <w:sz w:val="20"/>
        </w:rPr>
        <w:t xml:space="preserve"> </w:t>
      </w: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Xometry is organized in two</w:t>
      </w:r>
      <w:r>
        <w:rPr>
          <w:rFonts w:ascii="Times New Roman" w:hAnsi="Times New Roman"/>
          <w:color w:val="000000"/>
          <w:sz w:val="20"/>
        </w:rPr>
        <w:t xml:space="preserve"> </w:t>
      </w:r>
      <w:r>
        <w:rPr>
          <w:rFonts w:ascii="Times New Roman" w:hAnsi="Times New Roman"/>
          <w:b w:val="false"/>
          <w:color w:val="000000"/>
          <w:sz w:val="20"/>
        </w:rPr>
        <w:t>segments referred to as: (1) the U.S. and (2) International. Xometry’s operating segments are also the Company’s reportable segments. Xometry’s reportable segments, whose products and offerings are generally the same, are managed separately based on geography. Xometry’s two</w:t>
      </w:r>
      <w:r>
        <w:rPr>
          <w:rFonts w:ascii="Times New Roman" w:hAnsi="Times New Roman"/>
          <w:color w:val="000000"/>
          <w:sz w:val="20"/>
        </w:rPr>
        <w:t xml:space="preserve"> </w:t>
      </w:r>
      <w:r>
        <w:rPr>
          <w:rFonts w:ascii="Times New Roman" w:hAnsi="Times New Roman"/>
          <w:b w:val="false"/>
          <w:color w:val="000000"/>
          <w:sz w:val="20"/>
        </w:rPr>
        <w:t>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International segment. The Company’s CODM monitors assets of the consolidated Company, but does not use assets by operating segment when assessing performance or making operating segment resource decisions.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tables reflect certain segment information for the three and nine months ended September 30, 2023 and 2022 (in thousands):</w:t>
      </w:r>
      <w:r>
        <w:rPr>
          <w:rFonts w:ascii="Times New Roman" w:hAnsi="Times New Roman"/>
          <w:color w:val="000000"/>
          <w:sz w:val="20"/>
        </w:rPr>
        <w:t xml:space="preserve"> </w:t>
      </w:r>
    </w:p>
    <w:p>
      <w:pPr>
        <w:pStyle w:val="TextBody"/>
        <w:bidi w:val="0"/>
        <w:jc w:val="left"/>
        <w:rPr/>
      </w:pPr>
      <w:r>
        <w:rPr/>
        <w:t> </w:t>
      </w:r>
    </w:p>
    <w:tbl>
      <w:tblPr>
        <w:tblW w:w="7496" w:type="dxa"/>
        <w:jc w:val="left"/>
        <w:tblInd w:w="0" w:type="dxa"/>
        <w:tblLayout w:type="fixed"/>
        <w:tblCellMar>
          <w:top w:w="28" w:type="dxa"/>
          <w:left w:w="28" w:type="dxa"/>
          <w:bottom w:w="28" w:type="dxa"/>
          <w:right w:w="28" w:type="dxa"/>
        </w:tblCellMar>
      </w:tblPr>
      <w:tblGrid>
        <w:gridCol w:w="1591"/>
        <w:gridCol w:w="146"/>
        <w:gridCol w:w="249"/>
        <w:gridCol w:w="921"/>
        <w:gridCol w:w="172"/>
        <w:gridCol w:w="172"/>
        <w:gridCol w:w="249"/>
        <w:gridCol w:w="921"/>
        <w:gridCol w:w="146"/>
        <w:gridCol w:w="146"/>
        <w:gridCol w:w="240"/>
        <w:gridCol w:w="890"/>
        <w:gridCol w:w="166"/>
        <w:gridCol w:w="166"/>
        <w:gridCol w:w="240"/>
        <w:gridCol w:w="890"/>
        <w:gridCol w:w="191"/>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Revenue</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center"/>
              <w:rPr/>
            </w:pPr>
            <w:r>
              <w:rPr/>
              <w:t> </w:t>
            </w:r>
          </w:p>
        </w:tc>
        <w:tc>
          <w:tcPr>
            <w:tcW w:w="172" w:type="dxa"/>
            <w:tcBorders/>
            <w:shd w:fill="CFF0FC" w:val="clear"/>
            <w:vAlign w:val="center"/>
          </w:tcPr>
          <w:p>
            <w:pPr>
              <w:pStyle w:val="TableContents"/>
              <w:bidi w:val="0"/>
              <w:spacing w:before="0" w:after="283"/>
              <w:jc w:val="center"/>
              <w:rPr/>
            </w:pPr>
            <w:r>
              <w:rPr/>
              <w:t> </w:t>
            </w:r>
          </w:p>
        </w:tc>
        <w:tc>
          <w:tcPr>
            <w:tcW w:w="172" w:type="dxa"/>
            <w:tcBorders/>
            <w:shd w:fill="CFF0FC" w:val="clear"/>
            <w:vAlign w:val="center"/>
          </w:tcPr>
          <w:p>
            <w:pPr>
              <w:pStyle w:val="TableContents"/>
              <w:bidi w:val="0"/>
              <w:spacing w:before="0" w:after="283"/>
              <w:jc w:val="center"/>
              <w:rPr/>
            </w:pPr>
            <w:r>
              <w:rPr/>
              <w:t> </w:t>
            </w:r>
          </w:p>
        </w:tc>
        <w:tc>
          <w:tcPr>
            <w:tcW w:w="1170"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3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130"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103,379</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94,829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292,715</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258,553</w:t>
            </w:r>
          </w:p>
        </w:tc>
        <w:tc>
          <w:tcPr>
            <w:tcW w:w="191" w:type="dxa"/>
            <w:tcBorders/>
            <w:shd w:fill="FFFFFF" w:val="clear"/>
            <w:vAlign w:val="center"/>
          </w:tcPr>
          <w:p>
            <w:pPr>
              <w:pStyle w:val="TableContents"/>
              <w:bidi w:val="0"/>
              <w:spacing w:before="0" w:after="283"/>
              <w:jc w:val="left"/>
              <w:rPr/>
            </w:pPr>
            <w:r>
              <w:rPr/>
              <w:t> </w:t>
            </w:r>
          </w:p>
        </w:tc>
      </w:tr>
      <w:tr>
        <w:trPr/>
        <w:tc>
          <w:tcPr>
            <w:tcW w:w="15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International</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15,548</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118,927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282,857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57" w:type="dxa"/>
        <w:jc w:val="left"/>
        <w:tblInd w:w="0" w:type="dxa"/>
        <w:tblLayout w:type="fixed"/>
        <w:tblCellMar>
          <w:top w:w="28" w:type="dxa"/>
          <w:left w:w="28" w:type="dxa"/>
          <w:bottom w:w="28" w:type="dxa"/>
          <w:right w:w="28" w:type="dxa"/>
        </w:tblCellMar>
      </w:tblPr>
      <w:tblGrid>
        <w:gridCol w:w="1411"/>
        <w:gridCol w:w="146"/>
        <w:gridCol w:w="256"/>
        <w:gridCol w:w="896"/>
        <w:gridCol w:w="202"/>
        <w:gridCol w:w="177"/>
        <w:gridCol w:w="256"/>
        <w:gridCol w:w="896"/>
        <w:gridCol w:w="166"/>
        <w:gridCol w:w="146"/>
        <w:gridCol w:w="248"/>
        <w:gridCol w:w="866"/>
        <w:gridCol w:w="195"/>
        <w:gridCol w:w="171"/>
        <w:gridCol w:w="248"/>
        <w:gridCol w:w="866"/>
        <w:gridCol w:w="21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Segment Losses</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center"/>
              <w:rPr/>
            </w:pPr>
            <w:r>
              <w:rPr/>
              <w:t> </w:t>
            </w:r>
          </w:p>
        </w:tc>
        <w:tc>
          <w:tcPr>
            <w:tcW w:w="202" w:type="dxa"/>
            <w:tcBorders/>
            <w:shd w:fill="CFF0FC" w:val="clear"/>
            <w:vAlign w:val="center"/>
          </w:tcPr>
          <w:p>
            <w:pPr>
              <w:pStyle w:val="TableContents"/>
              <w:bidi w:val="0"/>
              <w:spacing w:before="0" w:after="283"/>
              <w:jc w:val="center"/>
              <w:rPr/>
            </w:pPr>
            <w:r>
              <w:rPr/>
              <w:t> </w:t>
            </w:r>
          </w:p>
        </w:tc>
        <w:tc>
          <w:tcPr>
            <w:tcW w:w="177"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center"/>
              <w:rPr/>
            </w:pPr>
            <w:r>
              <w:rPr/>
              <w:t> </w:t>
            </w:r>
          </w:p>
        </w:tc>
        <w:tc>
          <w:tcPr>
            <w:tcW w:w="195" w:type="dxa"/>
            <w:tcBorders/>
            <w:shd w:fill="CFF0FC" w:val="clear"/>
            <w:vAlign w:val="center"/>
          </w:tcPr>
          <w:p>
            <w:pPr>
              <w:pStyle w:val="TableContents"/>
              <w:bidi w:val="0"/>
              <w:spacing w:before="0" w:after="283"/>
              <w:jc w:val="center"/>
              <w:rPr/>
            </w:pPr>
            <w:r>
              <w:rPr/>
              <w:t> </w:t>
            </w:r>
          </w:p>
        </w:tc>
        <w:tc>
          <w:tcPr>
            <w:tcW w:w="171" w:type="dxa"/>
            <w:tcBorders/>
            <w:shd w:fill="CFF0FC" w:val="clear"/>
            <w:vAlign w:val="center"/>
          </w:tcPr>
          <w:p>
            <w:pPr>
              <w:pStyle w:val="TableContents"/>
              <w:bidi w:val="0"/>
              <w:spacing w:before="0" w:after="283"/>
              <w:jc w:val="center"/>
              <w:rPr/>
            </w:pPr>
            <w:r>
              <w:rPr/>
              <w:t> </w:t>
            </w:r>
          </w:p>
        </w:tc>
        <w:tc>
          <w:tcPr>
            <w:tcW w:w="1114" w:type="dxa"/>
            <w:gridSpan w:val="2"/>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center"/>
              <w:rPr/>
            </w:pPr>
            <w:r>
              <w:rPr/>
              <w:t> </w:t>
            </w:r>
          </w:p>
        </w:tc>
      </w:tr>
      <w:tr>
        <w:trPr/>
        <w:tc>
          <w:tcPr>
            <w:tcW w:w="1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(7,893</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(10,732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(43,742</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(36,977</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International</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(13,179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(12,023</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(56,921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color w:val="000000"/>
          <w:sz w:val="20"/>
        </w:rPr>
        <w:t>(15) 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tables summarize the Company’s intangible assets (dollars in thousands):</w:t>
      </w:r>
      <w:r>
        <w:rPr>
          <w:rFonts w:ascii="Times New Roman" w:hAnsi="Times New Roman"/>
          <w:color w:val="000000"/>
          <w:sz w:val="20"/>
        </w:rPr>
        <w:t xml:space="preserve"> </w:t>
      </w:r>
    </w:p>
    <w:p>
      <w:pPr>
        <w:pStyle w:val="TextBody"/>
        <w:bidi w:val="0"/>
        <w:jc w:val="left"/>
        <w:rPr/>
      </w:pPr>
      <w:r>
        <w:rPr/>
        <w:t> </w:t>
      </w:r>
    </w:p>
    <w:tbl>
      <w:tblPr>
        <w:tblW w:w="9255" w:type="dxa"/>
        <w:jc w:val="left"/>
        <w:tblInd w:w="0" w:type="dxa"/>
        <w:tblLayout w:type="fixed"/>
        <w:tblCellMar>
          <w:top w:w="28" w:type="dxa"/>
          <w:left w:w="28" w:type="dxa"/>
          <w:bottom w:w="28" w:type="dxa"/>
          <w:right w:w="28" w:type="dxa"/>
        </w:tblCellMar>
      </w:tblPr>
      <w:tblGrid>
        <w:gridCol w:w="3566"/>
        <w:gridCol w:w="146"/>
        <w:gridCol w:w="332"/>
        <w:gridCol w:w="719"/>
        <w:gridCol w:w="146"/>
        <w:gridCol w:w="146"/>
        <w:gridCol w:w="211"/>
        <w:gridCol w:w="676"/>
        <w:gridCol w:w="146"/>
        <w:gridCol w:w="146"/>
        <w:gridCol w:w="283"/>
        <w:gridCol w:w="768"/>
        <w:gridCol w:w="146"/>
        <w:gridCol w:w="146"/>
        <w:gridCol w:w="211"/>
        <w:gridCol w:w="676"/>
        <w:gridCol w:w="79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52" w:type="dxa"/>
            <w:gridSpan w:val="14"/>
            <w:tcBorders/>
            <w:shd w:fill="FFFFFF" w:val="clear"/>
            <w:vAlign w:val="center"/>
          </w:tcPr>
          <w:p>
            <w:pPr>
              <w:pStyle w:val="TableContents"/>
              <w:bidi w:val="0"/>
              <w:spacing w:before="0" w:after="283"/>
              <w:jc w:val="center"/>
              <w:rPr/>
            </w:pPr>
            <w:r>
              <w:rPr/>
              <w:t> </w:t>
            </w:r>
          </w:p>
        </w:tc>
        <w:tc>
          <w:tcPr>
            <w:tcW w:w="791" w:type="dxa"/>
            <w:tcBorders/>
            <w:shd w:fill="FFFFFF" w:val="clear"/>
            <w:vAlign w:val="center"/>
          </w:tcPr>
          <w:p>
            <w:pPr>
              <w:pStyle w:val="TableContents"/>
              <w:bidi w:val="0"/>
              <w:spacing w:before="0" w:after="283"/>
              <w:jc w:val="center"/>
              <w:rPr/>
            </w:pPr>
            <w:r>
              <w:rPr/>
              <w:t> </w:t>
            </w:r>
          </w:p>
        </w:tc>
      </w:tr>
      <w:tr>
        <w:trPr/>
        <w:tc>
          <w:tcPr>
            <w:tcW w:w="3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5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Amortizing intangible assets: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32,178</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Vendor Relationships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Database</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1,530</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Subtotal intangible assets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35,867</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In-place Lease Intangible Asset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Above Market Lease Intangible Asset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36,678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9255" w:type="dxa"/>
        <w:jc w:val="left"/>
        <w:tblInd w:w="0" w:type="dxa"/>
        <w:tblLayout w:type="fixed"/>
        <w:tblCellMar>
          <w:top w:w="28" w:type="dxa"/>
          <w:left w:w="28" w:type="dxa"/>
          <w:bottom w:w="28" w:type="dxa"/>
          <w:right w:w="28" w:type="dxa"/>
        </w:tblCellMar>
      </w:tblPr>
      <w:tblGrid>
        <w:gridCol w:w="3566"/>
        <w:gridCol w:w="146"/>
        <w:gridCol w:w="332"/>
        <w:gridCol w:w="719"/>
        <w:gridCol w:w="146"/>
        <w:gridCol w:w="146"/>
        <w:gridCol w:w="211"/>
        <w:gridCol w:w="676"/>
        <w:gridCol w:w="146"/>
        <w:gridCol w:w="146"/>
        <w:gridCol w:w="283"/>
        <w:gridCol w:w="768"/>
        <w:gridCol w:w="146"/>
        <w:gridCol w:w="146"/>
        <w:gridCol w:w="211"/>
        <w:gridCol w:w="676"/>
        <w:gridCol w:w="79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amortization</w:t>
              <w:br/>
              <w:t>period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35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Amortizing intangible assets: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34,014</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Vendor Relationships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968</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Database</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1,890</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Patents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Subtotal intangible assets</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38,288</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35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In-place Lease Intangible Asset</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405</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356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Above Market Lease Intangible Asset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566"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39,351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provides a roll forward of the carrying amount of goodwill (in thousands):</w:t>
      </w:r>
      <w:r>
        <w:rPr>
          <w:rFonts w:ascii="Times New Roman" w:hAnsi="Times New Roman"/>
          <w:color w:val="000000"/>
          <w:sz w:val="20"/>
        </w:rPr>
        <w:t xml:space="preserve"> </w:t>
      </w:r>
    </w:p>
    <w:tbl>
      <w:tblPr>
        <w:tblW w:w="8334" w:type="dxa"/>
        <w:jc w:val="left"/>
        <w:tblInd w:w="0" w:type="dxa"/>
        <w:tblLayout w:type="fixed"/>
        <w:tblCellMar>
          <w:top w:w="28" w:type="dxa"/>
          <w:left w:w="28" w:type="dxa"/>
          <w:bottom w:w="28" w:type="dxa"/>
          <w:right w:w="28" w:type="dxa"/>
        </w:tblCellMar>
      </w:tblPr>
      <w:tblGrid>
        <w:gridCol w:w="5481"/>
        <w:gridCol w:w="146"/>
        <w:gridCol w:w="211"/>
        <w:gridCol w:w="781"/>
        <w:gridCol w:w="166"/>
        <w:gridCol w:w="146"/>
        <w:gridCol w:w="211"/>
        <w:gridCol w:w="781"/>
        <w:gridCol w:w="411"/>
      </w:tblGrid>
      <w:tr>
        <w:trPr/>
        <w:tc>
          <w:tcPr>
            <w:tcW w:w="5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54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January 1:</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4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261,110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257,746</w:t>
            </w:r>
          </w:p>
        </w:tc>
        <w:tc>
          <w:tcPr>
            <w:tcW w:w="411" w:type="dxa"/>
            <w:tcBorders/>
            <w:shd w:fill="FFFFFF" w:val="clear"/>
            <w:vAlign w:val="center"/>
          </w:tcPr>
          <w:p>
            <w:pPr>
              <w:pStyle w:val="TableContents"/>
              <w:bidi w:val="0"/>
              <w:spacing w:before="0" w:after="283"/>
              <w:jc w:val="left"/>
              <w:rPr/>
            </w:pPr>
            <w:r>
              <w:rPr/>
              <w:t> </w:t>
            </w:r>
          </w:p>
        </w:tc>
      </w:tr>
      <w:tr>
        <w:trPr/>
        <w:tc>
          <w:tcPr>
            <w:tcW w:w="54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impairments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54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goodwill as of January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254,672</w:t>
            </w:r>
          </w:p>
        </w:tc>
        <w:tc>
          <w:tcPr>
            <w:tcW w:w="411" w:type="dxa"/>
            <w:tcBorders/>
            <w:shd w:fill="FFFFFF" w:val="clear"/>
            <w:vAlign w:val="center"/>
          </w:tcPr>
          <w:p>
            <w:pPr>
              <w:pStyle w:val="TableContents"/>
              <w:bidi w:val="0"/>
              <w:spacing w:before="0" w:after="283"/>
              <w:jc w:val="left"/>
              <w:rPr/>
            </w:pPr>
            <w:r>
              <w:rPr/>
              <w:t> </w:t>
            </w:r>
          </w:p>
        </w:tc>
      </w:tr>
      <w:tr>
        <w:trPr/>
        <w:tc>
          <w:tcPr>
            <w:tcW w:w="54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Goodwill acquired during the year</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3,364</w:t>
            </w:r>
          </w:p>
        </w:tc>
        <w:tc>
          <w:tcPr>
            <w:tcW w:w="411" w:type="dxa"/>
            <w:tcBorders/>
            <w:shd w:fill="CFF0FC" w:val="clear"/>
            <w:vAlign w:val="center"/>
          </w:tcPr>
          <w:p>
            <w:pPr>
              <w:pStyle w:val="TableContents"/>
              <w:bidi w:val="0"/>
              <w:spacing w:before="0" w:after="283"/>
              <w:jc w:val="left"/>
              <w:rPr/>
            </w:pPr>
            <w:r>
              <w:rPr/>
              <w:t> </w:t>
            </w:r>
          </w:p>
        </w:tc>
      </w:tr>
      <w:tr>
        <w:trPr/>
        <w:tc>
          <w:tcPr>
            <w:tcW w:w="54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Impact of foreign exchange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4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goodwill as of September 30, 2023, and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262,898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258,036</w:t>
            </w:r>
          </w:p>
        </w:tc>
        <w:tc>
          <w:tcPr>
            <w:tcW w:w="4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(1) See Note 7 -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w:t>
      </w:r>
      <w:r>
        <w:rPr>
          <w:rFonts w:ascii="Times New Roman" w:hAnsi="Times New Roman"/>
          <w:color w:val="000000"/>
          <w:sz w:val="20"/>
        </w:rPr>
        <w:t xml:space="preserve"> </w:t>
      </w:r>
      <w:r>
        <w:rPr>
          <w:rFonts w:ascii="Times New Roman" w:hAnsi="Times New Roman"/>
          <w:b w:val="false"/>
          <w:color w:val="000000"/>
          <w:sz w:val="20"/>
        </w:rPr>
        <w:t>and December 31, 2022, Xometry had $262.9</w:t>
      </w:r>
      <w:r>
        <w:rPr>
          <w:rFonts w:ascii="Times New Roman" w:hAnsi="Times New Roman"/>
          <w:color w:val="000000"/>
          <w:sz w:val="20"/>
        </w:rPr>
        <w:t xml:space="preserve"> </w:t>
      </w:r>
      <w:r>
        <w:rPr>
          <w:rFonts w:ascii="Times New Roman" w:hAnsi="Times New Roman"/>
          <w:b w:val="false"/>
          <w:color w:val="000000"/>
          <w:sz w:val="20"/>
        </w:rPr>
        <w:t>million and $258.0</w:t>
      </w:r>
      <w:r>
        <w:rPr>
          <w:rFonts w:ascii="Times New Roman" w:hAnsi="Times New Roman"/>
          <w:color w:val="000000"/>
          <w:sz w:val="20"/>
        </w:rPr>
        <w:t xml:space="preserve"> </w:t>
      </w:r>
      <w:r>
        <w:rPr>
          <w:rFonts w:ascii="Times New Roman" w:hAnsi="Times New Roman"/>
          <w:b w:val="false"/>
          <w:color w:val="000000"/>
          <w:sz w:val="20"/>
        </w:rPr>
        <w:t>million, respectively of goodwill. As of September 30, 2023, $258.0</w:t>
      </w:r>
      <w:r>
        <w:rPr>
          <w:rFonts w:ascii="Times New Roman" w:hAnsi="Times New Roman"/>
          <w:color w:val="000000"/>
          <w:sz w:val="20"/>
        </w:rPr>
        <w:t xml:space="preserve"> </w:t>
      </w:r>
      <w:r>
        <w:rPr>
          <w:rFonts w:ascii="Times New Roman" w:hAnsi="Times New Roman"/>
          <w:b w:val="false"/>
          <w:color w:val="000000"/>
          <w:sz w:val="20"/>
        </w:rPr>
        <w:t>million is part of Xometry’s U.S. operating segment and $4.9</w:t>
      </w:r>
      <w:r>
        <w:rPr>
          <w:rFonts w:ascii="Times New Roman" w:hAnsi="Times New Roman"/>
          <w:color w:val="000000"/>
          <w:sz w:val="20"/>
        </w:rPr>
        <w:t xml:space="preserve"> </w:t>
      </w:r>
      <w:r>
        <w:rPr>
          <w:rFonts w:ascii="Times New Roman" w:hAnsi="Times New Roman"/>
          <w:b w:val="false"/>
          <w:color w:val="000000"/>
          <w:sz w:val="20"/>
        </w:rPr>
        <w:t>million is part of Xometry’s International operating segment. As of December 31, 2022, $258.0</w:t>
      </w:r>
      <w:r>
        <w:rPr>
          <w:rFonts w:ascii="Times New Roman" w:hAnsi="Times New Roman"/>
          <w:color w:val="000000"/>
          <w:sz w:val="20"/>
        </w:rPr>
        <w:t xml:space="preserve"> </w:t>
      </w:r>
      <w:r>
        <w:rPr>
          <w:rFonts w:ascii="Times New Roman" w:hAnsi="Times New Roman"/>
          <w:b w:val="false"/>
          <w:color w:val="000000"/>
          <w:sz w:val="20"/>
        </w:rPr>
        <w:t>million is part of Xometry's U.S. operating segment.</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estimated amortization expense for intangible assets for the remainder of 2023 and the next five years is: $0.9</w:t>
      </w:r>
      <w:r>
        <w:rPr>
          <w:rFonts w:ascii="Times New Roman" w:hAnsi="Times New Roman"/>
          <w:color w:val="000000"/>
          <w:sz w:val="20"/>
        </w:rPr>
        <w:t xml:space="preserve"> </w:t>
      </w:r>
      <w:r>
        <w:rPr>
          <w:rFonts w:ascii="Times New Roman" w:hAnsi="Times New Roman"/>
          <w:b w:val="false"/>
          <w:color w:val="000000"/>
          <w:sz w:val="20"/>
        </w:rPr>
        <w:t>million in 2023, $3.6</w:t>
      </w:r>
      <w:r>
        <w:rPr>
          <w:rFonts w:ascii="Times New Roman" w:hAnsi="Times New Roman"/>
          <w:color w:val="000000"/>
          <w:sz w:val="20"/>
        </w:rPr>
        <w:t xml:space="preserve"> </w:t>
      </w:r>
      <w:r>
        <w:rPr>
          <w:rFonts w:ascii="Times New Roman" w:hAnsi="Times New Roman"/>
          <w:b w:val="false"/>
          <w:color w:val="000000"/>
          <w:sz w:val="20"/>
        </w:rPr>
        <w:t>million in 2024, $3.6</w:t>
      </w:r>
      <w:r>
        <w:rPr>
          <w:rFonts w:ascii="Times New Roman" w:hAnsi="Times New Roman"/>
          <w:color w:val="000000"/>
          <w:sz w:val="20"/>
        </w:rPr>
        <w:t xml:space="preserve"> </w:t>
      </w:r>
      <w:r>
        <w:rPr>
          <w:rFonts w:ascii="Times New Roman" w:hAnsi="Times New Roman"/>
          <w:b w:val="false"/>
          <w:color w:val="000000"/>
          <w:sz w:val="20"/>
        </w:rPr>
        <w:t>million in 2025, $3.2</w:t>
      </w:r>
      <w:r>
        <w:rPr>
          <w:rFonts w:ascii="Times New Roman" w:hAnsi="Times New Roman"/>
          <w:color w:val="000000"/>
          <w:sz w:val="20"/>
        </w:rPr>
        <w:t xml:space="preserve"> </w:t>
      </w:r>
      <w:r>
        <w:rPr>
          <w:rFonts w:ascii="Times New Roman" w:hAnsi="Times New Roman"/>
          <w:b w:val="false"/>
          <w:color w:val="000000"/>
          <w:sz w:val="20"/>
        </w:rPr>
        <w:t>million in 2026, $2.6</w:t>
      </w:r>
      <w:r>
        <w:rPr>
          <w:rFonts w:ascii="Times New Roman" w:hAnsi="Times New Roman"/>
          <w:color w:val="000000"/>
          <w:sz w:val="20"/>
        </w:rPr>
        <w:t xml:space="preserve"> </w:t>
      </w:r>
      <w:r>
        <w:rPr>
          <w:rFonts w:ascii="Times New Roman" w:hAnsi="Times New Roman"/>
          <w:b w:val="false"/>
          <w:color w:val="000000"/>
          <w:sz w:val="20"/>
        </w:rPr>
        <w:t>million in 2027, $2.6</w:t>
      </w:r>
      <w:r>
        <w:rPr>
          <w:rFonts w:ascii="Times New Roman" w:hAnsi="Times New Roman"/>
          <w:color w:val="000000"/>
          <w:sz w:val="20"/>
        </w:rPr>
        <w:t xml:space="preserve"> </w:t>
      </w:r>
      <w:r>
        <w:rPr>
          <w:rFonts w:ascii="Times New Roman" w:hAnsi="Times New Roman"/>
          <w:b w:val="false"/>
          <w:color w:val="000000"/>
          <w:sz w:val="20"/>
        </w:rPr>
        <w:t>million in 2028 and $20.2</w:t>
      </w:r>
      <w:r>
        <w:rPr>
          <w:rFonts w:ascii="Times New Roman" w:hAnsi="Times New Roman"/>
          <w:color w:val="000000"/>
          <w:sz w:val="20"/>
        </w:rPr>
        <w:t xml:space="preserve"> </w:t>
      </w:r>
      <w:r>
        <w:rPr>
          <w:rFonts w:ascii="Times New Roman" w:hAnsi="Times New Roman"/>
          <w:b w:val="false"/>
          <w:color w:val="000000"/>
          <w:sz w:val="20"/>
        </w:rPr>
        <w:t>million thereafter.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Amortization expense for the three and nine months ended September 30, 2023 and 2022 was as follows (in thousands):</w:t>
      </w:r>
      <w:r>
        <w:rPr>
          <w:rFonts w:ascii="Times New Roman" w:hAnsi="Times New Roman"/>
          <w:color w:val="000000"/>
          <w:sz w:val="20"/>
        </w:rPr>
        <w:t xml:space="preserve"> </w:t>
      </w:r>
    </w:p>
    <w:tbl>
      <w:tblPr>
        <w:tblW w:w="8428" w:type="dxa"/>
        <w:jc w:val="left"/>
        <w:tblInd w:w="0" w:type="dxa"/>
        <w:tblLayout w:type="fixed"/>
        <w:tblCellMar>
          <w:top w:w="28" w:type="dxa"/>
          <w:left w:w="28" w:type="dxa"/>
          <w:bottom w:w="28" w:type="dxa"/>
          <w:right w:w="28" w:type="dxa"/>
        </w:tblCellMar>
      </w:tblPr>
      <w:tblGrid>
        <w:gridCol w:w="2521"/>
        <w:gridCol w:w="146"/>
        <w:gridCol w:w="364"/>
        <w:gridCol w:w="726"/>
        <w:gridCol w:w="252"/>
        <w:gridCol w:w="252"/>
        <w:gridCol w:w="364"/>
        <w:gridCol w:w="726"/>
        <w:gridCol w:w="146"/>
        <w:gridCol w:w="146"/>
        <w:gridCol w:w="295"/>
        <w:gridCol w:w="798"/>
        <w:gridCol w:w="204"/>
        <w:gridCol w:w="204"/>
        <w:gridCol w:w="295"/>
        <w:gridCol w:w="798"/>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767</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2,347</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2,326</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Product development</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20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w:t>
            </w:r>
          </w:p>
        </w:tc>
        <w:tc>
          <w:tcPr>
            <w:tcW w:w="1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General and administrative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816</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2,493</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(1) Amortization of the lease related intangible assets is recorded as operating lease expense in general and administrative.</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left"/>
        <w:rPr>
          <w:rFonts w:ascii="Times New Roman" w:hAnsi="Times New Roman"/>
          <w:b/>
          <w:color w:val="000000"/>
          <w:sz w:val="20"/>
        </w:rPr>
      </w:pPr>
      <w:bookmarkStart w:id="15" w:name="i_item2"/>
      <w:bookmarkEnd w:id="15"/>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sz w:val="20"/>
        </w:rPr>
      </w:pPr>
      <w:r>
        <w:rPr>
          <w:rFonts w:ascii="Times New Roman" w:hAnsi="Times New Roman"/>
          <w:b w:val="false"/>
          <w:i/>
          <w:color w:val="000000"/>
          <w:sz w:val="20"/>
        </w:rPr>
        <w:t>The following discussion and analysis should be read in conjunction with our unaudited condensed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2022. Our historical results are not necessarily indicative of the results that may be expected in the future and our current quarterly results are not necessarily indicative of the results expected for the full year or any other period.</w:t>
      </w:r>
      <w:r>
        <w:rPr>
          <w:rFonts w:ascii="Times New Roman" w:hAnsi="Times New Roman"/>
          <w:color w:val="000000"/>
          <w:sz w:val="20"/>
        </w:rPr>
        <w:t xml:space="preserve"> </w:t>
      </w:r>
    </w:p>
    <w:p>
      <w:pPr>
        <w:pStyle w:val="TextBody"/>
        <w:bidi w:val="0"/>
        <w:spacing w:before="300" w:after="283"/>
        <w:jc w:val="center"/>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Xometry, Inc. (“Xometry”, “Company”, “our” or “we”) was incorporated in the State of Delaware in May 2013. Xometry is a global online marketplace connecting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North Bethesda, Maryland.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AI-enabled technology platform is powered by proprietary machine learning algorithms and dataset, resulting in a sophisticated two-sided marketplace that is rapidly digitizing the manufacturing industry. As a result, buyers can procure the products they want on demand, and suppliers can source new manufacturing opportunities that match their specific capabilities and capacity. Interactions on our marketplace provide rich data insights that allow us to continuously improve our AI models and create new products and services, fueling powerful network effects as we scale.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business benefits from a virtuous network liquidity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supplies.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Healthcare, Robotics, Defense, Industrial, Energy, Automotive, Government, Education and Consumer Goods.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empower suppliers to grow their manufacturing businesses and improve machine uptime by providing access to an extensive, diverse base of buyers. We also offer suppliers supporting products and services to meet their unique needs. We offer suppliers digital advertising and marketing services and data solutions. In addition, our suite of supplier services includes financial service products to stabilize and enhance cash flow and a cloud-based manufacturing execution system (“Workcenter”) to help suppliers optimize their productivity.</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val="false"/>
          <w:color w:val="000000"/>
          <w:sz w:val="20"/>
        </w:rPr>
        <w:t>In 2021, we acquired Thomas Publishing Company (“Thomas”) and Fusiform, Inc. (d/b/a FactoryFour) (“FactoryFour”), expanding our basket of supplier services to include advertising and marketing services and Workcenter to help suppliers optimize their productivity. Our revenue from Thomas is primarily advertising revenue.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January 2, 2023, the Company acquired Tridi Teknoloj A.S. (“Tridi”) located in Istanbul, Türkiye pursuant to a Share Purchase Agreement. The acquisition of Tridi extends our marketplace capabilities in Europe and provides us access to the Turkish market.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2023, the Company reduced its workforce by approximately 4% to help manage its operating expenses. During the second quarter of 2023, the Company incurred $0.7 million for employee termination costs related to the May 2023 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Company previously provided suppliers with access to competitively priced tools, material and supplies in the United States. As a result of exiting the supplies business during the second quarter of 2023, the Company recognized $0.6 million of costs associated with its closure, of which $0.2 million is recognized in cost of revenue and $0.4 million is recognized in operations and support on the Condensed Consolidated Statements of Operations and Comprehensive Loss.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Unfavorable conditions in the economy both in the United States and abroad may negatively affect the growth of our business and our results of operations. For example, macroeconomic events, including changes in inflation, the U.S. Federal Reserve raising interest rates, disruptions in access to bank deposits or lending commitments due to bank failures, geopolitical tensions and the COVID-19 pandemic, have led to economic uncertainty globally. Historically, during periods of economic uncertainty and downturns, businesses may slow spending on information technology and manufacturing, which may impact our business and our customers’ businesses.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360" w:after="283"/>
        <w:jc w:val="center"/>
        <w:rPr>
          <w:rFonts w:ascii="Times New Roman" w:hAnsi="Times New Roman"/>
          <w:sz w:val="20"/>
        </w:rPr>
      </w:pPr>
      <w:r>
        <w:rPr>
          <w:rFonts w:ascii="Times New Roman" w:hAnsi="Times New Roman"/>
          <w:b/>
          <w:color w:val="000000"/>
          <w:sz w:val="20"/>
        </w:rPr>
        <w:t>Key Marketplace Operational and Business Metrics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to the measures presented in our condensed consolidated financial statements included elsewhere in this Quarterly Report on Form 10-Q, we use the following key operational and business metrics to help us evaluate our marketplace business, measure our performance, identify trends affecting our business, formulate business plans and develop forecasts, and make strategic decisions: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Active Buyers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define Active Buyers as the number of</w:t>
      </w:r>
      <w:r>
        <w:rPr>
          <w:rFonts w:ascii="Times New Roman" w:hAnsi="Times New Roman"/>
          <w:color w:val="000000"/>
          <w:sz w:val="20"/>
        </w:rPr>
        <w:t xml:space="preserve"> </w:t>
      </w:r>
      <w:r>
        <w:rPr>
          <w:rFonts w:ascii="Times New Roman" w:hAnsi="Times New Roman"/>
          <w:b w:val="false"/>
          <w:color w:val="000000"/>
          <w:sz w:val="20"/>
        </w:rPr>
        <w:t>buyers who have made at least one purchase on our marketplace during the last twelve months. An increase or decrease in the number of Active Buyers is a key indicator of our ability to attract, retain and engage buyers on our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Active Buyers has consistently grown over time. The number of Active Buyers on our platform reached 52,467 as of September 30, 2023, up 43% from 36,789 as of September 30, 2022. The key drivers of Active Buyer growth are continued account and buyer engagement and the success of our strategy to attract new buyers.</w:t>
      </w:r>
    </w:p>
    <w:p>
      <w:pPr>
        <w:pStyle w:val="TextBody"/>
        <w:bidi w:val="0"/>
        <w:jc w:val="center"/>
        <w:rPr/>
      </w:pPr>
      <w:r>
        <w:rPr/>
        <w:drawing>
          <wp:inline distT="0" distB="0" distL="0" distR="0">
            <wp:extent cx="3810000" cy="459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4591050"/>
                    </a:xfrm>
                    <a:prstGeom prst="rect">
                      <a:avLst/>
                    </a:prstGeom>
                  </pic:spPr>
                </pic:pic>
              </a:graphicData>
            </a:graphic>
          </wp:inline>
        </w:drawing>
      </w: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Percentage of Revenue from Existing Accounts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quarter ended September 30, 2023, 96% of our revenue was generated from existing accounts. We believe the repeat purchase activity from existing accounts reflects the underlying strength of our business and provides us with substantial revenue visibility and predictability.</w:t>
      </w:r>
      <w:r>
        <w:rPr>
          <w:rFonts w:ascii="Times New Roman" w:hAnsi="Times New Roman"/>
          <w:color w:val="000000"/>
          <w:sz w:val="20"/>
        </w:rPr>
        <w:t xml:space="preserve"> </w:t>
      </w:r>
    </w:p>
    <w:p>
      <w:pPr>
        <w:pStyle w:val="TextBody"/>
        <w:bidi w:val="0"/>
        <w:jc w:val="center"/>
        <w:rPr/>
      </w:pPr>
      <w:r>
        <w:rPr/>
        <w:drawing>
          <wp:inline distT="0" distB="0" distL="0" distR="0">
            <wp:extent cx="5629275" cy="2914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29275" cy="2914650"/>
                    </a:xfrm>
                    <a:prstGeom prst="rect">
                      <a:avLst/>
                    </a:prstGeom>
                  </pic:spPr>
                </pic:pic>
              </a:graphicData>
            </a:graphic>
          </wp:inline>
        </w:drawing>
      </w: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Accounts with Last Twelve-Month Spend of At Least $50,000</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1,223 as of September 30, 2023, up 26%</w:t>
      </w:r>
      <w:r>
        <w:rPr>
          <w:rFonts w:ascii="Times New Roman" w:hAnsi="Times New Roman"/>
          <w:color w:val="FF0000"/>
          <w:sz w:val="20"/>
        </w:rPr>
        <w:t xml:space="preserve"> </w:t>
      </w:r>
      <w:r>
        <w:rPr>
          <w:rFonts w:ascii="Times New Roman" w:hAnsi="Times New Roman"/>
          <w:b w:val="false"/>
          <w:color w:val="000000"/>
          <w:sz w:val="20"/>
        </w:rPr>
        <w:t>from 974 as of September 30, 2022.</w:t>
      </w:r>
    </w:p>
    <w:p>
      <w:pPr>
        <w:pStyle w:val="TextBody"/>
        <w:bidi w:val="0"/>
        <w:spacing w:before="120" w:after="283"/>
        <w:jc w:val="center"/>
        <w:rPr/>
      </w:pPr>
      <w:r>
        <w:rPr/>
        <w:drawing>
          <wp:inline distT="0" distB="0" distL="0" distR="0">
            <wp:extent cx="3419475" cy="414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419475" cy="4143375"/>
                    </a:xfrm>
                    <a:prstGeom prst="rect">
                      <a:avLst/>
                    </a:prstGeom>
                  </pic:spPr>
                </pic:pic>
              </a:graphicData>
            </a:graphic>
          </wp:inline>
        </w:drawing>
      </w:r>
      <w:r>
        <w:rPr/>
        <w:t> </w:t>
      </w:r>
    </w:p>
    <w:p>
      <w:pPr>
        <w:pStyle w:val="TextBody"/>
        <w:bidi w:val="0"/>
        <w:jc w:val="center"/>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Active Paying Suppliers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define Active Paying Suppliers as individuals or businesses who have purchased one or more of our supplier services, including digital marketing services, data services, financial services or supplies on our platforms during the last twelve months. An increase or decrease in the number of Active Paying Suppliers is a key indicator of our ability to engage suppliers on our platform.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Active Paying Suppliers has grown over time. The number of Active Paying Suppliers on our platform reached 7,415 as of September 30, 2023, down 2% from 7,557 as of September 30, 2022. The key drivers of Active Paying Suppliers are continued supplier engagement and the success of our strategy to attract new suppliers. The decline during the quarter ended September 30, 2023 is due to our exit from the supplies business. Excluding the supplies business, Active Paying Suppliers on our platform reached 7,337 as of September 30, 2023, up 4% from 7,092 as of September 30, 2022.</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define Adjusted EBITDA as net loss, adjusted for interest expense, interest and dividend income and other expenses, income tax provision (benefit), and certain other non-cash or non-recurring items impacting net loss from time to time, principally comprised of depreciation and amortization, amortization of lease intangible, stock-based compensation, charitable contributions of common stock, income from an unconsolidated joint venture, impairment of assets, lease abandonment, restructuring charges, costs to exit the supplies business and acquisition and other adjustments not reflective of the Company's ongoing business, such as adjustments related to purchase accounting, the revaluation of contingent consideration and transaction costs. Adjusted EBITDA is a performance measure that we use to assess our operating performance and the operating leverage in our business. Adjusted EBITDA Margin is calculated by dividing Adjusted EBITDA for a period by revenue for the same period.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months ended September 30, 2023, Adjusted EBITDA loss was $(4.2) million, as compared to Adjusted EBITDA loss of $(6.5) million for the same quarter in 2022. For the quarter ended September 30, 2023, Adjusted EBITDA Margin was (4)% of revenue, as compared to (6)% of revenue for the same quarter in 2022, driven primarily by increased operating efficiencies as we continue to grow our revenue and margins faster than our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Adjusted EBITDA loss was $(24.6) million, as compared to Adjusted EBITDA loss of $(27.5) million for the same period in 2022. For the nine months ended September 30, 2023, Adjusted EBITDA Margin was (7)% of revenue, as compared to (10)% of revenue for the same period in 2022, driven primarily by increased operating efficiencies as we continue to grow our revenue and margins faster than our expenses.</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471"/>
        <w:gridCol w:w="146"/>
        <w:gridCol w:w="244"/>
        <w:gridCol w:w="856"/>
        <w:gridCol w:w="193"/>
        <w:gridCol w:w="169"/>
        <w:gridCol w:w="244"/>
        <w:gridCol w:w="856"/>
        <w:gridCol w:w="166"/>
        <w:gridCol w:w="146"/>
        <w:gridCol w:w="238"/>
        <w:gridCol w:w="834"/>
        <w:gridCol w:w="187"/>
        <w:gridCol w:w="164"/>
        <w:gridCol w:w="238"/>
        <w:gridCol w:w="834"/>
        <w:gridCol w:w="219"/>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(12,010</w:t>
            </w:r>
          </w:p>
        </w:tc>
        <w:tc>
          <w:tcPr>
            <w:tcW w:w="1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(56,912</w:t>
            </w:r>
          </w:p>
        </w:tc>
        <w:tc>
          <w:tcPr>
            <w:tcW w:w="1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(51,585</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(deduct)</w:t>
            </w:r>
          </w:p>
        </w:tc>
        <w:tc>
          <w:tcPr>
            <w:tcW w:w="146" w:type="dxa"/>
            <w:tcBorders/>
            <w:shd w:fill="FFFFFF" w:val="clear"/>
            <w:vAlign w:val="center"/>
          </w:tcPr>
          <w:p>
            <w:pPr>
              <w:pStyle w:val="TableContents"/>
              <w:bidi w:val="0"/>
              <w:spacing w:before="0" w:after="283"/>
              <w:jc w:val="left"/>
              <w:rPr/>
            </w:pPr>
            <w:r>
              <w:rPr/>
              <w:t> </w:t>
            </w:r>
          </w:p>
        </w:tc>
        <w:tc>
          <w:tcPr>
            <w:tcW w:w="1100"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110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right"/>
              <w:rPr/>
            </w:pPr>
            <w:r>
              <w:rPr/>
              <w:t> </w:t>
            </w:r>
          </w:p>
        </w:tc>
        <w:tc>
          <w:tcPr>
            <w:tcW w:w="219" w:type="dxa"/>
            <w:tcBorders/>
            <w:shd w:fill="FFFFFF" w:val="clear"/>
            <w:vAlign w:val="center"/>
          </w:tcPr>
          <w:p>
            <w:pPr>
              <w:pStyle w:val="TableContents"/>
              <w:bidi w:val="0"/>
              <w:spacing w:before="0" w:after="283"/>
              <w:jc w:val="right"/>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interest and dividend income and other expenses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(1,192</w:t>
            </w:r>
          </w:p>
        </w:tc>
        <w:tc>
          <w:tcPr>
            <w:tcW w:w="1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(3,896</w:t>
            </w:r>
          </w:p>
        </w:tc>
        <w:tc>
          <w:tcPr>
            <w:tcW w:w="1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2,991</w:t>
            </w:r>
          </w:p>
        </w:tc>
        <w:tc>
          <w:tcPr>
            <w:tcW w:w="219" w:type="dxa"/>
            <w:tcBorders/>
            <w:shd w:fill="CFF0FC"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2,478</w:t>
            </w:r>
          </w:p>
        </w:tc>
        <w:tc>
          <w:tcPr>
            <w:tcW w:w="193"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7,939</w:t>
            </w:r>
          </w:p>
        </w:tc>
        <w:tc>
          <w:tcPr>
            <w:tcW w:w="18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5,716</w:t>
            </w:r>
          </w:p>
        </w:tc>
        <w:tc>
          <w:tcPr>
            <w:tcW w:w="219" w:type="dxa"/>
            <w:tcBorders/>
            <w:shd w:fill="FFFFFF" w:val="cle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lease intangible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193"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770</w:t>
            </w:r>
          </w:p>
        </w:tc>
        <w:tc>
          <w:tcPr>
            <w:tcW w:w="187"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999</w:t>
            </w:r>
          </w:p>
        </w:tc>
        <w:tc>
          <w:tcPr>
            <w:tcW w:w="219" w:type="dxa"/>
            <w:tcBorders/>
            <w:shd w:fill="CFF0FC"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(benefit) for income taxes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193"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w:t>
            </w:r>
          </w:p>
        </w:tc>
        <w:tc>
          <w:tcPr>
            <w:tcW w:w="18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w:t>
            </w:r>
          </w:p>
        </w:tc>
        <w:tc>
          <w:tcPr>
            <w:tcW w:w="2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based compensation</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5,730</w:t>
            </w:r>
          </w:p>
        </w:tc>
        <w:tc>
          <w:tcPr>
            <w:tcW w:w="193"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16,222</w:t>
            </w:r>
          </w:p>
        </w:tc>
        <w:tc>
          <w:tcPr>
            <w:tcW w:w="187"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14,048</w:t>
            </w:r>
          </w:p>
        </w:tc>
        <w:tc>
          <w:tcPr>
            <w:tcW w:w="219" w:type="dxa"/>
            <w:tcBorders/>
            <w:shd w:fill="CFF0FC"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abandonment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8,706</w:t>
            </w:r>
          </w:p>
        </w:tc>
        <w:tc>
          <w:tcPr>
            <w:tcW w:w="18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219" w:type="dxa"/>
            <w:tcBorders/>
            <w:shd w:fill="FFFFFF" w:val="cle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Acquisition and other</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193"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w:t>
            </w:r>
          </w:p>
        </w:tc>
        <w:tc>
          <w:tcPr>
            <w:tcW w:w="187"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(1,242</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Charitable contribution of common stock</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w:t>
            </w:r>
          </w:p>
        </w:tc>
        <w:tc>
          <w:tcPr>
            <w:tcW w:w="193"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w:t>
            </w:r>
          </w:p>
        </w:tc>
        <w:tc>
          <w:tcPr>
            <w:tcW w:w="18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2,272</w:t>
            </w:r>
          </w:p>
        </w:tc>
        <w:tc>
          <w:tcPr>
            <w:tcW w:w="219" w:type="dxa"/>
            <w:tcBorders/>
            <w:shd w:fill="FFFFFF" w:val="cle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from unconsolidated joint venture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w:t>
            </w:r>
          </w:p>
        </w:tc>
        <w:tc>
          <w:tcPr>
            <w:tcW w:w="1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w:t>
            </w:r>
          </w:p>
        </w:tc>
        <w:tc>
          <w:tcPr>
            <w:tcW w:w="1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Impairment of assets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193"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w:t>
            </w:r>
          </w:p>
        </w:tc>
        <w:tc>
          <w:tcPr>
            <w:tcW w:w="18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w:t>
            </w:r>
          </w:p>
        </w:tc>
        <w:tc>
          <w:tcPr>
            <w:tcW w:w="219" w:type="dxa"/>
            <w:tcBorders/>
            <w:shd w:fill="FFFFFF" w:val="cle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Restructuring charge</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738</w:t>
            </w:r>
          </w:p>
        </w:tc>
        <w:tc>
          <w:tcPr>
            <w:tcW w:w="187"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219" w:type="dxa"/>
            <w:tcBorders/>
            <w:shd w:fill="CFF0FC" w:val="clear"/>
            <w:vAlign w:val="center"/>
          </w:tcPr>
          <w:p>
            <w:pPr>
              <w:pStyle w:val="TableContents"/>
              <w:bidi w:val="0"/>
              <w:spacing w:before="0" w:after="283"/>
              <w:jc w:val="left"/>
              <w:rPr/>
            </w:pPr>
            <w:r>
              <w:rPr/>
              <w:t> </w:t>
            </w:r>
          </w:p>
        </w:tc>
      </w:tr>
      <w:tr>
        <w:trPr/>
        <w:tc>
          <w:tcPr>
            <w:tcW w:w="44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Costs to exit the supplies business</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(4,215</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9"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(24,640</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(27,516</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Non-GAAP Net Loss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define Non-GAAP net loss, as net loss adjusted for depreciation and amortization, stock-based compensation expense, amortization of lease intangible, amortization of deferred costs on convertible notes, loss on marketable securities, loss on sale of property and equipment, charitable contributions of common stock, impairment of assets, lease abandonment and termination, restructuring charges, costs to exit the supplies business and acquisition and other adjustments not reflective of the Company's</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val="false"/>
          <w:color w:val="000000"/>
          <w:sz w:val="20"/>
        </w:rPr>
        <w:t>ongoing business, such as adjustments related to purchase accounting, the revaluation of contingent consideration and transaction costs.</w:t>
      </w:r>
      <w:r>
        <w:rPr>
          <w:rFonts w:ascii="Times New Roman" w:hAnsi="Times New Roman"/>
          <w:color w:val="000000"/>
          <w:sz w:val="20"/>
        </w:rPr>
        <w:t xml:space="preserve"> </w:t>
      </w:r>
    </w:p>
    <w:tbl>
      <w:tblPr>
        <w:tblW w:w="9357" w:type="dxa"/>
        <w:jc w:val="left"/>
        <w:tblInd w:w="0" w:type="dxa"/>
        <w:tblLayout w:type="fixed"/>
        <w:tblCellMar>
          <w:top w:w="28" w:type="dxa"/>
          <w:left w:w="28" w:type="dxa"/>
          <w:bottom w:w="28" w:type="dxa"/>
          <w:right w:w="28" w:type="dxa"/>
        </w:tblCellMar>
      </w:tblPr>
      <w:tblGrid>
        <w:gridCol w:w="4276"/>
        <w:gridCol w:w="146"/>
        <w:gridCol w:w="211"/>
        <w:gridCol w:w="736"/>
        <w:gridCol w:w="166"/>
        <w:gridCol w:w="146"/>
        <w:gridCol w:w="211"/>
        <w:gridCol w:w="736"/>
        <w:gridCol w:w="166"/>
        <w:gridCol w:w="146"/>
        <w:gridCol w:w="211"/>
        <w:gridCol w:w="736"/>
        <w:gridCol w:w="166"/>
        <w:gridCol w:w="146"/>
        <w:gridCol w:w="211"/>
        <w:gridCol w:w="736"/>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Non-GAAP Net Loss: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(15,041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(51,585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(deduct):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5,716</w:t>
            </w:r>
          </w:p>
        </w:tc>
        <w:tc>
          <w:tcPr>
            <w:tcW w:w="21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14,048</w:t>
            </w:r>
          </w:p>
        </w:tc>
        <w:tc>
          <w:tcPr>
            <w:tcW w:w="21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lease intangible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999</w:t>
            </w:r>
          </w:p>
        </w:tc>
        <w:tc>
          <w:tcPr>
            <w:tcW w:w="21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deferred costs on convertible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w:t>
            </w:r>
          </w:p>
        </w:tc>
        <w:tc>
          <w:tcPr>
            <w:tcW w:w="21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1,659</w:t>
            </w:r>
          </w:p>
        </w:tc>
        <w:tc>
          <w:tcPr>
            <w:tcW w:w="21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Acquisition and 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sale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21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Charitable contribution of common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2,272</w:t>
            </w:r>
          </w:p>
        </w:tc>
        <w:tc>
          <w:tcPr>
            <w:tcW w:w="21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abandonment and termination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Impairment of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w:t>
            </w:r>
          </w:p>
        </w:tc>
        <w:tc>
          <w:tcPr>
            <w:tcW w:w="211" w:type="dxa"/>
            <w:tcBorders/>
            <w:shd w:fill="FFFFFF" w:val="cle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Restructuring charge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Costs to exit the supplies business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three months ended September 30, 2023, Non-GAAP net loss was $(2.6) million, as compared to Non-GAAP net loss of $(5.4) million for the same quarter in 2022. For the quarter ended September 30, 2023, Non-GAAP net loss was (2)% of revenue, as compared to (5)% of revenue for the same quarter in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 the nine months ended September 30, 2023, Non-GAAP net loss was $(19.0) million, as compared to Non-GAAP net loss of $(26.4) million for the same period in 2022. For the nine months ended September 30, 2023, Non-GAAP net loss was (6)% of revenue, as compared to (9)% of revenue for the same period in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w:t>
      </w:r>
      <w:r>
        <w:rPr>
          <w:rFonts w:ascii="Times New Roman" w:hAnsi="Times New Roman"/>
          <w:color w:val="000000"/>
          <w:sz w:val="20"/>
        </w:rPr>
        <w:t xml:space="preserve"> </w:t>
      </w:r>
    </w:p>
    <w:p>
      <w:pPr>
        <w:pStyle w:val="TextBody"/>
        <w:bidi w:val="0"/>
        <w:spacing w:before="360" w:after="283"/>
        <w:jc w:val="center"/>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marketplace revenue is primarily comprised of sales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Supplier services revenue includes the sale of marketing and advertising services, and to a lesser extent financial service products, SaaS-based solutions and the sale of supplies.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 of revenue for supplier services primarily consists of internal and external production costs and website hosting.</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operating expenses consist of sales and marketing, operations and support, product development and general and administrative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Operations and Support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 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primarily consist of compensation expenses, including stock-based compensation expenses, for executive, finance, legal and other administrative personnel, professional service fees and certain depreciation and amortization expense. We expect general and administrative expenses to fluctuate as a result of operating as a public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expense consists of interest incurred on our outstanding borrowings under our outstanding convertible notes or other borrowings.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Interest and Dividend Income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and dividend income consists of interest and dividends on our cash, cash equivalents and 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Other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expenses consist primarily of realized and/or unrealized losses and other expenses.</w:t>
      </w:r>
      <w:r>
        <w:rPr>
          <w:rFonts w:ascii="Times New Roman" w:hAnsi="Times New Roman"/>
          <w:color w:val="FF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Income from Unconsolidated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Income from unconsolidated joint venture consists of our share of the joint venture's income.</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Comparison of the Three Months Ended September 30, 2023 and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sets forth our unaudited statements of operations data for the periods indicated:</w:t>
      </w:r>
      <w:r>
        <w:rPr>
          <w:rFonts w:ascii="Times New Roman" w:hAnsi="Times New Roman"/>
          <w:color w:val="000000"/>
          <w:sz w:val="20"/>
        </w:rPr>
        <w:t xml:space="preserve"> </w:t>
      </w:r>
    </w:p>
    <w:tbl>
      <w:tblPr>
        <w:tblW w:w="8290" w:type="dxa"/>
        <w:jc w:val="left"/>
        <w:tblInd w:w="0" w:type="dxa"/>
        <w:tblLayout w:type="fixed"/>
        <w:tblCellMar>
          <w:top w:w="28" w:type="dxa"/>
          <w:left w:w="28" w:type="dxa"/>
          <w:bottom w:w="28" w:type="dxa"/>
          <w:right w:w="28" w:type="dxa"/>
        </w:tblCellMar>
      </w:tblPr>
      <w:tblGrid>
        <w:gridCol w:w="4851"/>
        <w:gridCol w:w="146"/>
        <w:gridCol w:w="246"/>
        <w:gridCol w:w="913"/>
        <w:gridCol w:w="194"/>
        <w:gridCol w:w="170"/>
        <w:gridCol w:w="246"/>
        <w:gridCol w:w="913"/>
        <w:gridCol w:w="61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118,927</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103,571</w:t>
            </w:r>
          </w:p>
        </w:tc>
        <w:tc>
          <w:tcPr>
            <w:tcW w:w="611" w:type="dxa"/>
            <w:tcBorders/>
            <w:shd w:fill="CFF0FC" w:val="clear"/>
            <w:vAlign w:val="center"/>
          </w:tcPr>
          <w:p>
            <w:pPr>
              <w:pStyle w:val="TableContents"/>
              <w:bidi w:val="0"/>
              <w:spacing w:before="0" w:after="283"/>
              <w:jc w:val="left"/>
              <w:rPr/>
            </w:pPr>
            <w:r>
              <w:rPr/>
              <w:t> </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72,678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46,249</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40,901</w:t>
            </w:r>
          </w:p>
        </w:tc>
        <w:tc>
          <w:tcPr>
            <w:tcW w:w="611" w:type="dxa"/>
            <w:tcBorders/>
            <w:shd w:fill="CFF0FC" w:val="clear"/>
            <w:vAlign w:val="center"/>
          </w:tcPr>
          <w:p>
            <w:pPr>
              <w:pStyle w:val="TableContents"/>
              <w:bidi w:val="0"/>
              <w:spacing w:before="0" w:after="283"/>
              <w:jc w:val="left"/>
              <w:rPr/>
            </w:pPr>
            <w:r>
              <w:rPr/>
              <w:t> </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23,210</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21,416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12,622</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11,620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8,523</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14,940</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15,126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Impairment of assets</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5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59,446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(13,197</w:t>
            </w:r>
          </w:p>
        </w:tc>
        <w:tc>
          <w:tcPr>
            <w:tcW w:w="1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(15,199</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(expenses):</w:t>
            </w:r>
          </w:p>
        </w:tc>
        <w:tc>
          <w:tcPr>
            <w:tcW w:w="146"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1159"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(1,205</w:t>
            </w:r>
          </w:p>
        </w:tc>
        <w:tc>
          <w:tcPr>
            <w:tcW w:w="1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and dividend income</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2,994</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(597</w:t>
            </w:r>
          </w:p>
        </w:tc>
        <w:tc>
          <w:tcPr>
            <w:tcW w:w="1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9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from unconsolidated joint venture</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5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 (expenses)</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(11,871</w:t>
            </w:r>
          </w:p>
        </w:tc>
        <w:tc>
          <w:tcPr>
            <w:tcW w:w="1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(15,041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(12,010</w:t>
            </w:r>
          </w:p>
        </w:tc>
        <w:tc>
          <w:tcPr>
            <w:tcW w:w="1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(15,041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(12,023</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(15,037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following table sets forth our unaudited statements of operations data expressed as a percentage of total revenue for the periods indicated:</w:t>
      </w:r>
      <w:r>
        <w:rPr>
          <w:rFonts w:ascii="Times New Roman" w:hAnsi="Times New Roman"/>
          <w:color w:val="000000"/>
          <w:sz w:val="20"/>
        </w:rPr>
        <w:t xml:space="preserve"> </w:t>
      </w:r>
    </w:p>
    <w:tbl>
      <w:tblPr>
        <w:tblW w:w="8457" w:type="dxa"/>
        <w:jc w:val="left"/>
        <w:tblInd w:w="0" w:type="dxa"/>
        <w:tblLayout w:type="fixed"/>
        <w:tblCellMar>
          <w:top w:w="28" w:type="dxa"/>
          <w:left w:w="28" w:type="dxa"/>
          <w:bottom w:w="28" w:type="dxa"/>
          <w:right w:w="28" w:type="dxa"/>
        </w:tblCellMar>
      </w:tblPr>
      <w:tblGrid>
        <w:gridCol w:w="4851"/>
        <w:gridCol w:w="146"/>
        <w:gridCol w:w="205"/>
        <w:gridCol w:w="802"/>
        <w:gridCol w:w="465"/>
        <w:gridCol w:w="205"/>
        <w:gridCol w:w="205"/>
        <w:gridCol w:w="802"/>
        <w:gridCol w:w="776"/>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center"/>
              <w:rPr/>
            </w:pPr>
            <w:r>
              <w:rPr/>
              <w:t> </w:t>
            </w:r>
          </w:p>
        </w:tc>
        <w:tc>
          <w:tcPr>
            <w:tcW w:w="465"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center"/>
              <w:rPr/>
            </w:pPr>
            <w:r>
              <w:rPr/>
              <w:t> </w:t>
            </w:r>
          </w:p>
        </w:tc>
        <w:tc>
          <w:tcPr>
            <w:tcW w:w="776" w:type="dxa"/>
            <w:tcBorders/>
            <w:shd w:fill="FFFFFF" w:val="clear"/>
            <w:vAlign w:val="center"/>
          </w:tcPr>
          <w:p>
            <w:pPr>
              <w:pStyle w:val="TableContents"/>
              <w:bidi w:val="0"/>
              <w:spacing w:before="0" w:after="283"/>
              <w:jc w:val="center"/>
              <w:rPr/>
            </w:pPr>
            <w:r>
              <w:rPr/>
              <w:t> </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4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60.5</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39.5</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465"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w:t>
            </w:r>
          </w:p>
        </w:tc>
        <w:tc>
          <w:tcPr>
            <w:tcW w:w="4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4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Impairment of assets</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4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465"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4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and dividend income</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4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from unconsolidated joint venture</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 (expenses)</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SaaS products and supplies.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Revenue and cost of revenue is presented in the following tables for the three months ended September 30, 2023 and 2022 (in thousands):</w:t>
      </w:r>
    </w:p>
    <w:tbl>
      <w:tblPr>
        <w:tblW w:w="4319" w:type="dxa"/>
        <w:jc w:val="left"/>
        <w:tblInd w:w="0" w:type="dxa"/>
        <w:tblLayout w:type="fixed"/>
        <w:tblCellMar>
          <w:top w:w="28" w:type="dxa"/>
          <w:left w:w="28" w:type="dxa"/>
          <w:bottom w:w="28" w:type="dxa"/>
          <w:right w:w="28" w:type="dxa"/>
        </w:tblCellMar>
      </w:tblPr>
      <w:tblGrid>
        <w:gridCol w:w="1561"/>
        <w:gridCol w:w="146"/>
        <w:gridCol w:w="211"/>
        <w:gridCol w:w="781"/>
        <w:gridCol w:w="271"/>
        <w:gridCol w:w="146"/>
        <w:gridCol w:w="211"/>
        <w:gridCol w:w="676"/>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September 30,</w:t>
            </w:r>
          </w:p>
        </w:tc>
        <w:tc>
          <w:tcPr>
            <w:tcW w:w="316" w:type="dxa"/>
            <w:tcBorders/>
            <w:shd w:fill="FFFFFF" w:val="cle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102,473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84,060</w:t>
            </w:r>
          </w:p>
        </w:tc>
        <w:tc>
          <w:tcPr>
            <w:tcW w:w="316" w:type="dxa"/>
            <w:tcBorders/>
            <w:shd w:fill="FFFFFF" w:val="cle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70,578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58,479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31,895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25,581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Supplier services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16,454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19,511</w:t>
            </w:r>
          </w:p>
        </w:tc>
        <w:tc>
          <w:tcPr>
            <w:tcW w:w="316" w:type="dxa"/>
            <w:tcBorders/>
            <w:shd w:fill="CFF0FC"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14,354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15,320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Total revenue increased $15.4 million, or 15%, from $103.6 million for the three months ended September 30, 2022 to $118.9 million for the three months ended September 30, 2023. This growth was a result of an increase in marketplace revenue, partially offset by a decrease in supplier services revenue. Total revenue from marketplace and supplier services for the three months ended September 30, 2023 was $102.5 million and $16.5 million, respectively, as compared to $84.1 million and $19.5 million, respectively, for the three months ended September 30, 2022. Marketplace revenue increased $18.4 million, or 22% from $84.1 million for the three months ended September 30, 2022 to $102.5 million for the three months ended September 30, 2023. The increase in marketplace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revenue was primarily due increased buyer activity on the platform for the three months ended September 30, 2023, as compared to the prior year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Supplier services revenue decreased $3.1 million, or 16% from $19.5 million for the three months ended September 30, 2022 to $16.5 million for the three months ended September 30, 2023. The decrease in revenue was primarily due to our exit from the supplies business in the U.S. during the second quarter of 2023.</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Total revenue for the three months ended September 30, 2023 and 2022, was $103.4 million and $94.8 million, respectively, for the U.S. operating segment, and $15.5 million and $8.7 million, respectively, for the International operating segment.</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Total cost of revenue increased $10.0 million, or 16%, from $62.7 million for the three months ended September 30, 2022 to $72.7 million for the three months ended September 30, 2023. This increase was the result of an increase in marketplace cost of revenue offset by a decrease in supplier services costs of revenue. Total cost of revenue from marketplace and supplier services for the three months ended September 30, 2023 was $70.6 million and $2.1 million, respectively, as compared to $58.5 million and $4.2 million, respectively for the three months ended September 30,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Marketplace cost of revenue was driven by increased payments to suppliers on our platform due to order growth and increased activity on our marketplace.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 and Margin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Gross profit increased $5.3 million, or 13%, from $40.9 million for the three months ended September 30, 2022 to $46.2 million for the three months ended September 30, 2023. The increase in gross profit was primarily due to increases in revenue from marketplace and improved marketplace gross margins as compared to the prior year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Gross margin for marketplace was 31.1% for the three months ended September 30, 2023, as compared to 30.4% for the three months ended September 30, 2022. The improvement over the prior year period was due in part to our AI-driven platform and increasing supplier selection.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was 87.2% for the three months ended September 30, 2023, as compared to 78.5% for the three months ended September 30, 2022. The increase in gross margin for supplier services is primarily due to a higher mix of marketing services revenue and the exit from the lower margin supplies business. As marketplace revenue continues to grow, our aggregate gross margin will change.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Sales and marketing expense increased $1.8 million, or 8%, from $21.4 million for the three months ended September 30, 2022 to $23.2 million for the three months ended September 30, 2023, primarily due to sales commissions resulting from sales growth offset by lower advertising costs. As a percent of total revenue, sales and marketing expenses decreased to 19.5% for the three months ended September 30, 2023 from 20.7% for the three months ended September 30,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Operations and Support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Operations and support expense increased $1.0 million, or 9%, from $11.6 million for the three months ended September 30, 2022 to $12.6 million for the three months ended September 30, 2023, due to increases in consulting costs and hiring additional operations and support employees and their compensation, including stock-based compensation. As a percent of total revenue, operations and support expenses decreased to 10.6% for the three months ended September 30, 2023 from 11.2% for the three months ended September 30,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Product development expense increased $0.9 million, or 12%, from $7.6 million for the three months ended September 30, 2022 to $8.5 million for the three months ended September 30, 2023, primarily as result of increases in depreciation expense related to capitalized internal-use software development costs, hiring additional product development employees and their compensation, including stock-based compensation, and additional software costs, offset by a decrease in consulting expense. As a percent of total revenue, product development expenses decreased to 7.2% for the three months ended September 30, 2023 as compared to 7.4% for the three months ended September 30, 2022.</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val="false"/>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 decreased $0.2 million, or 1%, from $15.1 million for the three months ended September 30, 2022 to $14.9 million for the three months ended September 30, 2023. The decrease is due to a reduction in non-cash charitable contributions of Class A common stock and lower facility cost due to the abandonment of leased offices in the second quarter of 2023. Offsetting these decreases are increased costs for software and maintenance, consulting expense and professional fees. As a percent of total revenue, general and administrative expenses decreased to 12.6% for the for the three months ended September 30, 2023 from 14.6% for the three months ended September 30,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Impairment of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Impairment expense decreased $0.2 million, or 54%, from $0.3 million for the three months ended September 30, 2022 to $0.2 million for the three months ended September 30, 2023. As a percent of total revenue, impairment expense decreased to 0.1% for the for the three months ended September 30, 2023 from 0.3% for the three months ended September 30,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remained flat at $1.2 million for the three months ended September 30, 2022 and for the three months ended September 30, 2023. Interest expense is primarily due to the interest on the 2027 convertible notes issued in February 2022.</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Interest and Dividend Income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and dividend income increased by $1.7 million, or 123%, from $1.3 million for the three months ended September 30, 2022 to $3.0 million for the three months ended September 30, 2023, primarily due to dividend income from our marketable securities</w:t>
      </w:r>
      <w:r>
        <w:rPr>
          <w:rFonts w:ascii="Times New Roman" w:hAnsi="Times New Roman"/>
          <w:b w:val="false"/>
          <w:color w:val="FF0000"/>
          <w:sz w:val="20"/>
        </w:rPr>
        <w:t>.</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Other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Other expenses increased by $0.3 million, or 107%, from $0.3 million for the three months ended September 30, 2022 to $0.6 for the three months ended September 30, 2023.</w:t>
      </w:r>
    </w:p>
    <w:p>
      <w:pPr>
        <w:pStyle w:val="TextBody"/>
        <w:bidi w:val="0"/>
        <w:jc w:val="left"/>
        <w:rPr>
          <w:rFonts w:ascii="Times New Roman" w:hAnsi="Times New Roman"/>
          <w:sz w:val="20"/>
        </w:rPr>
      </w:pPr>
      <w:r>
        <w:rPr>
          <w:rFonts w:ascii="Times New Roman" w:hAnsi="Times New Roman"/>
          <w:b w:val="false"/>
          <w:i/>
          <w:color w:val="000000"/>
          <w:sz w:val="20"/>
        </w:rPr>
        <w:t>Income from Unconsolidated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Income from unconsolidated joint venture decreased $0.2 million, or 55%, from $0.3 million for the three months ended September 30, 2022 to $0.1 for the three months ended September 30, 2023 due to a decrease in income from our 50% interest in Industrial Media, LLC.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Additional Segment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Total segment loss from our U.S. operating segment for the three months ended September 30, 2023 and 2022, was $7.9 million and $10.7 million, respectively. Total segment loss from our International operating segment for the three months ended September 30, 2023 and 2022, was $4.1 million and $4.3 million, respectively.</w:t>
      </w:r>
    </w:p>
    <w:p>
      <w:pPr>
        <w:pStyle w:val="TextBody"/>
        <w:bidi w:val="0"/>
        <w:spacing w:before="120" w:after="283"/>
        <w:jc w:val="left"/>
        <w:rPr/>
      </w:pPr>
      <w:r>
        <w:rPr/>
        <w:t> </w:t>
      </w:r>
    </w:p>
    <w:p>
      <w:pPr>
        <w:pStyle w:val="TextBody"/>
        <w:bidi w:val="0"/>
        <w:jc w:val="center"/>
        <w:rPr>
          <w:rFonts w:ascii="Times New Roman" w:hAnsi="Times New Roman"/>
          <w:sz w:val="20"/>
        </w:rPr>
      </w:pPr>
      <w:r>
        <w:rPr>
          <w:rFonts w:ascii="Times New Roman" w:hAnsi="Times New Roman"/>
          <w:b/>
          <w:color w:val="000000"/>
          <w:sz w:val="20"/>
        </w:rPr>
        <w:t>Comparison of the Nine Months Ended September 30, 2023 and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sets forth our unaudited statements of operations data for the periods indicated:</w:t>
      </w:r>
      <w:r>
        <w:rPr>
          <w:rFonts w:ascii="Times New Roman" w:hAnsi="Times New Roman"/>
          <w:color w:val="000000"/>
          <w:sz w:val="20"/>
        </w:rPr>
        <w:t xml:space="preserve"> </w:t>
      </w:r>
    </w:p>
    <w:p>
      <w:pPr>
        <w:pStyle w:val="TextBody"/>
        <w:bidi w:val="0"/>
        <w:jc w:val="left"/>
        <w:rPr/>
      </w:pPr>
      <w:r>
        <w:rPr/>
        <w:t> </w:t>
      </w:r>
    </w:p>
    <w:tbl>
      <w:tblPr>
        <w:tblW w:w="8202" w:type="dxa"/>
        <w:jc w:val="left"/>
        <w:tblInd w:w="0" w:type="dxa"/>
        <w:tblLayout w:type="fixed"/>
        <w:tblCellMar>
          <w:top w:w="28" w:type="dxa"/>
          <w:left w:w="28" w:type="dxa"/>
          <w:bottom w:w="28" w:type="dxa"/>
          <w:right w:w="28" w:type="dxa"/>
        </w:tblCellMar>
      </w:tblPr>
      <w:tblGrid>
        <w:gridCol w:w="4851"/>
        <w:gridCol w:w="146"/>
        <w:gridCol w:w="238"/>
        <w:gridCol w:w="883"/>
        <w:gridCol w:w="187"/>
        <w:gridCol w:w="165"/>
        <w:gridCol w:w="238"/>
        <w:gridCol w:w="883"/>
        <w:gridCol w:w="61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vAlign w:val="center"/>
          </w:tcPr>
          <w:p>
            <w:pPr>
              <w:pStyle w:val="TableContents"/>
              <w:bidi w:val="0"/>
              <w:spacing w:before="0" w:after="283"/>
              <w:jc w:val="center"/>
              <w:rPr/>
            </w:pPr>
            <w:r>
              <w:rPr/>
              <w:t> </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335,261</w:t>
            </w:r>
          </w:p>
        </w:tc>
        <w:tc>
          <w:tcPr>
            <w:tcW w:w="18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282,857</w:t>
            </w:r>
          </w:p>
        </w:tc>
        <w:tc>
          <w:tcPr>
            <w:tcW w:w="611" w:type="dxa"/>
            <w:tcBorders/>
            <w:shd w:fill="CFF0FC" w:val="clear"/>
            <w:vAlign w:val="center"/>
          </w:tcPr>
          <w:p>
            <w:pPr>
              <w:pStyle w:val="TableContents"/>
              <w:bidi w:val="0"/>
              <w:spacing w:before="0" w:after="283"/>
              <w:jc w:val="left"/>
              <w:rPr/>
            </w:pPr>
            <w:r>
              <w:rPr/>
              <w:t> </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206,087</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171,321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129,174</w:t>
            </w:r>
          </w:p>
        </w:tc>
        <w:tc>
          <w:tcPr>
            <w:tcW w:w="18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111,536</w:t>
            </w:r>
          </w:p>
        </w:tc>
        <w:tc>
          <w:tcPr>
            <w:tcW w:w="611" w:type="dxa"/>
            <w:tcBorders/>
            <w:shd w:fill="CFF0FC" w:val="clear"/>
            <w:vAlign w:val="center"/>
          </w:tcPr>
          <w:p>
            <w:pPr>
              <w:pStyle w:val="TableContents"/>
              <w:bidi w:val="0"/>
              <w:spacing w:before="0" w:after="283"/>
              <w:jc w:val="left"/>
              <w:rPr/>
            </w:pPr>
            <w:r>
              <w:rPr/>
              <w:t> </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68,315</w:t>
            </w:r>
          </w:p>
        </w:tc>
        <w:tc>
          <w:tcPr>
            <w:tcW w:w="18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58,846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39,450</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36,158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25,570</w:t>
            </w:r>
          </w:p>
        </w:tc>
        <w:tc>
          <w:tcPr>
            <w:tcW w:w="187"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22,698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56,479</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43,143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Impairment of assets</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5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190,211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161,289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(61,037</w:t>
            </w:r>
          </w:p>
        </w:tc>
        <w:tc>
          <w:tcPr>
            <w:tcW w:w="1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(49,753</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(expenses):</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right"/>
              <w:rPr/>
            </w:pPr>
            <w:r>
              <w:rPr/>
              <w:t> </w:t>
            </w:r>
          </w:p>
        </w:tc>
        <w:tc>
          <w:tcPr>
            <w:tcW w:w="165" w:type="dxa"/>
            <w:tcBorders/>
            <w:shd w:fill="FFFFFF" w:val="clear"/>
            <w:vAlign w:val="center"/>
          </w:tcPr>
          <w:p>
            <w:pPr>
              <w:pStyle w:val="TableContents"/>
              <w:bidi w:val="0"/>
              <w:spacing w:before="0" w:after="283"/>
              <w:jc w:val="left"/>
              <w:rPr/>
            </w:pPr>
            <w:r>
              <w:rPr/>
              <w:t> </w:t>
            </w:r>
          </w:p>
        </w:tc>
        <w:tc>
          <w:tcPr>
            <w:tcW w:w="1121"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(3,596</w:t>
            </w:r>
          </w:p>
        </w:tc>
        <w:tc>
          <w:tcPr>
            <w:tcW w:w="1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(3,172</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and dividend income</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8,648</w:t>
            </w:r>
          </w:p>
        </w:tc>
        <w:tc>
          <w:tcPr>
            <w:tcW w:w="18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expenses</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(1,156</w:t>
            </w:r>
          </w:p>
        </w:tc>
        <w:tc>
          <w:tcPr>
            <w:tcW w:w="1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from unconsolidated joint venture</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5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 (expenses)</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(56,704</w:t>
            </w:r>
          </w:p>
        </w:tc>
        <w:tc>
          <w:tcPr>
            <w:tcW w:w="1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(52,144</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(56,912</w:t>
            </w:r>
          </w:p>
        </w:tc>
        <w:tc>
          <w:tcPr>
            <w:tcW w:w="1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(51,585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(56,921</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(51,602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 sets forth our unaudited statements of operations data expressed as a percentage of total revenue for the periods indicated:</w:t>
      </w:r>
    </w:p>
    <w:tbl>
      <w:tblPr>
        <w:tblW w:w="8366" w:type="dxa"/>
        <w:jc w:val="left"/>
        <w:tblInd w:w="0" w:type="dxa"/>
        <w:tblLayout w:type="fixed"/>
        <w:tblCellMar>
          <w:top w:w="28" w:type="dxa"/>
          <w:left w:w="28" w:type="dxa"/>
          <w:bottom w:w="28" w:type="dxa"/>
          <w:right w:w="28" w:type="dxa"/>
        </w:tblCellMar>
      </w:tblPr>
      <w:tblGrid>
        <w:gridCol w:w="4851"/>
        <w:gridCol w:w="146"/>
        <w:gridCol w:w="198"/>
        <w:gridCol w:w="775"/>
        <w:gridCol w:w="449"/>
        <w:gridCol w:w="198"/>
        <w:gridCol w:w="198"/>
        <w:gridCol w:w="775"/>
        <w:gridCol w:w="776"/>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shd w:fill="FFFFFF" w:val="clear"/>
            <w:vAlign w:val="center"/>
          </w:tcPr>
          <w:p>
            <w:pPr>
              <w:pStyle w:val="TableContents"/>
              <w:bidi w:val="0"/>
              <w:spacing w:before="0" w:after="283"/>
              <w:jc w:val="center"/>
              <w:rPr/>
            </w:pPr>
            <w:r>
              <w:rPr/>
              <w:t> </w:t>
            </w:r>
          </w:p>
        </w:tc>
        <w:tc>
          <w:tcPr>
            <w:tcW w:w="776" w:type="dxa"/>
            <w:tcBorders/>
            <w:shd w:fill="FFFFFF" w:val="clear"/>
            <w:vAlign w:val="center"/>
          </w:tcPr>
          <w:p>
            <w:pPr>
              <w:pStyle w:val="TableContents"/>
              <w:bidi w:val="0"/>
              <w:spacing w:before="0" w:after="283"/>
              <w:jc w:val="center"/>
              <w:rPr/>
            </w:pPr>
            <w:r>
              <w:rPr/>
              <w:t> </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4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73" w:type="dxa"/>
            <w:gridSpan w:val="2"/>
            <w:tcBorders/>
            <w:shd w:fill="FFFFFF" w:val="clear"/>
            <w:vAlign w:val="center"/>
          </w:tcPr>
          <w:p>
            <w:pPr>
              <w:pStyle w:val="TableContents"/>
              <w:bidi w:val="0"/>
              <w:spacing w:before="0" w:after="283"/>
              <w:jc w:val="right"/>
              <w:rPr/>
            </w:pPr>
            <w:r>
              <w:rPr/>
              <w:t> </w:t>
            </w:r>
          </w:p>
        </w:tc>
        <w:tc>
          <w:tcPr>
            <w:tcW w:w="449"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973"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4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Operations and support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4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 development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4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4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Impairment of assets</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w:t>
            </w:r>
          </w:p>
        </w:tc>
        <w:tc>
          <w:tcPr>
            <w:tcW w:w="4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w:t>
            </w:r>
          </w:p>
        </w:tc>
        <w:tc>
          <w:tcPr>
            <w:tcW w:w="7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(expenses):</w:t>
            </w:r>
          </w:p>
        </w:tc>
        <w:tc>
          <w:tcPr>
            <w:tcW w:w="146" w:type="dxa"/>
            <w:tcBorders/>
            <w:shd w:fill="FFFFFF" w:val="clear"/>
            <w:vAlign w:val="center"/>
          </w:tcPr>
          <w:p>
            <w:pPr>
              <w:pStyle w:val="TableContents"/>
              <w:bidi w:val="0"/>
              <w:spacing w:before="0" w:after="283"/>
              <w:jc w:val="left"/>
              <w:rPr/>
            </w:pPr>
            <w:r>
              <w:rPr/>
              <w:t> </w:t>
            </w:r>
          </w:p>
        </w:tc>
        <w:tc>
          <w:tcPr>
            <w:tcW w:w="973" w:type="dxa"/>
            <w:gridSpan w:val="2"/>
            <w:tcBorders/>
            <w:shd w:fill="FFFFFF" w:val="clear"/>
            <w:vAlign w:val="center"/>
          </w:tcPr>
          <w:p>
            <w:pPr>
              <w:pStyle w:val="TableContents"/>
              <w:bidi w:val="0"/>
              <w:spacing w:before="0" w:after="283"/>
              <w:jc w:val="right"/>
              <w:rPr/>
            </w:pPr>
            <w:r>
              <w:rPr/>
              <w:t> </w:t>
            </w:r>
          </w:p>
        </w:tc>
        <w:tc>
          <w:tcPr>
            <w:tcW w:w="449"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973" w:type="dxa"/>
            <w:gridSpan w:val="2"/>
            <w:tcBorders/>
            <w:shd w:fill="FFFFFF" w:val="clear"/>
            <w:vAlign w:val="center"/>
          </w:tcPr>
          <w:p>
            <w:pPr>
              <w:pStyle w:val="TableContents"/>
              <w:bidi w:val="0"/>
              <w:spacing w:before="0" w:after="283"/>
              <w:jc w:val="right"/>
              <w:rPr/>
            </w:pPr>
            <w:r>
              <w:rPr/>
              <w:t> </w:t>
            </w:r>
          </w:p>
        </w:tc>
        <w:tc>
          <w:tcPr>
            <w:tcW w:w="776" w:type="dxa"/>
            <w:tcBorders/>
            <w:shd w:fill="FFFFFF" w:val="clear"/>
            <w:vAlign w:val="center"/>
          </w:tcPr>
          <w:p>
            <w:pPr>
              <w:pStyle w:val="TableContents"/>
              <w:bidi w:val="0"/>
              <w:spacing w:before="0" w:after="283"/>
              <w:ind w:left="0" w:right="0" w:firstLine="200"/>
              <w:jc w:val="right"/>
              <w:rPr/>
            </w:pPr>
            <w:r>
              <w:rPr/>
              <w:t> </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4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and dividend income</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4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w:t>
            </w:r>
          </w:p>
        </w:tc>
        <w:tc>
          <w:tcPr>
            <w:tcW w:w="4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77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from unconsolidated joint venture</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other income (expenses)</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w:t>
            </w:r>
          </w:p>
        </w:tc>
        <w:tc>
          <w:tcPr>
            <w:tcW w:w="4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77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4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w:t>
            </w:r>
          </w:p>
        </w:tc>
        <w:tc>
          <w:tcPr>
            <w:tcW w:w="7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(loss)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SaaS products and supplies.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Revenue and cost of revenue is presented in the following tables for the nine months ended September 30, 2023 and 2022 (in thousands):</w:t>
      </w:r>
    </w:p>
    <w:tbl>
      <w:tblPr>
        <w:tblW w:w="4424" w:type="dxa"/>
        <w:jc w:val="left"/>
        <w:tblInd w:w="0" w:type="dxa"/>
        <w:tblLayout w:type="fixed"/>
        <w:tblCellMar>
          <w:top w:w="28" w:type="dxa"/>
          <w:left w:w="28" w:type="dxa"/>
          <w:bottom w:w="28" w:type="dxa"/>
          <w:right w:w="28" w:type="dxa"/>
        </w:tblCellMar>
      </w:tblPr>
      <w:tblGrid>
        <w:gridCol w:w="1561"/>
        <w:gridCol w:w="146"/>
        <w:gridCol w:w="211"/>
        <w:gridCol w:w="781"/>
        <w:gridCol w:w="271"/>
        <w:gridCol w:w="146"/>
        <w:gridCol w:w="211"/>
        <w:gridCol w:w="781"/>
        <w:gridCol w:w="31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282,664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224,073</w:t>
            </w:r>
          </w:p>
        </w:tc>
        <w:tc>
          <w:tcPr>
            <w:tcW w:w="316" w:type="dxa"/>
            <w:tcBorders/>
            <w:shd w:fill="CFF0FC" w:val="cle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196,240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158,712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86,424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65,361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Supplier services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52,597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58,784</w:t>
            </w:r>
          </w:p>
        </w:tc>
        <w:tc>
          <w:tcPr>
            <w:tcW w:w="316" w:type="dxa"/>
            <w:tcBorders/>
            <w:shd w:fill="FFFFFF" w:val="cle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12,609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42,750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46,175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78.6</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Total revenue increased $52.4 million, or 19%, from $282.9 million for the nine months ended September 30, 2022 to $335.3 million for the nine months ended September 30, 2023. This growth was a result of an increase in marketplace revenue, partially offset by a decrease in supplier services revenue. Marketplace revenue increased $58.6 million, or 26% from $224.1 million for the nine months ended September 30, 2022 to $282.7 million for the nine months ended September 30, 2023. The increase in marketplace revenue was primarily due increased buyers activity on the platform for the nine months ended September 30, 2023, as compared to the prior year period.</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val="false"/>
          <w:color w:val="000000"/>
          <w:sz w:val="20"/>
        </w:rPr>
        <w:t>Supplier services revenue decreased $6.2 million, or 11% from $58.8 million for the nine months ended September 30, 2022 to $52.6 million for the nine months ended September 30, 2023. The decrease in revenue was primarily due to our exit from the supplies business in the U.S. during the second quarter of 2023.</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Total revenue for the nine months ended September 30, 2023 and 2022, was $292.7 million and $258.6 million, respectively, for the U.S. operating segment, and $42.5 million and $24.3 million, respectively, for the International operating segment.</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Total cost of revenue increased $34.8 million, or 20%, from $171.3 million for the nine months ended September 30, 2022 to $206.1 million for the nine months ended September 30, 2023. This increase was the result of an increase in marketplace cost of revenue offset by a decrease in supplier services costs of revenue. Total cost of revenue from marketplace and supplier services for the nine months ended September 30, 2023 was $196.2 million and $9.8 million, respectively, as compared to $158.7 million and $12.6 million, respectively for the nine months ended September 30,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Marketplace cost of revenue was driven by increased payments to suppliers on our platform due to order growth and increased activity on our marketplace.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 and Margin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Gross profit increased $17.6 million, or 16%, from $111.5 million for the nine months ended September 30, 2022 to $129.2 million for the nine months ended September 30, 2023. The increase in gross profit was primarily due to increases in revenue from marketplace and improved marketplace gross margins as compared to the prior year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Gross margin for marketplace was 30.6% for the nine months ended September 30, 2023, as compared to 29.2% for the nine months ended September 30, 2022. The improvement over the prior year period was due in part to our AI-driven platform and increasing supplier selection.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improved to 81.3% for the nine months ended September 30, 2023, as compared to 78.6% for the nine months ended September 30, 2022. The increase in gross margin for supplier services is primarily due to a higher mix of marketing services revenue and the exit from the lower margin supplies business. As marketplace revenue continues to grow, our aggregate gross margin will change.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Sales and Marketing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rPr>
        <w:t>Sales and marketing expense increased $9.5 million, or 16%, from $58.8 million for the nine months ended September 30, 2022 to $68.3 million for the nine months ended September 30, 2023, the increase was primarily due to increases in commissions expense due to increased sales and additional sales and marketing employees and compensation costs, including stock-based compensation. As a percent of total revenue, sales and marketing expenses decreased to 20.4% for the nine months ended September 30, 2023 from 20.8% for the nine months ended September 30,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Operations and Support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Operations and support expense increased $3.3 million, or 9%, from $36.2 million for the nine months ended September 30, 2022 to $39.5 million for the nine months ended September 30, 2023, primarily due to hiring of additional operations and support employees and their compensation costs, including stock-based compensation, and expenses incurred as part of the Company's restructuring and exit from the supplies business. As a percent of total revenue, operations and support expenses decreased to 11.8% for the nine months ended September 30, 2023 from 12.8% for the nine months ended September 30,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Product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Product development expense increased $2.9 million, or 13%, from $22.7 million for the nine months ended September 30, 2022 to $25.6 million for the nine months ended September 30, 2023, primarily as result of increases in depreciation expense related to capitalized internal-use software development costs, hiring additional product development employees and their compensation, including stock-based compensation and additional software and maintenance costs. Offsetting these costs were decreases in consulting expenses. As a percent of total revenue, product development expenses decreased slightly to 7.6% for the nine months ended September 30, 2023 from 8.0% for the nine months ended September 30,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 increased $13.3 million, or 31%, from $43.1 million for the nine months ended September 30, 2022 to $56.5 million for the nine months ended September 30, 2023. The primary driver of the increase was due to the abandonment of multiple company leases resulting in a one-time $8.7 million increase in operating lease expense. In addition, there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sz w:val="20"/>
        </w:rPr>
      </w:pPr>
      <w:r>
        <w:rPr>
          <w:rFonts w:ascii="Times New Roman" w:hAnsi="Times New Roman"/>
          <w:b w:val="false"/>
          <w:color w:val="000000"/>
          <w:sz w:val="20"/>
        </w:rPr>
        <w:t>were higher professional fees related to accounting and legal services, higher software and maintenance costs and consulting expenses. These increases were partially offset by a reduction in non-cash charitable contributions of Class A common stock and insurance costs. As a percent of total revenue, general and administrative expenses increased to 16.8% for the nine months ended September 30, 2023 from 15.3% for the nine months ended September 30,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Impairment of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Impairment expense remained constant at approximately $0.4 million for the nine months ended September 30, 2022 and 2023. As a percent of total revenue, impairments expense decreased to 0.1% for the nine months ended September 30, 2023 from 0.2% for the nine months ended September 30,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(Expenses)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increased by $0.4 million, or 13%, from $3.2 million for the nine months ended September 30, 2022 to $3.6 million for the nine months ended September 30, 2023, primarily due to the interest on the 2027 convertible notes issued in February 2022.</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Interest and Dividend Income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and dividend income increased by $6.7 million, or 352%, from $1.9 million for the nine months ended September 30, 2022 to $8.6 million for the nine months ended September 30, 2023, primarily due to dividend income from our marketable securities</w:t>
      </w:r>
      <w:r>
        <w:rPr>
          <w:rFonts w:ascii="Times New Roman" w:hAnsi="Times New Roman"/>
          <w:b w:val="false"/>
          <w:color w:val="FF0000"/>
          <w:sz w:val="20"/>
        </w:rPr>
        <w:t>.</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Other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expenses decreased by $0.6 million, or 33%, from $1.7 million for the nine months ended September 30, 2022 to $1.2 million for the nine months ended September 30, 2023, primarily as a result of decreases in unrealized loss on marketable securities.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Income from Unconsolidated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Income from unconsolidated joint venture decreased $0.2 million, or 27%, from $0.6 million for the nine months ended September 30, 2022 to $0.4 million for the nine months ended September 30, 2023, primarily due to a decrease in the income from our 50% interest in Industrial Media, LLC.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Additional Segment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Total segment loss from our U.S. operating segment for the nine months ended September 30, 2023 and 2022, was $43.7 million and $37.0 million, respectively. Total segment loss from our International operating segment for the nine months ended September 30, 2023 and 2022, was $13.2 million and $14.6 million, respectively.</w:t>
      </w:r>
    </w:p>
    <w:p>
      <w:pPr>
        <w:pStyle w:val="TextBody"/>
        <w:bidi w:val="0"/>
        <w:jc w:val="left"/>
        <w:rPr/>
      </w:pPr>
      <w:r>
        <w:rPr/>
        <w:t> </w:t>
      </w:r>
    </w:p>
    <w:p>
      <w:pPr>
        <w:pStyle w:val="TextBody"/>
        <w:bidi w:val="0"/>
        <w:jc w:val="center"/>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financed our operations primarily through sales of our equity securities and borrowings under our convertible notes. As of September 30, 2023, our cash and cash equivalents and marketable securities totaled $276.8 million. We believe our existing cash and cash equivalents and marketable securities will be sufficient to support our working capital and capital expenditure requirements for at least the next twelve months and over the long-term.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capital expenditures consist primarily of internal-use software costs, manufacturing equipment, computers and peripheral equipment, furniture and fixtures and leasehold improvements and patents.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Convertible Notes due 2027</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2027 Notes are unsecured obligations which bear regular interest at 1% per annum and for which the principal balance will not accrete. Interest payment are due on February 1 and August 1 of each year the Notes remain outstanding. The 2027 Notes will mature on February 1, 2027 unless repurchased, redeemed, or converted in accordance with their terms prior to such date.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Holders of the 2027 Notes may convert all or a portion of their 2027 Notes at their option prior to November 1, 2026, in multiples of $1,000 principal amounts, only under the following circumstances: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on the occurrence of specified corporate events.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or after November 1, 2026, the 2027 Notes are convertible at any time until the close of business on the second scheduled trading day immediately preceding the maturity date.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accounted for the issuance of the 2027 Notes as a single liability measured at its amortized cost, as no other embedded features require bifurcation and recognition as derivatives.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2027 Notes have a carrying value of $281.3 million with an effective annual interest rate of 1.6%.</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from time to time, repurchase our convertible senior notes using cash on hand, either on the open market or in privately negotiated transactions.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presents a summary of our cash flows from operating, investing, and financing activities for the nine months ended September 30, 2023 and 2022.</w:t>
      </w:r>
      <w:r>
        <w:rPr>
          <w:rFonts w:ascii="Times New Roman" w:hAnsi="Times New Roman"/>
          <w:color w:val="000000"/>
          <w:sz w:val="20"/>
        </w:rPr>
        <w:t xml:space="preserve"> </w:t>
      </w:r>
    </w:p>
    <w:tbl>
      <w:tblPr>
        <w:tblW w:w="7152" w:type="dxa"/>
        <w:jc w:val="left"/>
        <w:tblInd w:w="0" w:type="dxa"/>
        <w:tblLayout w:type="fixed"/>
        <w:tblCellMar>
          <w:top w:w="28" w:type="dxa"/>
          <w:left w:w="28" w:type="dxa"/>
          <w:bottom w:w="28" w:type="dxa"/>
          <w:right w:w="28" w:type="dxa"/>
        </w:tblCellMar>
      </w:tblPr>
      <w:tblGrid>
        <w:gridCol w:w="4201"/>
        <w:gridCol w:w="146"/>
        <w:gridCol w:w="237"/>
        <w:gridCol w:w="826"/>
        <w:gridCol w:w="186"/>
        <w:gridCol w:w="164"/>
        <w:gridCol w:w="237"/>
        <w:gridCol w:w="944"/>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(28,583</w:t>
            </w:r>
          </w:p>
        </w:tc>
        <w:tc>
          <w:tcPr>
            <w:tcW w:w="1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(45,510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6,181</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(291,336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1,428</w:t>
            </w:r>
          </w:p>
        </w:tc>
        <w:tc>
          <w:tcPr>
            <w:tcW w:w="186"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281,506</w:t>
            </w:r>
          </w:p>
        </w:tc>
        <w:tc>
          <w:tcPr>
            <w:tcW w:w="21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 months ended September 30, 2023, net cash used in operating activities was $28.6 million, primarily due to a net loss of $(56.9) million adjusted for non-cash charges of $40.3 million and a net decrease in our operating assets and liabilities of $(12.0) million. The non-cash adjustments primarily relate to stock-based compensation of $16.2 million, $13.3 million of reduction to our right of use lease assets, and depreciation and amortization of $7.9 million. The net decrease in operating assets and liabilities is primarily driven by changes in accounts receivable of $14.9 million and lease liabilities of $3.8 million, offset by changes in contract liabilities of $1.2 million, accrued expenses of $1.0 million, prepaid expenses of $2.3 million and other assets of $1.4 million.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2022, net cash used in operating activities was $45.5 million, primarily due to a net loss of $(51.6) million adjusted for non-cash charges of $30.6 million and a net decrease in our operating assets and liabilities of $(24.5) million. The non-cash adjustments primarily relate to stock-based compensation of $14.0 million, depreciation and amortization of $5.7 million, $1.7 million unrealized loss on marketable securities, $2.3 million donation of common stock and $5.4 million of reduction to our right of use lease assets. The net decrease in operating assets and liabilities is primarily driven by changes in accounts receivable of $19.0 million, primarily due to our continued revenue growth, other assets of $3.9 million, inventory of $3.7 million, prepaid expenses of $1.8 million and lease liabilities of $4.2 million, offset by changes in accrued expenses of $5.6 million and contract liabilities of $2.8 million.</w:t>
      </w:r>
    </w:p>
    <w:p>
      <w:pPr>
        <w:pStyle w:val="TextBody"/>
        <w:bidi w:val="0"/>
        <w:spacing w:before="12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 months ended September 30, 2023, net cash provided by investing activities was $6.2 million, primarily due to the proceeds from the sale of marketable securities of $30.0 million offset by the purchase of property and equipment (which includes internal-use software development costs) of $12.1 million, $8.6 million for the purchase of marketable securities, and $3.3 million for the acquisition of Tridi.</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 months ended September 30, 2022, net cash used by investing activities was $291.3 million, primarily due to the purchase of marketable securities of $281.9 million and $9.6 million for purchases of property and equipment (which includes internal-use software development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 months ended September 30, 2023, net cash provided by financing activities was $1.4 million, relating to proceeds from the exercise of 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 months ended September 30, 2022, net cash provided by financing activities was $281.5 million, reflecting $287.5 million of proceeds from the issuance of the 2027 convertible senior notes and $3.3 million of proceeds from the exercise of stock options. These inflows were offset by $9.3 million of convertible note costs incurred in connection with these notes.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w:t>
      </w:r>
      <w:r>
        <w:rPr>
          <w:rFonts w:ascii="Times New Roman" w:hAnsi="Times New Roman"/>
          <w:color w:val="000000"/>
          <w:sz w:val="20"/>
        </w:rPr>
        <w:t xml:space="preserve">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left"/>
        <w:rPr/>
      </w:pPr>
      <w:r>
        <w:rPr>
          <w:rFonts w:ascii="Times New Roman" w:hAnsi="Times New Roman"/>
          <w:b w:val="false"/>
          <w:color w:val="000000"/>
          <w:sz w:val="20"/>
        </w:rPr>
        <w:t xml:space="preserve">estimates and our actual results, our future financial statements will be affected. For additional information about our critical accounting policies and estimates, see the disclosure included in our </w:t>
      </w:r>
      <w:hyperlink r:id="rId5">
        <w:r>
          <w:rPr>
            <w:rStyle w:val="InternetLink"/>
            <w:rFonts w:ascii="Times New Roman" w:hAnsi="Times New Roman"/>
            <w:b w:val="false"/>
            <w:color w:val="0000FF"/>
            <w:sz w:val="20"/>
            <w:u w:val="single"/>
          </w:rPr>
          <w:t>Annual Report on Form 10-K</w:t>
        </w:r>
      </w:hyperlink>
      <w:r>
        <w:rPr>
          <w:rFonts w:ascii="Times New Roman" w:hAnsi="Times New Roman"/>
          <w:color w:val="000000"/>
          <w:sz w:val="20"/>
        </w:rPr>
        <w:t xml:space="preserve"> </w:t>
      </w:r>
      <w:r>
        <w:rPr>
          <w:rFonts w:ascii="Times New Roman" w:hAnsi="Times New Roman"/>
          <w:b w:val="false"/>
          <w:color w:val="000000"/>
          <w:sz w:val="20"/>
        </w:rPr>
        <w:t>as well as Note 2 – Basis of Presentation and Summary of Significant Accounting Policies in the notes to the condensed consolidated financial statements included in Part I, Item 1, of this Quarterly Report on Form 10-Q.</w:t>
      </w:r>
    </w:p>
    <w:p>
      <w:pPr>
        <w:pStyle w:val="TextBody"/>
        <w:bidi w:val="0"/>
        <w:spacing w:before="120" w:after="283"/>
        <w:jc w:val="center"/>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a description of our recently adopted accounting pronouncements and recently issued accounting standards not yet adopted, see Note 2 – Basis of Presentation and Summary of Significant Accounting Policies in the notes to the condensed consolidated financial statements included in Part I, Item 1, of this Quarterly Report on Form 10-Q.</w:t>
      </w:r>
    </w:p>
    <w:p>
      <w:pPr>
        <w:pStyle w:val="TextBody"/>
        <w:bidi w:val="0"/>
        <w:spacing w:before="240" w:after="283"/>
        <w:jc w:val="left"/>
        <w:rPr>
          <w:rFonts w:ascii="Times New Roman" w:hAnsi="Times New Roman"/>
          <w:b/>
          <w:color w:val="000000"/>
          <w:sz w:val="20"/>
        </w:rPr>
      </w:pPr>
      <w:bookmarkStart w:id="16" w:name="i_item3"/>
      <w:bookmarkEnd w:id="16"/>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17" w:name="i_item4"/>
      <w:bookmarkEnd w:id="17"/>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Pursuant to Rules 13a-15(e) and 15d-15(e) under the Exchange Act, our management, with the participation of our principal executive officer and principal financial officer, performed an evaluation of the effectiveness of our disclosure controls and procedures as of September 30, 2023. Based on such evaluation, our principal executive officer and principal financial officer concluded that our disclosure controls and procedures were not effective at a reasonable assurance level as a result of a material weakness that existed in our internal control over financial reporting as described below. While the Company has implemented remediation steps, the material weakness cannot be considered fully remediated until the controls have been in place and operate for a sufficient period of time.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Material Weakness in Internal Control Over Financial Reporting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connection with the audit of our financial statements as of and for the fiscal year ended December 31, 2022, during our implementation of internal control over financial reporting (Sarbanes-Oxley Act of 2002, or “SOX”), we identified a material weakness in our internal control over financial reporting that existed as of December 31, 2022.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December 9, 2021, we completed our acquisition of Thomas Publishing, Inc. (“Thomas”). The additional workload on our resources to integrate Thomas contributed to our inability to timely perform an effective risk assessment related to the achievement of its control objectives in certain processes, primarily revenue and costs of revenue. As a result, we were unable to design and operate effective process-level controls as of December 31, 2022.</w:t>
      </w:r>
    </w:p>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left"/>
        <w:rPr>
          <w:rFonts w:ascii="Times New Roman" w:hAnsi="Times New Roman"/>
          <w:sz w:val="20"/>
        </w:rPr>
      </w:pPr>
      <w:r>
        <w:rPr>
          <w:rFonts w:ascii="Times New Roman" w:hAnsi="Times New Roman"/>
          <w:b/>
          <w:i/>
          <w:color w:val="000000"/>
          <w:sz w:val="20"/>
        </w:rPr>
        <w:t>Management’s Plan to Remediate the Material Weakness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first three quarters of 2023, management implemented remediation steps to address the material weakness and to improve our internal control over financial reporting. Specifically, now that Thomas has been fully integrated, we have improved our review processes over risk assessment, which also includes the documentation to support the operating effectiveness of our controls. While we implemented remediation steps, the material weakness cannot be considered fully remediated until the improved controls have been in place and operate for a sufficient period of time. However, our management, including our principal executive officer and principal financial officer, has concluded that, notwithstanding the identified material weakness in our internal control over financial reporting, the financial statements in this filing fairly present, in all material respects, our financial condition, results of operations and cash flows for the periods presented in conformity with U.S. GAAP.</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remainder of fiscal year 2023, management will test and evaluate the related internal controls to ascertain whether they are designed and operating effectively to provide reasonable assurance that they will prevent or detect a material error in the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than as discussed above under “Management’s Plan to Remediate the Material Weakness”, there were no changes to our internal control over financial reporting that occurred during the quarter ended September 30, 2023, that have materially affected, or are reasonably likely to materially affect, our internal control over financial reporting.</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83"/>
        <w:jc w:val="left"/>
        <w:rPr/>
      </w:pPr>
      <w:r>
        <w:rPr/>
        <w:t> </w:t>
      </w:r>
    </w:p>
    <w:p>
      <w:pPr>
        <w:pStyle w:val="TextBody"/>
        <w:bidi w:val="0"/>
        <w:spacing w:before="360" w:after="283"/>
        <w:jc w:val="center"/>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120" w:after="283"/>
        <w:jc w:val="center"/>
        <w:rPr>
          <w:rFonts w:ascii="Times New Roman" w:hAnsi="Times New Roman"/>
          <w:b/>
          <w:color w:val="000000"/>
          <w:sz w:val="20"/>
        </w:rPr>
      </w:pPr>
      <w:bookmarkStart w:id="18" w:name="part_ii"/>
      <w:bookmarkEnd w:id="18"/>
      <w:r>
        <w:rPr>
          <w:rFonts w:ascii="Times New Roman" w:hAnsi="Times New Roman"/>
          <w:b/>
          <w:color w:val="000000"/>
          <w:sz w:val="20"/>
        </w:rPr>
        <w:t>PART II—OTHER INFORMATION</w:t>
      </w:r>
    </w:p>
    <w:p>
      <w:pPr>
        <w:pStyle w:val="TextBody"/>
        <w:bidi w:val="0"/>
        <w:spacing w:before="120" w:after="283"/>
        <w:jc w:val="left"/>
        <w:rPr>
          <w:rFonts w:ascii="Times New Roman" w:hAnsi="Times New Roman"/>
          <w:b/>
          <w:color w:val="000000"/>
          <w:sz w:val="20"/>
        </w:rPr>
      </w:pPr>
      <w:bookmarkStart w:id="19" w:name="ii_item1"/>
      <w:bookmarkEnd w:id="19"/>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the period ending September 30, 2023, there were no material legal proceedings brought against us nor were there any material developments to any ongoing legal proceedings which constituted reportable events.</w:t>
      </w:r>
    </w:p>
    <w:p>
      <w:pPr>
        <w:pStyle w:val="TextBody"/>
        <w:bidi w:val="0"/>
        <w:spacing w:before="360" w:after="283"/>
        <w:jc w:val="left"/>
        <w:rPr>
          <w:rFonts w:ascii="Times New Roman" w:hAnsi="Times New Roman"/>
          <w:b/>
          <w:color w:val="000000"/>
          <w:sz w:val="20"/>
        </w:rPr>
      </w:pPr>
      <w:bookmarkStart w:id="20" w:name="ii_item1a"/>
      <w:bookmarkEnd w:id="20"/>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Investing in our Class A common stock involves a high degree of risk. You should carefully consider the risks and uncertainties described in our Annual Report on Form 10</w:t>
        <w:noBreakHyphen/>
        <w:t>K for the year ended December 31, 2022 under Part I, Item 1A, "Risk Factors,”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There have been no material changes to our risk factors as previously disclosed in Item 1A. contained in Part I of our Annual Report on Form 10</w:t>
        <w:noBreakHyphen/>
        <w:t>K for the year ended December 31, 2022.</w:t>
      </w:r>
    </w:p>
    <w:p>
      <w:pPr>
        <w:pStyle w:val="TextBody"/>
        <w:bidi w:val="0"/>
        <w:spacing w:before="360" w:after="283"/>
        <w:jc w:val="left"/>
        <w:rPr>
          <w:rFonts w:ascii="Times New Roman" w:hAnsi="Times New Roman"/>
          <w:b/>
          <w:color w:val="000000"/>
          <w:sz w:val="20"/>
        </w:rPr>
      </w:pPr>
      <w:bookmarkStart w:id="21" w:name="ii_item2"/>
      <w:bookmarkEnd w:id="21"/>
      <w:r>
        <w:rPr>
          <w:rFonts w:ascii="Times New Roman" w:hAnsi="Times New Roman"/>
          <w:b/>
          <w:color w:val="000000"/>
          <w:sz w:val="20"/>
        </w:rPr>
        <w:t>Item 2. Unregistered Sales of Equity Securities and Use of Proceeds.</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00" w:after="283"/>
        <w:jc w:val="left"/>
        <w:rPr>
          <w:rFonts w:ascii="Times New Roman" w:hAnsi="Times New Roman"/>
          <w:b/>
          <w:color w:val="000000"/>
          <w:sz w:val="20"/>
        </w:rPr>
      </w:pPr>
      <w:bookmarkStart w:id="22" w:name="ii_item3"/>
      <w:bookmarkEnd w:id="22"/>
      <w:r>
        <w:rPr>
          <w:rFonts w:ascii="Times New Roman" w:hAnsi="Times New Roman"/>
          <w:b/>
          <w:color w:val="000000"/>
          <w:sz w:val="20"/>
        </w:rPr>
        <w:t>Item 3. Defaults Upon Senior Securities.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bookmarkStart w:id="23" w:name="ii_item4"/>
      <w:bookmarkEnd w:id="23"/>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bookmarkStart w:id="24" w:name="ii_item5"/>
      <w:bookmarkEnd w:id="24"/>
      <w:r>
        <w:rPr>
          <w:rFonts w:ascii="Times New Roman" w:hAnsi="Times New Roman"/>
          <w:b/>
          <w:color w:val="000000"/>
          <w:sz w:val="20"/>
        </w:rPr>
        <w:t>Item 5. Other Information.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jc w:val="left"/>
        <w:rPr>
          <w:rFonts w:ascii="Times New Roman" w:hAnsi="Times New Roman"/>
          <w:sz w:val="20"/>
        </w:rPr>
      </w:pPr>
      <w:r>
        <w:rPr>
          <w:rFonts w:ascii="Times New Roman" w:hAnsi="Times New Roman"/>
          <w:b w:val="false"/>
          <w:color w:val="000000"/>
          <w:sz w:val="20"/>
        </w:rPr>
        <w:t>During our last fiscal quarter, our directors and officers (as defined in Rule 16a-1(f) under the Securities and Exchange Act of 1934, as amended) adopted or terminated the contracts, instructions or written plans for the purchase or sale of the Company’s securities set forth in the table below.</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41"/>
        <w:gridCol w:w="706"/>
        <w:gridCol w:w="1348"/>
        <w:gridCol w:w="697"/>
        <w:gridCol w:w="477"/>
        <w:gridCol w:w="544"/>
        <w:gridCol w:w="146"/>
        <w:gridCol w:w="301"/>
        <w:gridCol w:w="1425"/>
        <w:gridCol w:w="146"/>
        <w:gridCol w:w="875"/>
        <w:gridCol w:w="997"/>
        <w:gridCol w:w="146"/>
        <w:gridCol w:w="1056"/>
      </w:tblGrid>
      <w:tr>
        <w:trPr/>
        <w:tc>
          <w:tcPr>
            <w:tcW w:w="13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1020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Type of Trading Arrangement</w:t>
            </w:r>
          </w:p>
        </w:tc>
      </w:tr>
      <w:tr>
        <w:trPr/>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Name and Position</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Action</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Adoption/Termination Date</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Rule 10b5-1*</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 Shares of Class A Common Stock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 Shares of Class A Common Stock to be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Expiration Date</w:t>
            </w:r>
          </w:p>
        </w:tc>
      </w:tr>
      <w:tr>
        <w:trPr/>
        <w:tc>
          <w:tcPr>
            <w:tcW w:w="134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7"/>
              </w:rPr>
              <w:t>James Rallo</w:t>
            </w:r>
            <w:r>
              <w:rPr>
                <w:rFonts w:ascii="Times New Roman" w:hAnsi="Times New Roman"/>
                <w:color w:val="000000"/>
                <w:sz w:val="20"/>
              </w:rPr>
              <w:t xml:space="preserve"> </w:t>
            </w:r>
            <w:r>
              <w:rPr>
                <w:rFonts w:ascii="Times New Roman" w:hAnsi="Times New Roman"/>
                <w:b w:val="false"/>
                <w:i/>
                <w:color w:val="000000"/>
                <w:sz w:val="17"/>
              </w:rPr>
              <w:t>Chief Financial Officer</w:t>
            </w:r>
          </w:p>
        </w:tc>
        <w:tc>
          <w:tcPr>
            <w:tcW w:w="706" w:type="dxa"/>
            <w:tcBorders/>
            <w:shd w:fill="CFF0FC" w:val="clear"/>
            <w:vAlign w:val="center"/>
          </w:tcPr>
          <w:p>
            <w:pPr>
              <w:pStyle w:val="TableContents"/>
              <w:bidi w:val="0"/>
              <w:spacing w:before="0" w:after="283"/>
              <w:jc w:val="center"/>
              <w:rPr>
                <w:rFonts w:ascii="Times New Roman" w:hAnsi="Times New Roman"/>
                <w:b w:val="false"/>
                <w:color w:val="000000"/>
                <w:sz w:val="17"/>
              </w:rPr>
            </w:pPr>
            <w:r>
              <w:rPr>
                <w:rFonts w:ascii="Times New Roman" w:hAnsi="Times New Roman"/>
                <w:b w:val="false"/>
                <w:color w:val="000000"/>
                <w:sz w:val="17"/>
              </w:rPr>
              <w:t>Adopted</w:t>
            </w:r>
          </w:p>
        </w:tc>
        <w:tc>
          <w:tcPr>
            <w:tcW w:w="1348" w:type="dxa"/>
            <w:tcBorders/>
            <w:shd w:fill="CFF0FC" w:val="clear"/>
            <w:vAlign w:val="center"/>
          </w:tcPr>
          <w:p>
            <w:pPr>
              <w:pStyle w:val="TableContents"/>
              <w:bidi w:val="0"/>
              <w:spacing w:before="0" w:after="283"/>
              <w:jc w:val="center"/>
              <w:rPr>
                <w:rFonts w:ascii="Times New Roman" w:hAnsi="Times New Roman"/>
                <w:b w:val="false"/>
                <w:color w:val="000000"/>
                <w:sz w:val="17"/>
              </w:rPr>
            </w:pPr>
            <w:r>
              <w:rPr>
                <w:rFonts w:ascii="Times New Roman" w:hAnsi="Times New Roman"/>
                <w:b w:val="false"/>
                <w:color w:val="000000"/>
                <w:sz w:val="17"/>
              </w:rPr>
              <w:t>8/15/2023</w:t>
            </w:r>
          </w:p>
        </w:tc>
        <w:tc>
          <w:tcPr>
            <w:tcW w:w="697" w:type="dxa"/>
            <w:tcBorders/>
            <w:shd w:fill="CFF0FC" w:val="clear"/>
            <w:vAlign w:val="center"/>
          </w:tcPr>
          <w:p>
            <w:pPr>
              <w:pStyle w:val="TableContents"/>
              <w:bidi w:val="0"/>
              <w:spacing w:before="0" w:after="283"/>
              <w:jc w:val="center"/>
              <w:rPr>
                <w:rFonts w:ascii="Times New Roman" w:hAnsi="Times New Roman"/>
                <w:b w:val="false"/>
                <w:color w:val="000000"/>
                <w:sz w:val="17"/>
              </w:rPr>
            </w:pPr>
            <w:r>
              <w:rPr>
                <w:rFonts w:ascii="Times New Roman" w:hAnsi="Times New Roman"/>
                <w:b w:val="false"/>
                <w:color w:val="000000"/>
                <w:sz w:val="17"/>
              </w:rPr>
              <w:t>X</w:t>
            </w:r>
          </w:p>
        </w:tc>
        <w:tc>
          <w:tcPr>
            <w:tcW w:w="477"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425"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135,669</w:t>
            </w:r>
          </w:p>
        </w:tc>
        <w:tc>
          <w:tcPr>
            <w:tcW w:w="14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center"/>
              <w:rPr>
                <w:rFonts w:ascii="Times New Roman" w:hAnsi="Times New Roman"/>
                <w:b w:val="false"/>
                <w:color w:val="000000"/>
                <w:sz w:val="17"/>
              </w:rPr>
            </w:pPr>
            <w:r>
              <w:rPr>
                <w:rFonts w:ascii="Times New Roman" w:hAnsi="Times New Roman"/>
                <w:b w:val="false"/>
                <w:color w:val="000000"/>
                <w:sz w:val="17"/>
              </w:rPr>
              <w:t>11/20/2025</w:t>
            </w:r>
          </w:p>
        </w:tc>
      </w:tr>
      <w:tr>
        <w:trPr/>
        <w:tc>
          <w:tcPr>
            <w:tcW w:w="134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7"/>
              </w:rPr>
              <w:t>Emily Rollins</w:t>
            </w:r>
            <w:r>
              <w:rPr>
                <w:rFonts w:ascii="Times New Roman" w:hAnsi="Times New Roman"/>
                <w:color w:val="000000"/>
                <w:sz w:val="20"/>
              </w:rPr>
              <w:t xml:space="preserve"> </w:t>
            </w:r>
            <w:r>
              <w:rPr>
                <w:rFonts w:ascii="Times New Roman" w:hAnsi="Times New Roman"/>
                <w:b w:val="false"/>
                <w:i/>
                <w:color w:val="000000"/>
                <w:sz w:val="17"/>
              </w:rPr>
              <w:t>Director</w:t>
            </w:r>
          </w:p>
        </w:tc>
        <w:tc>
          <w:tcPr>
            <w:tcW w:w="706" w:type="dxa"/>
            <w:tcBorders/>
            <w:shd w:fill="FFFFFF" w:val="clear"/>
            <w:vAlign w:val="center"/>
          </w:tcPr>
          <w:p>
            <w:pPr>
              <w:pStyle w:val="TableContents"/>
              <w:bidi w:val="0"/>
              <w:spacing w:before="0" w:after="283"/>
              <w:jc w:val="center"/>
              <w:rPr>
                <w:rFonts w:ascii="Times New Roman" w:hAnsi="Times New Roman"/>
                <w:b w:val="false"/>
                <w:color w:val="000000"/>
                <w:sz w:val="17"/>
              </w:rPr>
            </w:pPr>
            <w:r>
              <w:rPr>
                <w:rFonts w:ascii="Times New Roman" w:hAnsi="Times New Roman"/>
                <w:b w:val="false"/>
                <w:color w:val="000000"/>
                <w:sz w:val="17"/>
              </w:rPr>
              <w:t>Adopted</w:t>
            </w:r>
          </w:p>
        </w:tc>
        <w:tc>
          <w:tcPr>
            <w:tcW w:w="1348" w:type="dxa"/>
            <w:tcBorders/>
            <w:shd w:fill="FFFFFF" w:val="clear"/>
            <w:vAlign w:val="center"/>
          </w:tcPr>
          <w:p>
            <w:pPr>
              <w:pStyle w:val="TableContents"/>
              <w:bidi w:val="0"/>
              <w:spacing w:before="0" w:after="283"/>
              <w:jc w:val="center"/>
              <w:rPr>
                <w:rFonts w:ascii="Times New Roman" w:hAnsi="Times New Roman"/>
                <w:b w:val="false"/>
                <w:color w:val="000000"/>
                <w:sz w:val="17"/>
              </w:rPr>
            </w:pPr>
            <w:r>
              <w:rPr>
                <w:rFonts w:ascii="Times New Roman" w:hAnsi="Times New Roman"/>
                <w:b w:val="false"/>
                <w:color w:val="000000"/>
                <w:sz w:val="17"/>
              </w:rPr>
              <w:t>9/1/2023</w:t>
            </w:r>
          </w:p>
        </w:tc>
        <w:tc>
          <w:tcPr>
            <w:tcW w:w="697" w:type="dxa"/>
            <w:tcBorders/>
            <w:shd w:fill="FFFFFF" w:val="clear"/>
            <w:vAlign w:val="center"/>
          </w:tcPr>
          <w:p>
            <w:pPr>
              <w:pStyle w:val="TableContents"/>
              <w:bidi w:val="0"/>
              <w:spacing w:before="0" w:after="283"/>
              <w:jc w:val="center"/>
              <w:rPr>
                <w:rFonts w:ascii="Times New Roman" w:hAnsi="Times New Roman"/>
                <w:b w:val="false"/>
                <w:color w:val="000000"/>
                <w:sz w:val="17"/>
              </w:rPr>
            </w:pPr>
            <w:r>
              <w:rPr>
                <w:rFonts w:ascii="Times New Roman" w:hAnsi="Times New Roman"/>
                <w:b w:val="false"/>
                <w:color w:val="000000"/>
                <w:sz w:val="17"/>
              </w:rPr>
              <w:t>X</w:t>
            </w:r>
          </w:p>
        </w:tc>
        <w:tc>
          <w:tcPr>
            <w:tcW w:w="477"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6,000</w:t>
            </w:r>
          </w:p>
        </w:tc>
        <w:tc>
          <w:tcPr>
            <w:tcW w:w="14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b w:val="false"/>
                <w:color w:val="000000"/>
                <w:sz w:val="17"/>
              </w:rPr>
            </w:pPr>
            <w:r>
              <w:rPr>
                <w:rFonts w:ascii="Times New Roman" w:hAnsi="Times New Roman"/>
                <w:b w:val="false"/>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center"/>
              <w:rPr>
                <w:rFonts w:ascii="Times New Roman" w:hAnsi="Times New Roman"/>
                <w:b w:val="false"/>
                <w:color w:val="000000"/>
                <w:sz w:val="17"/>
              </w:rPr>
            </w:pPr>
            <w:r>
              <w:rPr>
                <w:rFonts w:ascii="Times New Roman" w:hAnsi="Times New Roman"/>
                <w:b w:val="false"/>
                <w:color w:val="000000"/>
                <w:sz w:val="17"/>
              </w:rPr>
              <w:t>5/31/2024</w:t>
            </w:r>
          </w:p>
        </w:tc>
      </w:tr>
    </w:tbl>
    <w:p>
      <w:pPr>
        <w:pStyle w:val="TextBody"/>
        <w:bidi w:val="0"/>
        <w:jc w:val="left"/>
        <w:rPr>
          <w:rFonts w:ascii="Times New Roman" w:hAnsi="Times New Roman"/>
          <w:b w:val="false"/>
          <w:color w:val="000000"/>
          <w:sz w:val="18"/>
        </w:rPr>
      </w:pPr>
      <w:r>
        <w:rPr>
          <w:rFonts w:ascii="Times New Roman" w:hAnsi="Times New Roman"/>
          <w:b w:val="false"/>
          <w:color w:val="000000"/>
          <w:sz w:val="18"/>
        </w:rPr>
        <w:t>* Contract, instruction or written plan intended to satisfy the affirmative defense conditions of Rule 10b5-1(c) under the Exchange Act.</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 “Non-Rule 10b5-1 trading arrangement” as defined in Item 408(c) of Regulation S-K under the Exchange Act.</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5" w:name="ii_item6"/>
      <w:bookmarkEnd w:id="25"/>
      <w:r>
        <w:rPr>
          <w:rFonts w:ascii="Times New Roman" w:hAnsi="Times New Roman"/>
          <w:b/>
          <w:color w:val="000000"/>
          <w:sz w:val="20"/>
        </w:rPr>
        <w:t>Item 6. Exhibits.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documents listed in the Exhibit Index of this Quarterly Report on Form 10-Q are herein incorporated by reference or are filed with this Quarterly Report on Form 10-Q, in each case as indicated therein (numbered in accordance with Item 601 of Regulation S-K).</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3"/>
        <w:gridCol w:w="146"/>
        <w:gridCol w:w="9276"/>
      </w:tblGrid>
      <w:tr>
        <w:trPr/>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6" w:type="dxa"/>
            <w:tcBorders/>
            <w:vAlign w:val="center"/>
          </w:tcPr>
          <w:p>
            <w:pPr>
              <w:pStyle w:val="TableContents"/>
              <w:bidi w:val="0"/>
              <w:spacing w:before="0" w:after="283"/>
              <w:jc w:val="left"/>
              <w:rPr>
                <w:sz w:val="4"/>
                <w:szCs w:val="4"/>
              </w:rPr>
            </w:pPr>
            <w:r>
              <w:rPr>
                <w:sz w:val="4"/>
                <w:szCs w:val="4"/>
              </w:rPr>
            </w:r>
          </w:p>
        </w:tc>
      </w:tr>
      <w:tr>
        <w:trPr/>
        <w:tc>
          <w:tcPr>
            <w:tcW w:w="78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b w:val="false"/>
                  <w:color w:val="0000FF"/>
                  <w:sz w:val="20"/>
                  <w:u w:val="single"/>
                </w:rPr>
                <w:t>Amended and Restated Certificate of Incorporation of Xometry, Inc., (incorporated herein by reference to Exhibit 3.1 to the Company’s Current Report on Form 8-K (File No. 001-40546), filed with the SEC on July 2, 2021).</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b w:val="false"/>
                  <w:color w:val="0000FF"/>
                  <w:sz w:val="20"/>
                  <w:u w:val="single"/>
                </w:rPr>
                <w:t>Amended and Restated Bylaws of Xometry, Inc., (incorporated herein by reference to Exhibit 3.2 to the Company’s Current Report on Form 8-K (File No. 001-40546), filed with the SEC on July 2, 2021).</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1.htm">
              <w:r>
                <w:rPr>
                  <w:rStyle w:val="InternetLink"/>
                  <w:rFonts w:ascii="Times New Roman" w:hAnsi="Times New Roman"/>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1_2.htm">
              <w:r>
                <w:rPr>
                  <w:rStyle w:val="InternetLink"/>
                  <w:rFonts w:ascii="Times New Roman" w:hAnsi="Times New Roman"/>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1.htm">
              <w:r>
                <w:rPr>
                  <w:rStyle w:val="InternetLink"/>
                  <w:rFonts w:ascii="Times New Roman" w:hAnsi="Times New Roman"/>
                  <w:b w:val="false"/>
                  <w:color w:val="0000FF"/>
                  <w:sz w:val="20"/>
                  <w:u w:val="single"/>
                </w:rPr>
                <w:t>Certification of Principal Executive Officer Pursuant to 18 U.S.C. Section 1350, as Adopted Pursuant to Section 906 of the Sarbanes-Oxley Act of 2002.</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xmtr-ex32_2.htm">
              <w:r>
                <w:rPr>
                  <w:rStyle w:val="InternetLink"/>
                  <w:rFonts w:ascii="Times New Roman" w:hAnsi="Times New Roman"/>
                  <w:b w:val="false"/>
                  <w:color w:val="0000FF"/>
                  <w:sz w:val="20"/>
                  <w:u w:val="single"/>
                </w:rPr>
                <w:t>Certification of Principal Financial Officer Pursuant to 18 U.S.C. Section 1350, as Adopted Pursuant to Section 906 of the Sarbanes-Oxley Act of 2002.</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val="false"/>
            <w:color w:val="0000FF"/>
            <w:sz w:val="20"/>
            <w:u w:val="single"/>
          </w:rPr>
          <w:t>Table of Contents</w:t>
        </w:r>
      </w:hyperlink>
    </w:p>
    <w:p>
      <w:pPr>
        <w:pStyle w:val="TextBody"/>
        <w:bidi w:val="0"/>
        <w:jc w:val="center"/>
        <w:rPr>
          <w:rFonts w:ascii="Times New Roman" w:hAnsi="Times New Roman"/>
          <w:b/>
          <w:color w:val="000000"/>
          <w:sz w:val="20"/>
        </w:rPr>
      </w:pPr>
      <w:bookmarkStart w:id="26" w:name="signatures"/>
      <w:bookmarkEnd w:id="26"/>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its behalf by the undersigned thereunto duly authorized.</w:t>
      </w:r>
    </w:p>
    <w:p>
      <w:pPr>
        <w:pStyle w:val="TextBody"/>
        <w:bidi w:val="0"/>
        <w:jc w:val="left"/>
        <w:rPr/>
      </w:pPr>
      <w:r>
        <w:rPr/>
        <w:t> </w:t>
      </w:r>
    </w:p>
    <w:tbl>
      <w:tblPr>
        <w:tblW w:w="5872" w:type="dxa"/>
        <w:jc w:val="left"/>
        <w:tblInd w:w="0" w:type="dxa"/>
        <w:tblLayout w:type="fixed"/>
        <w:tblCellMar>
          <w:top w:w="28" w:type="dxa"/>
          <w:left w:w="28" w:type="dxa"/>
          <w:bottom w:w="28" w:type="dxa"/>
          <w:right w:w="28" w:type="dxa"/>
        </w:tblCellMar>
      </w:tblPr>
      <w:tblGrid>
        <w:gridCol w:w="2101"/>
        <w:gridCol w:w="109"/>
        <w:gridCol w:w="406"/>
        <w:gridCol w:w="325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XOMETRY,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Randolph Altschuler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James Rallo</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Rallo</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12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bookmarkStart w:id="27" w:name="xmtr-ex31_1.htm"/>
      <w:bookmarkStart w:id="28" w:name="ksxmtrex31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Randolph Altschuler,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Xometry,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72" w:type="dxa"/>
        <w:jc w:val="left"/>
        <w:tblInd w:w="0" w:type="dxa"/>
        <w:tblLayout w:type="fixed"/>
        <w:tblCellMar>
          <w:top w:w="28" w:type="dxa"/>
          <w:left w:w="28" w:type="dxa"/>
          <w:bottom w:w="28" w:type="dxa"/>
          <w:right w:w="28" w:type="dxa"/>
        </w:tblCellMar>
      </w:tblPr>
      <w:tblGrid>
        <w:gridCol w:w="2101"/>
        <w:gridCol w:w="109"/>
        <w:gridCol w:w="406"/>
        <w:gridCol w:w="325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Randolph Altschuler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xmtr-ex31_2.htm"/>
      <w:bookmarkStart w:id="30" w:name="ksxmtrex31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James Rallo,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Xometry,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James Rallo</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Rallo</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xmtr-ex32_1.htm"/>
      <w:bookmarkStart w:id="32" w:name="ksxmtr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Xometry, Inc. (the “Company”) on Form 10-Q for the period ending September 30,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5872" w:type="dxa"/>
        <w:jc w:val="left"/>
        <w:tblInd w:w="0" w:type="dxa"/>
        <w:tblLayout w:type="fixed"/>
        <w:tblCellMar>
          <w:top w:w="28" w:type="dxa"/>
          <w:left w:w="28" w:type="dxa"/>
          <w:bottom w:w="28" w:type="dxa"/>
          <w:right w:w="28" w:type="dxa"/>
        </w:tblCellMar>
      </w:tblPr>
      <w:tblGrid>
        <w:gridCol w:w="2101"/>
        <w:gridCol w:w="109"/>
        <w:gridCol w:w="406"/>
        <w:gridCol w:w="325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Randolph Altschuler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Randolph Altschuler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xmtr-ex32_2.htm"/>
      <w:bookmarkStart w:id="34" w:name="ksxmtrex32_2"/>
      <w:bookmarkEnd w:id="33"/>
      <w:bookmarkEnd w:id="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Xometry, Inc. (the “Company”) on Form 10-Q for the period ending September 30,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James Rallo</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James Rallo</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1657573/000095017023008494/xmtr-20221231.htm" TargetMode="External"/><Relationship Id="rId6" Type="http://schemas.openxmlformats.org/officeDocument/2006/relationships/hyperlink" Target="https://www.sec.gov/Archives/edgar/data/0001657573/000119312521207643/d184650dex31.htm" TargetMode="External"/><Relationship Id="rId7" Type="http://schemas.openxmlformats.org/officeDocument/2006/relationships/hyperlink" Target="https://www.sec.gov/Archives/edgar/data/0001657573/000119312521207643/d184650dex3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24342</Words>
  <Characters>133645</Characters>
  <CharactersWithSpaces>159770</CharactersWithSpaces>
  <Paragraphs>7971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