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790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90829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Mayerhofer Kathy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12/14/2021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37"/>
        <w:spacing w:after="0"/>
        <w:rPr>
          <w:sz w:val="20"/>
          <w:szCs w:val="20"/>
          <w:color w:val="auto"/>
        </w:rPr>
      </w:pPr>
      <w:r>
        <w:rPr>
          <w:rFonts w:ascii="Arial" w:cs="Arial" w:eastAsia="Arial" w:hAnsi="Arial"/>
          <w:sz w:val="17"/>
          <w:szCs w:val="17"/>
          <w:color w:val="0000FF"/>
        </w:rPr>
        <w:t>Chief Sales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0"/>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DERWOOD</w:t>
            </w:r>
          </w:p>
        </w:tc>
        <w:tc>
          <w:tcPr>
            <w:tcW w:w="15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MD</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20855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1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300" w:type="dxa"/>
            <w:vAlign w:val="bottom"/>
          </w:tcPr>
          <w:p>
            <w:pPr>
              <w:spacing w:after="0"/>
              <w:rPr>
                <w:sz w:val="6"/>
                <w:szCs w:val="6"/>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12/14/2021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1,042</w:t>
            </w:r>
          </w:p>
        </w:tc>
        <w:tc>
          <w:tcPr>
            <w:tcW w:w="56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0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1.26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7"/>
                <w:szCs w:val="17"/>
                <w:color w:val="0000FF"/>
              </w:rPr>
              <w:t>77,291</w:t>
            </w:r>
          </w:p>
        </w:tc>
        <w:tc>
          <w:tcPr>
            <w:tcW w:w="26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12/14/2021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3,542</w:t>
            </w:r>
          </w:p>
        </w:tc>
        <w:tc>
          <w:tcPr>
            <w:tcW w:w="56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0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3.65</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7"/>
                <w:szCs w:val="17"/>
                <w:color w:val="0000FF"/>
              </w:rPr>
              <w:t>80,833</w:t>
            </w:r>
          </w:p>
        </w:tc>
        <w:tc>
          <w:tcPr>
            <w:tcW w:w="26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12/14/2021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9,375</w:t>
            </w:r>
          </w:p>
        </w:tc>
        <w:tc>
          <w:tcPr>
            <w:tcW w:w="56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0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7"/>
                <w:szCs w:val="17"/>
                <w:color w:val="0000FF"/>
              </w:rPr>
              <w:t>90,208</w:t>
            </w:r>
          </w:p>
        </w:tc>
        <w:tc>
          <w:tcPr>
            <w:tcW w:w="26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12/14/2021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1,041</w:t>
            </w:r>
          </w:p>
        </w:tc>
        <w:tc>
          <w:tcPr>
            <w:tcW w:w="56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0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1.65</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7"/>
                <w:szCs w:val="17"/>
                <w:color w:val="0000FF"/>
              </w:rPr>
              <w:t>91,249</w:t>
            </w:r>
          </w:p>
        </w:tc>
        <w:tc>
          <w:tcPr>
            <w:tcW w:w="26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12/14/2021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9,375</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42.5179</w:t>
            </w:r>
            <w:r>
              <w:rPr>
                <w:rFonts w:ascii="Arial" w:cs="Arial" w:eastAsia="Arial" w:hAnsi="Arial"/>
                <w:sz w:val="21"/>
                <w:szCs w:val="21"/>
                <w:color w:val="008000"/>
                <w:w w:val="86"/>
                <w:vertAlign w:val="superscript"/>
              </w:rPr>
              <w:t>(1)</w:t>
            </w: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81,874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12/14/2021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1,041</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42.5179</w:t>
            </w:r>
            <w:r>
              <w:rPr>
                <w:rFonts w:ascii="Arial" w:cs="Arial" w:eastAsia="Arial" w:hAnsi="Arial"/>
                <w:sz w:val="21"/>
                <w:szCs w:val="21"/>
                <w:color w:val="008000"/>
                <w:w w:val="86"/>
                <w:vertAlign w:val="superscript"/>
              </w:rPr>
              <w:t>(1)</w:t>
            </w: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80,833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12/14/2021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1,042</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42.5179</w:t>
            </w:r>
            <w:r>
              <w:rPr>
                <w:rFonts w:ascii="Arial" w:cs="Arial" w:eastAsia="Arial" w:hAnsi="Arial"/>
                <w:sz w:val="21"/>
                <w:szCs w:val="21"/>
                <w:color w:val="008000"/>
                <w:w w:val="86"/>
                <w:vertAlign w:val="superscript"/>
              </w:rPr>
              <w:t>(1)</w:t>
            </w: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79,791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12/14/2021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3,542</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42.5179</w:t>
            </w:r>
            <w:r>
              <w:rPr>
                <w:rFonts w:ascii="Arial" w:cs="Arial" w:eastAsia="Arial" w:hAnsi="Arial"/>
                <w:sz w:val="21"/>
                <w:szCs w:val="21"/>
                <w:color w:val="008000"/>
                <w:w w:val="86"/>
                <w:vertAlign w:val="superscript"/>
              </w:rPr>
              <w:t>(1)</w:t>
            </w: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76,249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9"/>
          </w:tcPr>
          <w:p>
            <w:pPr>
              <w:jc w:val="center"/>
              <w:ind w:left="54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20"/>
              <w:spacing w:after="0" w:line="130"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jc w:val="center"/>
              <w:ind w:left="12"/>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1,042</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00" w:type="dxa"/>
            <w:vAlign w:val="bottom"/>
            <w:vMerge w:val="restart"/>
          </w:tcPr>
          <w:p>
            <w:pPr>
              <w:ind w:left="240"/>
              <w:spacing w:after="0"/>
              <w:rPr>
                <w:sz w:val="20"/>
                <w:szCs w:val="20"/>
                <w:color w:val="auto"/>
              </w:rPr>
            </w:pPr>
            <w:r>
              <w:rPr>
                <w:rFonts w:ascii="Arial" w:cs="Arial" w:eastAsia="Arial" w:hAnsi="Arial"/>
                <w:sz w:val="9"/>
                <w:szCs w:val="9"/>
                <w:color w:val="auto"/>
                <w:w w:val="78"/>
              </w:rPr>
              <w:t>$</w:t>
            </w:r>
          </w:p>
        </w:tc>
        <w:tc>
          <w:tcPr>
            <w:tcW w:w="480" w:type="dxa"/>
            <w:vAlign w:val="bottom"/>
            <w:vMerge w:val="restart"/>
          </w:tcPr>
          <w:p>
            <w:pPr>
              <w:jc w:val="right"/>
              <w:ind w:right="172"/>
              <w:spacing w:after="0" w:line="143" w:lineRule="exact"/>
              <w:rPr>
                <w:sz w:val="20"/>
                <w:szCs w:val="20"/>
                <w:color w:val="auto"/>
              </w:rPr>
            </w:pPr>
            <w:r>
              <w:rPr>
                <w:rFonts w:ascii="Arial" w:cs="Arial" w:eastAsia="Arial" w:hAnsi="Arial"/>
                <w:sz w:val="13"/>
                <w:szCs w:val="13"/>
                <w:color w:val="0000FF"/>
                <w:w w:val="86"/>
              </w:rPr>
              <w:t>1.26</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12/14/2021</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jc w:val="right"/>
              <w:ind w:right="75"/>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1,042</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03/22/2027</w:t>
            </w:r>
          </w:p>
        </w:tc>
        <w:tc>
          <w:tcPr>
            <w:tcW w:w="560" w:type="dxa"/>
            <w:vAlign w:val="bottom"/>
            <w:vMerge w:val="restart"/>
          </w:tcPr>
          <w:p>
            <w:pPr>
              <w:jc w:val="center"/>
              <w:ind w:left="12"/>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20" w:type="dxa"/>
            <w:vAlign w:val="bottom"/>
            <w:vMerge w:val="restart"/>
          </w:tcPr>
          <w:p>
            <w:pPr>
              <w:jc w:val="center"/>
              <w:ind w:left="160"/>
              <w:spacing w:after="0" w:line="143" w:lineRule="exact"/>
              <w:rPr>
                <w:sz w:val="20"/>
                <w:szCs w:val="20"/>
                <w:color w:val="auto"/>
              </w:rPr>
            </w:pPr>
            <w:r>
              <w:rPr>
                <w:rFonts w:ascii="Arial" w:cs="Arial" w:eastAsia="Arial" w:hAnsi="Arial"/>
                <w:sz w:val="13"/>
                <w:szCs w:val="13"/>
                <w:color w:val="0000FF"/>
                <w:w w:val="94"/>
              </w:rPr>
              <w:t>0.00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jc w:val="center"/>
              <w:ind w:left="12"/>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1,041</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00" w:type="dxa"/>
            <w:vAlign w:val="bottom"/>
            <w:vMerge w:val="restart"/>
          </w:tcPr>
          <w:p>
            <w:pPr>
              <w:ind w:left="240"/>
              <w:spacing w:after="0"/>
              <w:rPr>
                <w:sz w:val="20"/>
                <w:szCs w:val="20"/>
                <w:color w:val="auto"/>
              </w:rPr>
            </w:pPr>
            <w:r>
              <w:rPr>
                <w:rFonts w:ascii="Arial" w:cs="Arial" w:eastAsia="Arial" w:hAnsi="Arial"/>
                <w:sz w:val="9"/>
                <w:szCs w:val="9"/>
                <w:color w:val="auto"/>
                <w:w w:val="78"/>
              </w:rPr>
              <w:t>$</w:t>
            </w:r>
          </w:p>
        </w:tc>
        <w:tc>
          <w:tcPr>
            <w:tcW w:w="480" w:type="dxa"/>
            <w:vAlign w:val="bottom"/>
            <w:vMerge w:val="restart"/>
          </w:tcPr>
          <w:p>
            <w:pPr>
              <w:jc w:val="right"/>
              <w:ind w:right="172"/>
              <w:spacing w:after="0" w:line="143" w:lineRule="exact"/>
              <w:rPr>
                <w:sz w:val="20"/>
                <w:szCs w:val="20"/>
                <w:color w:val="auto"/>
              </w:rPr>
            </w:pPr>
            <w:r>
              <w:rPr>
                <w:rFonts w:ascii="Arial" w:cs="Arial" w:eastAsia="Arial" w:hAnsi="Arial"/>
                <w:sz w:val="13"/>
                <w:szCs w:val="13"/>
                <w:color w:val="0000FF"/>
                <w:w w:val="86"/>
              </w:rPr>
              <w:t>1.65</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12/14/2021</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jc w:val="right"/>
              <w:ind w:right="75"/>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1,041</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01/29/2028</w:t>
            </w:r>
          </w:p>
        </w:tc>
        <w:tc>
          <w:tcPr>
            <w:tcW w:w="560" w:type="dxa"/>
            <w:vAlign w:val="bottom"/>
            <w:vMerge w:val="restart"/>
          </w:tcPr>
          <w:p>
            <w:pPr>
              <w:jc w:val="center"/>
              <w:ind w:left="12"/>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20" w:type="dxa"/>
            <w:vAlign w:val="bottom"/>
            <w:vMerge w:val="restart"/>
          </w:tcPr>
          <w:p>
            <w:pPr>
              <w:jc w:val="center"/>
              <w:ind w:left="160"/>
              <w:spacing w:after="0" w:line="143" w:lineRule="exact"/>
              <w:rPr>
                <w:sz w:val="20"/>
                <w:szCs w:val="20"/>
                <w:color w:val="auto"/>
              </w:rPr>
            </w:pPr>
            <w:r>
              <w:rPr>
                <w:rFonts w:ascii="Arial" w:cs="Arial" w:eastAsia="Arial" w:hAnsi="Arial"/>
                <w:sz w:val="13"/>
                <w:szCs w:val="13"/>
                <w:color w:val="0000FF"/>
                <w:w w:val="92"/>
              </w:rPr>
              <w:t>105</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jc w:val="center"/>
              <w:ind w:left="12"/>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9,375</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00" w:type="dxa"/>
            <w:vAlign w:val="bottom"/>
            <w:vMerge w:val="restart"/>
          </w:tcPr>
          <w:p>
            <w:pPr>
              <w:ind w:left="240"/>
              <w:spacing w:after="0"/>
              <w:rPr>
                <w:sz w:val="20"/>
                <w:szCs w:val="20"/>
                <w:color w:val="auto"/>
              </w:rPr>
            </w:pPr>
            <w:r>
              <w:rPr>
                <w:rFonts w:ascii="Arial" w:cs="Arial" w:eastAsia="Arial" w:hAnsi="Arial"/>
                <w:sz w:val="9"/>
                <w:szCs w:val="9"/>
                <w:color w:val="auto"/>
                <w:w w:val="78"/>
              </w:rPr>
              <w:t>$</w:t>
            </w:r>
          </w:p>
        </w:tc>
        <w:tc>
          <w:tcPr>
            <w:tcW w:w="480" w:type="dxa"/>
            <w:vAlign w:val="bottom"/>
            <w:vMerge w:val="restart"/>
          </w:tcPr>
          <w:p>
            <w:pPr>
              <w:jc w:val="right"/>
              <w:ind w:right="172"/>
              <w:spacing w:after="0" w:line="143" w:lineRule="exact"/>
              <w:rPr>
                <w:sz w:val="20"/>
                <w:szCs w:val="20"/>
                <w:color w:val="auto"/>
              </w:rPr>
            </w:pPr>
            <w:r>
              <w:rPr>
                <w:rFonts w:ascii="Arial" w:cs="Arial" w:eastAsia="Arial" w:hAnsi="Arial"/>
                <w:sz w:val="13"/>
                <w:szCs w:val="13"/>
                <w:color w:val="0000FF"/>
                <w:w w:val="86"/>
              </w:rPr>
              <w:t>1.68</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12/14/2021</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jc w:val="right"/>
              <w:ind w:right="75"/>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9,375</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02/19/2029</w:t>
            </w:r>
          </w:p>
        </w:tc>
        <w:tc>
          <w:tcPr>
            <w:tcW w:w="560" w:type="dxa"/>
            <w:vAlign w:val="bottom"/>
            <w:vMerge w:val="restart"/>
          </w:tcPr>
          <w:p>
            <w:pPr>
              <w:jc w:val="center"/>
              <w:ind w:left="12"/>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20" w:type="dxa"/>
            <w:vAlign w:val="bottom"/>
            <w:vMerge w:val="restart"/>
          </w:tcPr>
          <w:p>
            <w:pPr>
              <w:jc w:val="center"/>
              <w:ind w:left="160"/>
              <w:spacing w:after="0" w:line="143" w:lineRule="exact"/>
              <w:rPr>
                <w:sz w:val="20"/>
                <w:szCs w:val="20"/>
                <w:color w:val="auto"/>
              </w:rPr>
            </w:pPr>
            <w:r>
              <w:rPr>
                <w:rFonts w:ascii="Arial" w:cs="Arial" w:eastAsia="Arial" w:hAnsi="Arial"/>
                <w:sz w:val="13"/>
                <w:szCs w:val="13"/>
                <w:color w:val="0000FF"/>
                <w:w w:val="90"/>
              </w:rPr>
              <w:t>12,188</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jc w:val="center"/>
              <w:ind w:left="12"/>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3,542</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00" w:type="dxa"/>
            <w:vAlign w:val="bottom"/>
            <w:vMerge w:val="restart"/>
          </w:tcPr>
          <w:p>
            <w:pPr>
              <w:ind w:left="240"/>
              <w:spacing w:after="0"/>
              <w:rPr>
                <w:sz w:val="20"/>
                <w:szCs w:val="20"/>
                <w:color w:val="auto"/>
              </w:rPr>
            </w:pPr>
            <w:r>
              <w:rPr>
                <w:rFonts w:ascii="Arial" w:cs="Arial" w:eastAsia="Arial" w:hAnsi="Arial"/>
                <w:sz w:val="9"/>
                <w:szCs w:val="9"/>
                <w:color w:val="auto"/>
                <w:w w:val="78"/>
              </w:rPr>
              <w:t>$</w:t>
            </w:r>
          </w:p>
        </w:tc>
        <w:tc>
          <w:tcPr>
            <w:tcW w:w="480" w:type="dxa"/>
            <w:vAlign w:val="bottom"/>
            <w:vMerge w:val="restart"/>
          </w:tcPr>
          <w:p>
            <w:pPr>
              <w:jc w:val="right"/>
              <w:ind w:right="172"/>
              <w:spacing w:after="0" w:line="143" w:lineRule="exact"/>
              <w:rPr>
                <w:sz w:val="20"/>
                <w:szCs w:val="20"/>
                <w:color w:val="auto"/>
              </w:rPr>
            </w:pPr>
            <w:r>
              <w:rPr>
                <w:rFonts w:ascii="Arial" w:cs="Arial" w:eastAsia="Arial" w:hAnsi="Arial"/>
                <w:sz w:val="13"/>
                <w:szCs w:val="13"/>
                <w:color w:val="0000FF"/>
                <w:w w:val="86"/>
              </w:rPr>
              <w:t>3.65</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12/14/2021</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jc w:val="right"/>
              <w:ind w:right="75"/>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3,542</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04/27/2030</w:t>
            </w:r>
          </w:p>
        </w:tc>
        <w:tc>
          <w:tcPr>
            <w:tcW w:w="560" w:type="dxa"/>
            <w:vAlign w:val="bottom"/>
            <w:vMerge w:val="restart"/>
          </w:tcPr>
          <w:p>
            <w:pPr>
              <w:jc w:val="center"/>
              <w:ind w:left="12"/>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20" w:type="dxa"/>
            <w:vAlign w:val="bottom"/>
            <w:vMerge w:val="restart"/>
          </w:tcPr>
          <w:p>
            <w:pPr>
              <w:jc w:val="center"/>
              <w:ind w:left="160"/>
              <w:spacing w:after="0" w:line="143" w:lineRule="exact"/>
              <w:rPr>
                <w:sz w:val="20"/>
                <w:szCs w:val="20"/>
                <w:color w:val="auto"/>
              </w:rPr>
            </w:pPr>
            <w:r>
              <w:rPr>
                <w:rFonts w:ascii="Arial" w:cs="Arial" w:eastAsia="Arial" w:hAnsi="Arial"/>
                <w:sz w:val="13"/>
                <w:szCs w:val="13"/>
                <w:color w:val="0000FF"/>
                <w:w w:val="90"/>
              </w:rPr>
              <w:t>16,458</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-3533140</wp:posOffset>
            </wp:positionV>
            <wp:extent cx="29210" cy="353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5382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$42.38 to $42.98,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Fully vested.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 quarter (1/4) of the shares vested on January 1, 2019, and thereafter, the remainder of the shares vest in 36 monthly installments, subject to the Reporting Person's continuous service.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 quarter (1/4) of the shares vested on January 1, 2020, and thereafter, the remainder of the shares vest in 36 monthly installments, subject to the Reporting Person's continuous service.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 quarter (1/4) of the shares vested on January 1, 2021, and thereafter, the remainder of the shares vest in 36 monthly installments, subject to the Reporting Person's continuous service.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Kristie Scott, Attorney-in-</w:t>
            </w:r>
          </w:p>
        </w:tc>
        <w:tc>
          <w:tcPr>
            <w:tcW w:w="10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12/16/2021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2"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994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2021-12-16T15:54:21Z</dcterms:created>
  <dcterms:modified xsi:type="dcterms:W3CDTF">2021-12-16T15:54:21Z</dcterms:modified>
</cp:coreProperties>
</file>