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6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38"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67"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XOMETRY, INC.</w:t>
      </w: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55"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32-0415449</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20" w:lineRule="exact"/>
        <w:rPr>
          <w:sz w:val="24"/>
          <w:szCs w:val="24"/>
          <w:color w:val="auto"/>
        </w:rPr>
      </w:pPr>
    </w:p>
    <w:p>
      <w:pPr>
        <w:sectPr>
          <w:pgSz w:w="11900" w:h="16838" w:orient="portrait"/>
          <w:cols w:equalWidth="0" w:num="2">
            <w:col w:w="7700" w:space="240"/>
            <w:col w:w="3300"/>
          </w:cols>
          <w:pgMar w:left="320" w:top="746" w:right="339" w:bottom="1440" w:gutter="0" w:footer="0" w:header="0"/>
          <w:type w:val="continuous"/>
        </w:sectPr>
      </w:pPr>
    </w:p>
    <w:p>
      <w:pPr>
        <w:spacing w:after="0" w:line="4" w:lineRule="exact"/>
        <w:rPr>
          <w:sz w:val="24"/>
          <w:szCs w:val="24"/>
          <w:color w:val="auto"/>
        </w:rPr>
      </w:pPr>
    </w:p>
    <w:tbl>
      <w:tblPr>
        <w:tblLayout w:type="fixed"/>
        <w:tblInd w:w="1780" w:type="dxa"/>
        <w:tblCellMar>
          <w:top w:w="0" w:type="dxa"/>
          <w:left w:w="0" w:type="dxa"/>
          <w:bottom w:w="0" w:type="dxa"/>
          <w:right w:w="0" w:type="dxa"/>
        </w:tblCellMar>
      </w:tblPr>
      <w:tr>
        <w:trPr>
          <w:trHeight w:val="203"/>
        </w:trPr>
        <w:tc>
          <w:tcPr>
            <w:tcW w:w="4220" w:type="dxa"/>
            <w:vAlign w:val="bottom"/>
          </w:tcPr>
          <w:p>
            <w:pPr>
              <w:jc w:val="center"/>
              <w:ind w:right="2124"/>
              <w:spacing w:after="0"/>
              <w:rPr>
                <w:sz w:val="20"/>
                <w:szCs w:val="20"/>
                <w:color w:val="auto"/>
              </w:rPr>
            </w:pPr>
            <w:r>
              <w:rPr>
                <w:rFonts w:ascii="Arial" w:cs="Arial" w:eastAsia="Arial" w:hAnsi="Arial"/>
                <w:sz w:val="16"/>
                <w:szCs w:val="16"/>
                <w:b w:val="1"/>
                <w:bCs w:val="1"/>
                <w:color w:val="auto"/>
                <w:w w:val="89"/>
              </w:rPr>
              <w:t>7529 Standish Place</w:t>
            </w:r>
          </w:p>
        </w:tc>
        <w:tc>
          <w:tcPr>
            <w:tcW w:w="2720" w:type="dxa"/>
            <w:vAlign w:val="bottom"/>
          </w:tcPr>
          <w:p>
            <w:pPr>
              <w:spacing w:after="0"/>
              <w:rPr>
                <w:sz w:val="17"/>
                <w:szCs w:val="17"/>
                <w:color w:val="auto"/>
              </w:rPr>
            </w:pPr>
          </w:p>
        </w:tc>
      </w:tr>
      <w:tr>
        <w:trPr>
          <w:trHeight w:val="203"/>
        </w:trPr>
        <w:tc>
          <w:tcPr>
            <w:tcW w:w="4220" w:type="dxa"/>
            <w:vAlign w:val="bottom"/>
          </w:tcPr>
          <w:p>
            <w:pPr>
              <w:jc w:val="center"/>
              <w:ind w:right="2104"/>
              <w:spacing w:after="0"/>
              <w:rPr>
                <w:sz w:val="20"/>
                <w:szCs w:val="20"/>
                <w:color w:val="auto"/>
              </w:rPr>
            </w:pPr>
            <w:r>
              <w:rPr>
                <w:rFonts w:ascii="Arial" w:cs="Arial" w:eastAsia="Arial" w:hAnsi="Arial"/>
                <w:sz w:val="16"/>
                <w:szCs w:val="16"/>
                <w:b w:val="1"/>
                <w:bCs w:val="1"/>
                <w:color w:val="auto"/>
                <w:w w:val="91"/>
              </w:rPr>
              <w:t>Suite 200</w:t>
            </w:r>
          </w:p>
        </w:tc>
        <w:tc>
          <w:tcPr>
            <w:tcW w:w="2720" w:type="dxa"/>
            <w:vAlign w:val="bottom"/>
          </w:tcPr>
          <w:p>
            <w:pPr>
              <w:spacing w:after="0"/>
              <w:rPr>
                <w:sz w:val="17"/>
                <w:szCs w:val="17"/>
                <w:color w:val="auto"/>
              </w:rPr>
            </w:pPr>
          </w:p>
        </w:tc>
      </w:tr>
      <w:tr>
        <w:trPr>
          <w:trHeight w:val="210"/>
        </w:trPr>
        <w:tc>
          <w:tcPr>
            <w:tcW w:w="4220" w:type="dxa"/>
            <w:vAlign w:val="bottom"/>
          </w:tcPr>
          <w:p>
            <w:pPr>
              <w:jc w:val="center"/>
              <w:ind w:right="2124"/>
              <w:spacing w:after="0"/>
              <w:rPr>
                <w:sz w:val="20"/>
                <w:szCs w:val="20"/>
                <w:color w:val="auto"/>
              </w:rPr>
            </w:pPr>
            <w:r>
              <w:rPr>
                <w:rFonts w:ascii="Arial" w:cs="Arial" w:eastAsia="Arial" w:hAnsi="Arial"/>
                <w:sz w:val="16"/>
                <w:szCs w:val="16"/>
                <w:b w:val="1"/>
                <w:bCs w:val="1"/>
                <w:color w:val="auto"/>
                <w:w w:val="95"/>
              </w:rPr>
              <w:t>Derwood, MD</w:t>
            </w:r>
          </w:p>
        </w:tc>
        <w:tc>
          <w:tcPr>
            <w:tcW w:w="2720" w:type="dxa"/>
            <w:vAlign w:val="bottom"/>
          </w:tcPr>
          <w:p>
            <w:pPr>
              <w:jc w:val="right"/>
              <w:ind w:right="8"/>
              <w:spacing w:after="0"/>
              <w:rPr>
                <w:sz w:val="20"/>
                <w:szCs w:val="20"/>
                <w:color w:val="auto"/>
              </w:rPr>
            </w:pPr>
            <w:r>
              <w:rPr>
                <w:rFonts w:ascii="Arial" w:cs="Arial" w:eastAsia="Arial" w:hAnsi="Arial"/>
                <w:sz w:val="16"/>
                <w:szCs w:val="16"/>
                <w:b w:val="1"/>
                <w:bCs w:val="1"/>
                <w:color w:val="auto"/>
              </w:rPr>
              <w:t>20855</w:t>
            </w:r>
          </w:p>
        </w:tc>
      </w:tr>
      <w:tr>
        <w:trPr>
          <w:trHeight w:val="192"/>
        </w:trPr>
        <w:tc>
          <w:tcPr>
            <w:tcW w:w="4220" w:type="dxa"/>
            <w:vAlign w:val="bottom"/>
          </w:tcPr>
          <w:p>
            <w:pPr>
              <w:spacing w:after="0"/>
              <w:rPr>
                <w:sz w:val="20"/>
                <w:szCs w:val="20"/>
                <w:color w:val="auto"/>
              </w:rPr>
            </w:pPr>
            <w:r>
              <w:rPr>
                <w:rFonts w:ascii="Arial" w:cs="Arial" w:eastAsia="Arial" w:hAnsi="Arial"/>
                <w:sz w:val="13"/>
                <w:szCs w:val="13"/>
                <w:b w:val="1"/>
                <w:bCs w:val="1"/>
                <w:color w:val="auto"/>
              </w:rPr>
              <w:t>(Address of principal executive offices)</w:t>
            </w:r>
          </w:p>
        </w:tc>
        <w:tc>
          <w:tcPr>
            <w:tcW w:w="2720" w:type="dxa"/>
            <w:vAlign w:val="bottom"/>
          </w:tcPr>
          <w:p>
            <w:pPr>
              <w:jc w:val="center"/>
              <w:ind w:left="2068"/>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XMTR</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18" w:lineRule="exact"/>
        <w:rPr>
          <w:sz w:val="24"/>
          <w:szCs w:val="24"/>
          <w:color w:val="auto"/>
        </w:rPr>
      </w:pPr>
    </w:p>
    <w:p>
      <w:pPr>
        <w:jc w:val="both"/>
        <w:ind w:firstLine="64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64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220" w:firstLine="64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440" w:firstLine="64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60"/>
        <w:spacing w:after="0" w:line="184" w:lineRule="exact"/>
        <w:tabs>
          <w:tab w:leader="none" w:pos="8200" w:val="left"/>
          <w:tab w:leader="none" w:pos="87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0" w:lineRule="exact"/>
        <w:rPr>
          <w:sz w:val="24"/>
          <w:szCs w:val="24"/>
          <w:color w:val="auto"/>
        </w:rPr>
      </w:pPr>
    </w:p>
    <w:p>
      <w:pPr>
        <w:ind w:right="20" w:firstLine="644"/>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November 2, 2021, the registrant had 41,744,740 shares of Class A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420" w:type="dxa"/>
            <w:vAlign w:val="bottom"/>
            <w:gridSpan w:val="17"/>
          </w:tcPr>
          <w:p>
            <w:pPr>
              <w:spacing w:after="0" w:line="182" w:lineRule="exact"/>
              <w:rPr>
                <w:rFonts w:ascii="Arial" w:cs="Arial" w:eastAsia="Arial" w:hAnsi="Arial"/>
                <w:sz w:val="18"/>
                <w:szCs w:val="18"/>
                <w:color w:val="0563C1"/>
              </w:rPr>
            </w:pPr>
            <w:hyperlink w:anchor="page4">
              <w:r>
                <w:rPr>
                  <w:rFonts w:ascii="Arial" w:cs="Arial" w:eastAsia="Arial" w:hAnsi="Arial"/>
                  <w:sz w:val="18"/>
                  <w:szCs w:val="18"/>
                  <w:color w:val="0563C1"/>
                </w:rPr>
                <w:t>FINANCIAL INFORMATION</w:t>
              </w:r>
            </w:hyperlink>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Condensed Consolidated Balance Sheets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Statements of Operations and Comprehensive Loss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Convertible Preferred Stock and Stockholders' Equity (Deficit)</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Condensed 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Notes to Unaudited Condensed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563C1"/>
              </w:rPr>
            </w:pPr>
            <w:hyperlink w:anchor="page22">
              <w:r>
                <w:rPr>
                  <w:rFonts w:ascii="Arial" w:cs="Arial" w:eastAsia="Arial" w:hAnsi="Arial"/>
                  <w:sz w:val="18"/>
                  <w:szCs w:val="18"/>
                  <w:color w:val="0563C1"/>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120" w:type="dxa"/>
            <w:vAlign w:val="bottom"/>
            <w:tcBorders>
              <w:left w:val="single" w:sz="8" w:color="0563C1"/>
            </w:tcBorders>
            <w:gridSpan w:val="3"/>
            <w:shd w:val="clear" w:color="auto" w:fill="0563C1"/>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17"/>
          </w:tcPr>
          <w:p>
            <w:pPr>
              <w:spacing w:after="0"/>
              <w:rPr>
                <w:rFonts w:ascii="Arial" w:cs="Arial" w:eastAsia="Arial" w:hAnsi="Arial"/>
                <w:sz w:val="18"/>
                <w:szCs w:val="18"/>
                <w:color w:val="0563C1"/>
              </w:rPr>
            </w:pPr>
            <w:hyperlink w:anchor="page36">
              <w:r>
                <w:rPr>
                  <w:rFonts w:ascii="Arial" w:cs="Arial" w:eastAsia="Arial" w:hAnsi="Arial"/>
                  <w:sz w:val="18"/>
                  <w:szCs w:val="18"/>
                  <w:color w:val="0563C1"/>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5080" w:type="dxa"/>
            <w:vAlign w:val="bottom"/>
            <w:tcBorders>
              <w:left w:val="single" w:sz="8" w:color="0563C1"/>
            </w:tcBorders>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563C1"/>
              </w:rPr>
            </w:pPr>
            <w:hyperlink w:anchor="page36">
              <w:r>
                <w:rPr>
                  <w:rFonts w:ascii="Arial" w:cs="Arial" w:eastAsia="Arial" w:hAnsi="Arial"/>
                  <w:sz w:val="18"/>
                  <w:szCs w:val="18"/>
                  <w:color w:val="0563C1"/>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vMerge w:val="continue"/>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OTHER INFORMATION</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2"/>
            <w:shd w:val="clear" w:color="auto" w:fill="0563C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Defaults Upon Senior Securities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7"/>
          </w:tcPr>
          <w:p>
            <w:pPr>
              <w:spacing w:after="0"/>
              <w:rPr>
                <w:rFonts w:ascii="Arial" w:cs="Arial" w:eastAsia="Arial" w:hAnsi="Arial"/>
                <w:sz w:val="18"/>
                <w:szCs w:val="18"/>
                <w:color w:val="0563C1"/>
              </w:rPr>
            </w:pPr>
            <w:hyperlink w:anchor="page37">
              <w:r>
                <w:rPr>
                  <w:rFonts w:ascii="Arial" w:cs="Arial" w:eastAsia="Arial" w:hAnsi="Arial"/>
                  <w:sz w:val="18"/>
                  <w:szCs w:val="18"/>
                  <w:color w:val="0563C1"/>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17"/>
          </w:tcPr>
          <w:p>
            <w:pPr>
              <w:spacing w:after="0"/>
              <w:rPr>
                <w:rFonts w:ascii="Arial" w:cs="Arial" w:eastAsia="Arial" w:hAnsi="Arial"/>
                <w:sz w:val="18"/>
                <w:szCs w:val="18"/>
                <w:color w:val="0563C1"/>
              </w:rPr>
            </w:pPr>
            <w:hyperlink w:anchor="page38">
              <w:r>
                <w:rPr>
                  <w:rFonts w:ascii="Arial" w:cs="Arial" w:eastAsia="Arial" w:hAnsi="Arial"/>
                  <w:sz w:val="18"/>
                  <w:szCs w:val="18"/>
                  <w:color w:val="0563C1"/>
                </w:rPr>
                <w:t>Exhibits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rFonts w:ascii="Arial" w:cs="Arial" w:eastAsia="Arial" w:hAnsi="Arial"/>
                <w:sz w:val="18"/>
                <w:szCs w:val="18"/>
                <w:color w:val="0563C1"/>
              </w:rPr>
            </w:pPr>
            <w:hyperlink w:anchor="page39">
              <w:r>
                <w:rPr>
                  <w:rFonts w:ascii="Arial" w:cs="Arial" w:eastAsia="Arial" w:hAnsi="Arial"/>
                  <w:sz w:val="18"/>
                  <w:szCs w:val="18"/>
                  <w:color w:val="0563C1"/>
                </w:rPr>
                <w:t>Signatures</w:t>
              </w:r>
            </w:hyperlink>
          </w:p>
        </w:tc>
        <w:tc>
          <w:tcPr>
            <w:tcW w:w="20" w:type="dxa"/>
            <w:vAlign w:val="bottom"/>
          </w:tcPr>
          <w:p>
            <w:pPr>
              <w:spacing w:after="0"/>
              <w:rPr>
                <w:sz w:val="19"/>
                <w:szCs w:val="19"/>
                <w:color w:val="auto"/>
              </w:rPr>
            </w:pPr>
          </w:p>
        </w:tc>
        <w:tc>
          <w:tcPr>
            <w:tcW w:w="58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ind w:right="200" w:firstLine="644"/>
        <w:spacing w:after="0" w:line="28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4" w:lineRule="exact"/>
        <w:rPr>
          <w:sz w:val="20"/>
          <w:szCs w:val="20"/>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265" w:lineRule="exact"/>
        <w:rPr>
          <w:rFonts w:ascii="Arial" w:cs="Arial" w:eastAsia="Arial" w:hAnsi="Arial"/>
          <w:sz w:val="18"/>
          <w:szCs w:val="18"/>
          <w:color w:val="auto"/>
        </w:rPr>
      </w:pPr>
    </w:p>
    <w:p>
      <w:pPr>
        <w:ind w:left="800" w:right="380" w:hanging="225"/>
        <w:spacing w:after="0" w:line="293"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96" w:lineRule="exact"/>
        <w:rPr>
          <w:rFonts w:ascii="Arial" w:cs="Arial" w:eastAsia="Arial" w:hAnsi="Arial"/>
          <w:sz w:val="18"/>
          <w:szCs w:val="18"/>
          <w:color w:val="auto"/>
        </w:rPr>
      </w:pPr>
    </w:p>
    <w:p>
      <w:pPr>
        <w:ind w:left="780" w:hanging="205"/>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ongoing effects of the COVID-19 pandemic and the associated global economic uncertainty or other public health crises;</w:t>
      </w:r>
    </w:p>
    <w:p>
      <w:pPr>
        <w:spacing w:after="0" w:line="265" w:lineRule="exact"/>
        <w:rPr>
          <w:rFonts w:ascii="Arial" w:cs="Arial" w:eastAsia="Arial" w:hAnsi="Arial"/>
          <w:sz w:val="18"/>
          <w:szCs w:val="18"/>
          <w:color w:val="auto"/>
        </w:rPr>
      </w:pPr>
    </w:p>
    <w:p>
      <w:pPr>
        <w:ind w:left="780" w:hanging="21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265" w:lineRule="exact"/>
        <w:rPr>
          <w:rFonts w:ascii="Arial" w:cs="Arial" w:eastAsia="Arial" w:hAnsi="Arial"/>
          <w:sz w:val="18"/>
          <w:szCs w:val="18"/>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265" w:lineRule="exact"/>
        <w:rPr>
          <w:rFonts w:ascii="Arial" w:cs="Arial" w:eastAsia="Arial" w:hAnsi="Arial"/>
          <w:sz w:val="18"/>
          <w:szCs w:val="18"/>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obtain, maintain, protect and enforce our intellectual property or other proprietary rights and any costs associated therewith;</w:t>
      </w:r>
    </w:p>
    <w:p>
      <w:pPr>
        <w:spacing w:after="0" w:line="277" w:lineRule="exact"/>
        <w:rPr>
          <w:rFonts w:ascii="Arial" w:cs="Arial" w:eastAsia="Arial" w:hAnsi="Arial"/>
          <w:sz w:val="17"/>
          <w:szCs w:val="17"/>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374" w:lineRule="exact"/>
        <w:rPr>
          <w:sz w:val="20"/>
          <w:szCs w:val="20"/>
          <w:color w:val="auto"/>
        </w:rPr>
      </w:pPr>
    </w:p>
    <w:p>
      <w:pPr>
        <w:ind w:right="20" w:firstLine="644"/>
        <w:spacing w:after="0" w:line="30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56" w:lineRule="exact"/>
        <w:rPr>
          <w:sz w:val="20"/>
          <w:szCs w:val="20"/>
          <w:color w:val="auto"/>
        </w:rPr>
      </w:pPr>
    </w:p>
    <w:p>
      <w:pPr>
        <w:ind w:firstLine="644"/>
        <w:spacing w:after="0" w:line="31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48" w:lineRule="exact"/>
        <w:rPr>
          <w:sz w:val="20"/>
          <w:szCs w:val="20"/>
          <w:color w:val="auto"/>
        </w:rPr>
      </w:pPr>
    </w:p>
    <w:p>
      <w:pPr>
        <w:ind w:right="20" w:firstLine="644"/>
        <w:spacing w:after="0" w:line="281" w:lineRule="auto"/>
        <w:rPr>
          <w:sz w:val="20"/>
          <w:szCs w:val="20"/>
          <w:color w:val="auto"/>
        </w:rPr>
      </w:pPr>
      <w:r>
        <w:rPr>
          <w:rFonts w:ascii="Arial" w:cs="Arial" w:eastAsia="Arial" w:hAnsi="Arial"/>
          <w:sz w:val="17"/>
          <w:szCs w:val="17"/>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57,778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59,874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Marketable securities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266,739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Accounts receivable, less allowance for doubtful accounts of $0.7 million as of September 30, 2021 and $0.6 million as of December 31, 2020,</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respectively</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25,157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1,427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Prepaid expenses</w:t>
            </w:r>
          </w:p>
        </w:tc>
        <w:tc>
          <w:tcPr>
            <w:tcW w:w="2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4,988</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913</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380"/>
              <w:spacing w:after="0"/>
              <w:rPr>
                <w:sz w:val="20"/>
                <w:szCs w:val="20"/>
                <w:color w:val="auto"/>
              </w:rPr>
            </w:pPr>
            <w:r>
              <w:rPr>
                <w:rFonts w:ascii="Arial" w:cs="Arial" w:eastAsia="Arial" w:hAnsi="Arial"/>
                <w:sz w:val="13"/>
                <w:szCs w:val="13"/>
                <w:b w:val="1"/>
                <w:bCs w:val="1"/>
                <w:color w:val="auto"/>
              </w:rPr>
              <w:t>Total current assets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356,089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77,655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 net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8,615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3,101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assets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1,455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2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833</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833</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38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370,297</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Accrued expenses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17,487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13,606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Contract liabilities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Operating lease liabilities, current portion</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1,108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Finance lease liabilities, current portion</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0"/>
              <w:spacing w:after="0"/>
              <w:rPr>
                <w:sz w:val="20"/>
                <w:szCs w:val="20"/>
                <w:color w:val="auto"/>
              </w:rPr>
            </w:pPr>
            <w:r>
              <w:rPr>
                <w:rFonts w:ascii="Arial" w:cs="Arial" w:eastAsia="Arial" w:hAnsi="Arial"/>
                <w:sz w:val="13"/>
                <w:szCs w:val="13"/>
                <w:color w:val="auto"/>
              </w:rPr>
              <w:t>Short-term debt</w:t>
            </w:r>
          </w:p>
        </w:tc>
        <w:tc>
          <w:tcPr>
            <w:tcW w:w="260" w:type="dxa"/>
            <w:vAlign w:val="bottom"/>
          </w:tcPr>
          <w:p>
            <w:pPr>
              <w:spacing w:after="0"/>
              <w:rPr>
                <w:sz w:val="15"/>
                <w:szCs w:val="15"/>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15,753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Total current liabilities</w:t>
            </w:r>
          </w:p>
        </w:tc>
        <w:tc>
          <w:tcPr>
            <w:tcW w:w="26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27,177</w:t>
            </w:r>
          </w:p>
        </w:tc>
        <w:tc>
          <w:tcPr>
            <w:tcW w:w="24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38,381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0"/>
              <w:spacing w:after="0"/>
              <w:rPr>
                <w:sz w:val="20"/>
                <w:szCs w:val="20"/>
                <w:color w:val="auto"/>
              </w:rPr>
            </w:pPr>
            <w:r>
              <w:rPr>
                <w:rFonts w:ascii="Arial" w:cs="Arial" w:eastAsia="Arial" w:hAnsi="Arial"/>
                <w:sz w:val="13"/>
                <w:szCs w:val="13"/>
                <w:color w:val="auto"/>
              </w:rPr>
              <w:t>Operating lease liabilities, net of current portion</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b w:val="1"/>
                <w:bCs w:val="1"/>
                <w:color w:val="auto"/>
              </w:rPr>
              <w:t>Total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29,374</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39,499</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Commitments and contingencies (Note 12)</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Convertible preferred stock</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680" w:type="dxa"/>
            <w:vAlign w:val="bottom"/>
          </w:tcPr>
          <w:p>
            <w:pPr>
              <w:ind w:left="200"/>
              <w:spacing w:after="0"/>
              <w:rPr>
                <w:sz w:val="20"/>
                <w:szCs w:val="20"/>
                <w:color w:val="auto"/>
              </w:rPr>
            </w:pPr>
            <w:r>
              <w:rPr>
                <w:rFonts w:ascii="Arial" w:cs="Arial" w:eastAsia="Arial" w:hAnsi="Arial"/>
                <w:sz w:val="13"/>
                <w:szCs w:val="13"/>
                <w:color w:val="auto"/>
                <w:w w:val="97"/>
              </w:rPr>
              <w:t>Convertible preferred stock, $0.000001 par value, Seed-1, Seed-2, Series A-1, Series A-2, Series B, Series C, Series D and Series E.</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rPr>
                <w:sz w:val="20"/>
                <w:szCs w:val="20"/>
                <w:color w:val="auto"/>
              </w:rPr>
            </w:pPr>
            <w:r>
              <w:rPr>
                <w:rFonts w:ascii="Arial" w:cs="Arial" w:eastAsia="Arial" w:hAnsi="Arial"/>
                <w:sz w:val="13"/>
                <w:szCs w:val="13"/>
                <w:color w:val="auto"/>
                <w:w w:val="93"/>
              </w:rPr>
              <w:t>Authorized; zero shares and 27,970,966 shares, zero shares and 27,758,941 shares issued and outstanding as of September 30, 2021 and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160,713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80" w:type="dxa"/>
            <w:vAlign w:val="bottom"/>
          </w:tcPr>
          <w:p>
            <w:pPr>
              <w:ind w:left="200"/>
              <w:spacing w:after="0"/>
              <w:rPr>
                <w:sz w:val="20"/>
                <w:szCs w:val="20"/>
                <w:color w:val="auto"/>
              </w:rPr>
            </w:pPr>
            <w:r>
              <w:rPr>
                <w:rFonts w:ascii="Arial" w:cs="Arial" w:eastAsia="Arial" w:hAnsi="Arial"/>
                <w:sz w:val="13"/>
                <w:szCs w:val="13"/>
                <w:color w:val="auto"/>
              </w:rPr>
              <w:t>December 31, 2020, respectively</w:t>
            </w:r>
          </w:p>
        </w:tc>
        <w:tc>
          <w:tcPr>
            <w:tcW w:w="2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Stockholders’ equity (deficit)</w:t>
            </w:r>
          </w:p>
        </w:tc>
        <w:tc>
          <w:tcPr>
            <w:tcW w:w="2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80" w:type="dxa"/>
            <w:vAlign w:val="bottom"/>
          </w:tcPr>
          <w:p>
            <w:pPr>
              <w:ind w:left="200"/>
              <w:spacing w:after="0"/>
              <w:rPr>
                <w:sz w:val="20"/>
                <w:szCs w:val="20"/>
                <w:color w:val="auto"/>
              </w:rPr>
            </w:pPr>
            <w:r>
              <w:rPr>
                <w:rFonts w:ascii="Arial" w:cs="Arial" w:eastAsia="Arial" w:hAnsi="Arial"/>
                <w:sz w:val="13"/>
                <w:szCs w:val="13"/>
                <w:color w:val="auto"/>
                <w:w w:val="90"/>
              </w:rPr>
              <w:t>Preferred stock, $0.000001 par value. Authorized; 50,000,000 shares and zero shares; zero shares issued and outstanding as of September 30,</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00"/>
              <w:spacing w:after="0"/>
              <w:rPr>
                <w:sz w:val="20"/>
                <w:szCs w:val="20"/>
                <w:color w:val="auto"/>
              </w:rPr>
            </w:pPr>
            <w:r>
              <w:rPr>
                <w:rFonts w:ascii="Arial" w:cs="Arial" w:eastAsia="Arial" w:hAnsi="Arial"/>
                <w:sz w:val="13"/>
                <w:szCs w:val="13"/>
                <w:color w:val="auto"/>
              </w:rPr>
              <w:t>2021 and December 31, 2020, respectively</w:t>
            </w:r>
          </w:p>
        </w:tc>
        <w:tc>
          <w:tcPr>
            <w:tcW w:w="260" w:type="dxa"/>
            <w:vAlign w:val="bottom"/>
          </w:tcPr>
          <w:p>
            <w:pPr>
              <w:spacing w:after="0"/>
              <w:rPr>
                <w:sz w:val="14"/>
                <w:szCs w:val="1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w w:val="89"/>
              </w:rPr>
              <w:t>Common stock, $0.000001 par value. Authorized; zero shares and 42,000,000 shares; zero shares and 7,755,782 shares issued and outstanding</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as of September 30, 2021 and December 31, 2020, respectively</w:t>
            </w: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7680" w:type="dxa"/>
            <w:vAlign w:val="bottom"/>
          </w:tcPr>
          <w:p>
            <w:pPr>
              <w:ind w:left="200"/>
              <w:spacing w:after="0"/>
              <w:rPr>
                <w:sz w:val="20"/>
                <w:szCs w:val="20"/>
                <w:color w:val="auto"/>
              </w:rPr>
            </w:pPr>
            <w:r>
              <w:rPr>
                <w:rFonts w:ascii="Arial" w:cs="Arial" w:eastAsia="Arial" w:hAnsi="Arial"/>
                <w:sz w:val="13"/>
                <w:szCs w:val="13"/>
                <w:color w:val="auto"/>
              </w:rPr>
              <w:t>Class A Common stock, $0.000001 par value. Authorized; 750,000,000 shares and zero shares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40"/>
              <w:spacing w:after="0"/>
              <w:rPr>
                <w:sz w:val="20"/>
                <w:szCs w:val="20"/>
                <w:color w:val="auto"/>
              </w:rPr>
            </w:pPr>
            <w:r>
              <w:rPr>
                <w:rFonts w:ascii="Arial" w:cs="Arial" w:eastAsia="Arial" w:hAnsi="Arial"/>
                <w:sz w:val="13"/>
                <w:szCs w:val="13"/>
                <w:color w:val="auto"/>
              </w:rPr>
              <w:t>41,714,711 shares and zero shares issued and outstanding as of September 30, 2021 and December 31, 2020, respectively</w:t>
            </w:r>
          </w:p>
        </w:tc>
        <w:tc>
          <w:tcPr>
            <w:tcW w:w="260" w:type="dxa"/>
            <w:vAlign w:val="bottom"/>
          </w:tcPr>
          <w:p>
            <w:pPr>
              <w:spacing w:after="0"/>
              <w:rPr>
                <w:sz w:val="14"/>
                <w:szCs w:val="1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2"/>
              </w:rPr>
              <w:t>Class B Common stock, $0.000001 par value. Authorized; 5,000,000 shares and zero shares, 2,676,154 shares and zero shares issued and</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outstanding as of September 30, 2021 and December 31, 2020, respectively</w:t>
            </w: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490,175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other comprehensive income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200"/>
              <w:spacing w:after="0"/>
              <w:rPr>
                <w:sz w:val="20"/>
                <w:szCs w:val="20"/>
                <w:color w:val="auto"/>
              </w:rPr>
            </w:pPr>
            <w:r>
              <w:rPr>
                <w:rFonts w:ascii="Arial" w:cs="Arial" w:eastAsia="Arial" w:hAnsi="Arial"/>
                <w:sz w:val="13"/>
                <w:szCs w:val="13"/>
                <w:color w:val="auto"/>
              </w:rPr>
              <w:t>Accumulated deficit</w:t>
            </w:r>
          </w:p>
        </w:tc>
        <w:tc>
          <w:tcPr>
            <w:tcW w:w="26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3"/>
                <w:szCs w:val="13"/>
                <w:color w:val="auto"/>
              </w:rPr>
              <w:t>(149,438 )</w:t>
            </w:r>
          </w:p>
        </w:tc>
        <w:tc>
          <w:tcPr>
            <w:tcW w:w="26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(111,962 )</w:t>
            </w:r>
          </w:p>
        </w:tc>
        <w:tc>
          <w:tcPr>
            <w:tcW w:w="0" w:type="dxa"/>
            <w:vAlign w:val="bottom"/>
          </w:tcPr>
          <w:p>
            <w:pPr>
              <w:spacing w:after="0"/>
              <w:rPr>
                <w:sz w:val="1"/>
                <w:szCs w:val="1"/>
                <w:color w:val="auto"/>
              </w:rPr>
            </w:pPr>
          </w:p>
        </w:tc>
      </w:tr>
      <w:tr>
        <w:trPr>
          <w:trHeight w:val="22"/>
        </w:trPr>
        <w:tc>
          <w:tcPr>
            <w:tcW w:w="7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Total stockholders’ equity (deficit)</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340,923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(111,249 )</w:t>
            </w:r>
          </w:p>
        </w:tc>
        <w:tc>
          <w:tcPr>
            <w:tcW w:w="0" w:type="dxa"/>
            <w:vAlign w:val="bottom"/>
          </w:tcPr>
          <w:p>
            <w:pPr>
              <w:spacing w:after="0"/>
              <w:rPr>
                <w:sz w:val="1"/>
                <w:szCs w:val="1"/>
                <w:color w:val="auto"/>
              </w:rPr>
            </w:pPr>
          </w:p>
        </w:tc>
      </w:tr>
      <w:tr>
        <w:trPr>
          <w:trHeight w:val="183"/>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3"/>
                <w:szCs w:val="13"/>
                <w:b w:val="1"/>
                <w:bCs w:val="1"/>
                <w:color w:val="auto"/>
              </w:rPr>
              <w:t>Total liabilities, convertible preferred stock and stockholders’ equity</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370,297</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88,963</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-4445635</wp:posOffset>
            </wp:positionV>
            <wp:extent cx="1543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-4445635</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-3716655</wp:posOffset>
            </wp:positionV>
            <wp:extent cx="1543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-3716655</wp:posOffset>
            </wp:positionV>
            <wp:extent cx="431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-2225040</wp:posOffset>
            </wp:positionV>
            <wp:extent cx="1543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-2225040</wp:posOffset>
            </wp:positionV>
            <wp:extent cx="431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-150495</wp:posOffset>
            </wp:positionV>
            <wp:extent cx="1543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56,727</w:t>
            </w:r>
          </w:p>
        </w:tc>
        <w:tc>
          <w:tcPr>
            <w:tcW w:w="24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41,953</w:t>
            </w:r>
          </w:p>
        </w:tc>
        <w:tc>
          <w:tcPr>
            <w:tcW w:w="22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151,238</w:t>
            </w:r>
          </w:p>
        </w:tc>
        <w:tc>
          <w:tcPr>
            <w:tcW w:w="220" w:type="dxa"/>
            <w:vAlign w:val="bottom"/>
            <w:shd w:val="clear" w:color="auto" w:fill="CFF0FC"/>
          </w:tcPr>
          <w:p>
            <w:pPr>
              <w:spacing w:after="0"/>
              <w:rPr>
                <w:sz w:val="16"/>
                <w:szCs w:val="16"/>
                <w:color w:val="auto"/>
              </w:rPr>
            </w:pPr>
          </w:p>
        </w:tc>
        <w:tc>
          <w:tcPr>
            <w:tcW w:w="440" w:type="dxa"/>
            <w:vAlign w:val="bottom"/>
            <w:vMerge w:val="restart"/>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103,425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60" w:type="dxa"/>
            <w:vAlign w:val="bottom"/>
            <w:vMerge w:val="continue"/>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40" w:type="dxa"/>
            <w:vAlign w:val="bottom"/>
            <w:vMerge w:val="continue"/>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42,233</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115,033</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14,494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10,175</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36,205</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23,806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9,828</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5,986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26,250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5,775</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3,671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15,594</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4,376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3,003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12,131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8,778</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3,282</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18,343</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8,792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28,757</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72,318</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(14,263 )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(5,767 )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(36,113 )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(19,845 )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Other (expenses) income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(79 )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(309 )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(799 )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(939 )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20"/>
              <w:spacing w:after="0"/>
              <w:rPr>
                <w:sz w:val="20"/>
                <w:szCs w:val="20"/>
                <w:color w:val="auto"/>
              </w:rPr>
            </w:pPr>
            <w:r>
              <w:rPr>
                <w:rFonts w:ascii="Arial" w:cs="Arial" w:eastAsia="Arial" w:hAnsi="Arial"/>
                <w:sz w:val="14"/>
                <w:szCs w:val="14"/>
                <w:color w:val="auto"/>
              </w:rPr>
              <w:t>Interest and dividend income</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(786 )</w:t>
            </w:r>
          </w:p>
        </w:tc>
        <w:tc>
          <w:tcPr>
            <w:tcW w:w="4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(109 )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(1,021 )</w:t>
            </w:r>
          </w:p>
        </w:tc>
        <w:tc>
          <w:tcPr>
            <w:tcW w:w="4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(340 )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4"/>
                <w:szCs w:val="14"/>
                <w:color w:val="auto"/>
              </w:rPr>
              <w:t>Total other expenses</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(448 )</w:t>
            </w: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(416 )</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(1,363 )</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(1,064 )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(6,183 )</w:t>
            </w:r>
          </w:p>
        </w:tc>
        <w:tc>
          <w:tcPr>
            <w:tcW w:w="32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(20,909 )</w:t>
            </w:r>
          </w:p>
        </w:tc>
        <w:tc>
          <w:tcPr>
            <w:tcW w:w="0" w:type="dxa"/>
            <w:vAlign w:val="bottom"/>
          </w:tcPr>
          <w:p>
            <w:pPr>
              <w:spacing w:after="0"/>
              <w:rPr>
                <w:sz w:val="1"/>
                <w:szCs w:val="1"/>
                <w:color w:val="auto"/>
              </w:rPr>
            </w:pPr>
          </w:p>
        </w:tc>
      </w:tr>
      <w:tr>
        <w:trPr>
          <w:trHeight w:val="66"/>
        </w:trPr>
        <w:tc>
          <w:tcPr>
            <w:tcW w:w="52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2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300" w:type="dxa"/>
            <w:vAlign w:val="bottom"/>
            <w:gridSpan w:val="2"/>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4"/>
                <w:szCs w:val="14"/>
                <w:color w:val="auto"/>
              </w:rPr>
              <w:t>Deemed dividend to preferred stockholders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(8,801 )</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(8,801 )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(14,984 )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(29,710 )</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(0.33 )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(1.99 )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(1.87 )</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number of shares outstanding used to compute</w:t>
            </w: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43,962,863</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7,546,458</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20,092,600</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7,458,671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40" w:type="dxa"/>
            <w:vAlign w:val="bottom"/>
            <w:tcBorders>
              <w:bottom w:val="single" w:sz="8" w:color="CFF0FC"/>
            </w:tcBorders>
            <w:shd w:val="clear" w:color="auto" w:fill="CFF0FC"/>
          </w:tcPr>
          <w:p>
            <w:pPr>
              <w:jc w:val="right"/>
              <w:ind w:right="2988"/>
              <w:spacing w:after="0" w:line="154" w:lineRule="exact"/>
              <w:rPr>
                <w:sz w:val="20"/>
                <w:szCs w:val="20"/>
                <w:color w:val="auto"/>
              </w:rPr>
            </w:pPr>
            <w:r>
              <w:rPr>
                <w:rFonts w:ascii="Arial" w:cs="Arial" w:eastAsia="Arial" w:hAnsi="Arial"/>
                <w:sz w:val="14"/>
                <w:szCs w:val="14"/>
                <w:color w:val="auto"/>
                <w:w w:val="96"/>
              </w:rPr>
              <w:t>net loss per share, basic and diluted</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84"/>
        </w:trPr>
        <w:tc>
          <w:tcPr>
            <w:tcW w:w="524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(65 )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(24 )</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Pr>
          <w:p>
            <w:pPr>
              <w:jc w:val="right"/>
              <w:ind w:right="2988"/>
              <w:spacing w:after="0"/>
              <w:rPr>
                <w:sz w:val="20"/>
                <w:szCs w:val="20"/>
                <w:color w:val="auto"/>
              </w:rPr>
            </w:pPr>
            <w:r>
              <w:rPr>
                <w:rFonts w:ascii="Arial" w:cs="Arial" w:eastAsia="Arial" w:hAnsi="Arial"/>
                <w:sz w:val="14"/>
                <w:szCs w:val="14"/>
                <w:color w:val="auto"/>
              </w:rPr>
              <w:t>Total other comprehensive loss</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(41 )</w:t>
            </w: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(65 )</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(24 )</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(14,711 )</w:t>
            </w:r>
          </w:p>
        </w:tc>
        <w:tc>
          <w:tcPr>
            <w:tcW w:w="4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(6,183 )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(37,476 )</w:t>
            </w:r>
          </w:p>
        </w:tc>
        <w:tc>
          <w:tcPr>
            <w:tcW w:w="4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(20,909 )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(14,752 )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(6,248 )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(37,500 )</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(21,001 )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-3828415</wp:posOffset>
            </wp:positionV>
            <wp:extent cx="1454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-3828415</wp:posOffset>
            </wp:positionV>
            <wp:extent cx="1371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-3828415</wp:posOffset>
            </wp:positionV>
            <wp:extent cx="1371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-3828415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-3176905</wp:posOffset>
            </wp:positionV>
            <wp:extent cx="1454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-3176905</wp:posOffset>
            </wp:positionV>
            <wp:extent cx="1371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-3176905</wp:posOffset>
            </wp:positionV>
            <wp:extent cx="1371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-3176905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-2199640</wp:posOffset>
            </wp:positionV>
            <wp:extent cx="1454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-2199640</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-2199640</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-2199640</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-1567815</wp:posOffset>
            </wp:positionV>
            <wp:extent cx="145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-1550670</wp:posOffset>
            </wp:positionV>
            <wp:extent cx="145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-1567815</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-1550670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-1567815</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-1550670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-1567815</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-1550670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-1165225</wp:posOffset>
            </wp:positionV>
            <wp:extent cx="145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-1148080</wp:posOffset>
            </wp:positionV>
            <wp:extent cx="145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-1165225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-1148080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-1165225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-1148080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-1165225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-493395</wp:posOffset>
            </wp:positionV>
            <wp:extent cx="1454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-493395</wp:posOffset>
            </wp:positionV>
            <wp:extent cx="1371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-493395</wp:posOffset>
            </wp:positionV>
            <wp:extent cx="1371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-493395</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-167640</wp:posOffset>
            </wp:positionV>
            <wp:extent cx="1454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-167640</wp:posOffset>
            </wp:positionV>
            <wp:extent cx="1371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-167640</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-167640</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2021 and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160020</wp:posOffset>
            </wp:positionV>
            <wp:extent cx="42545" cy="1033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1033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7580"/>
        <w:spacing w:after="0"/>
        <w:rPr>
          <w:sz w:val="20"/>
          <w:szCs w:val="20"/>
          <w:color w:val="auto"/>
        </w:rPr>
      </w:pPr>
      <w:r>
        <w:rPr>
          <w:rFonts w:ascii="Arial" w:cs="Arial" w:eastAsia="Arial" w:hAnsi="Arial"/>
          <w:sz w:val="13"/>
          <w:szCs w:val="13"/>
          <w:b w:val="1"/>
          <w:bCs w:val="1"/>
          <w:color w:val="auto"/>
        </w:rPr>
        <w:t>Convertible Preferred</w:t>
      </w:r>
    </w:p>
    <w:p>
      <w:pPr>
        <w:spacing w:after="0" w:line="15" w:lineRule="exact"/>
        <w:rPr>
          <w:sz w:val="20"/>
          <w:szCs w:val="20"/>
          <w:color w:val="auto"/>
        </w:rPr>
      </w:pPr>
    </w:p>
    <w:p>
      <w:pPr>
        <w:jc w:val="center"/>
        <w:ind w:right="7580"/>
        <w:spacing w:after="0"/>
        <w:rPr>
          <w:sz w:val="20"/>
          <w:szCs w:val="20"/>
          <w:color w:val="auto"/>
        </w:rPr>
      </w:pPr>
      <w:r>
        <w:rPr>
          <w:rFonts w:ascii="Arial" w:cs="Arial" w:eastAsia="Arial" w:hAnsi="Arial"/>
          <w:sz w:val="13"/>
          <w:szCs w:val="13"/>
          <w:b w:val="1"/>
          <w:bCs w:val="1"/>
          <w:color w:val="auto"/>
        </w:rPr>
        <w:t>Stock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500" w:type="dxa"/>
            <w:vAlign w:val="bottom"/>
            <w:gridSpan w:val="3"/>
          </w:tcPr>
          <w:p>
            <w:pPr>
              <w:jc w:val="center"/>
              <w:ind w:right="9"/>
              <w:spacing w:after="0"/>
              <w:rPr>
                <w:sz w:val="20"/>
                <w:szCs w:val="20"/>
                <w:color w:val="auto"/>
              </w:rPr>
            </w:pPr>
            <w:r>
              <w:rPr>
                <w:rFonts w:ascii="Arial" w:cs="Arial" w:eastAsia="Arial" w:hAnsi="Arial"/>
                <w:sz w:val="13"/>
                <w:szCs w:val="13"/>
                <w:b w:val="1"/>
                <w:bCs w:val="1"/>
                <w:color w:val="auto"/>
                <w:w w:val="85"/>
              </w:rPr>
              <w:t>Seed-1, Seed-2, Series 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500" w:type="dxa"/>
            <w:vAlign w:val="bottom"/>
            <w:gridSpan w:val="3"/>
          </w:tcPr>
          <w:p>
            <w:pPr>
              <w:jc w:val="center"/>
              <w:ind w:right="29"/>
              <w:spacing w:after="0"/>
              <w:rPr>
                <w:sz w:val="20"/>
                <w:szCs w:val="20"/>
                <w:color w:val="auto"/>
              </w:rPr>
            </w:pPr>
            <w:r>
              <w:rPr>
                <w:rFonts w:ascii="Arial" w:cs="Arial" w:eastAsia="Arial" w:hAnsi="Arial"/>
                <w:sz w:val="13"/>
                <w:szCs w:val="13"/>
                <w:b w:val="1"/>
                <w:bCs w:val="1"/>
                <w:color w:val="auto"/>
                <w:w w:val="85"/>
              </w:rPr>
              <w:t>1, Series A-2, Series B,</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500" w:type="dxa"/>
            <w:vAlign w:val="bottom"/>
            <w:gridSpan w:val="3"/>
          </w:tcPr>
          <w:p>
            <w:pPr>
              <w:jc w:val="center"/>
              <w:ind w:right="49"/>
              <w:spacing w:after="0"/>
              <w:rPr>
                <w:sz w:val="20"/>
                <w:szCs w:val="20"/>
                <w:color w:val="auto"/>
              </w:rPr>
            </w:pPr>
            <w:r>
              <w:rPr>
                <w:rFonts w:ascii="Arial" w:cs="Arial" w:eastAsia="Arial" w:hAnsi="Arial"/>
                <w:sz w:val="13"/>
                <w:szCs w:val="13"/>
                <w:b w:val="1"/>
                <w:bCs w:val="1"/>
                <w:color w:val="auto"/>
                <w:w w:val="85"/>
              </w:rPr>
              <w:t>Series C, Series D, Series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ind w:left="140"/>
              <w:spacing w:after="0"/>
              <w:rPr>
                <w:sz w:val="20"/>
                <w:szCs w:val="20"/>
                <w:color w:val="auto"/>
              </w:rPr>
            </w:pPr>
            <w:r>
              <w:rPr>
                <w:rFonts w:ascii="Arial" w:cs="Arial" w:eastAsia="Arial" w:hAnsi="Arial"/>
                <w:sz w:val="13"/>
                <w:szCs w:val="13"/>
                <w:b w:val="1"/>
                <w:bCs w:val="1"/>
                <w:color w:val="auto"/>
              </w:rPr>
              <w:t>Class A - Common</w:t>
            </w:r>
          </w:p>
        </w:tc>
        <w:tc>
          <w:tcPr>
            <w:tcW w:w="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w w:val="89"/>
              </w:rPr>
              <w:t>Class B - Common</w:t>
            </w:r>
          </w:p>
        </w:tc>
        <w:tc>
          <w:tcPr>
            <w:tcW w:w="4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Accumulate</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79"/>
        </w:trPr>
        <w:tc>
          <w:tcPr>
            <w:tcW w:w="2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669"/>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5"/>
                <w:szCs w:val="15"/>
                <w:color w:val="auto"/>
              </w:rPr>
            </w:pP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5"/>
                <w:szCs w:val="15"/>
                <w:color w:val="auto"/>
              </w:rPr>
            </w:pPr>
          </w:p>
        </w:tc>
        <w:tc>
          <w:tcPr>
            <w:tcW w:w="82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78"/>
              </w:rPr>
              <w:t>Stock</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Stock</w:t>
            </w:r>
          </w:p>
        </w:tc>
        <w:tc>
          <w:tcPr>
            <w:tcW w:w="40" w:type="dxa"/>
            <w:vAlign w:val="bottom"/>
          </w:tcPr>
          <w:p>
            <w:pPr>
              <w:spacing w:after="0"/>
              <w:rPr>
                <w:sz w:val="15"/>
                <w:szCs w:val="15"/>
                <w:color w:val="auto"/>
              </w:rPr>
            </w:pPr>
          </w:p>
        </w:tc>
        <w:tc>
          <w:tcPr>
            <w:tcW w:w="840" w:type="dxa"/>
            <w:vAlign w:val="bottom"/>
          </w:tcPr>
          <w:p>
            <w:pPr>
              <w:jc w:val="right"/>
              <w:ind w:right="131"/>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d</w:t>
            </w: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66"/>
        </w:trPr>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Amoun</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r>
      <w:tr>
        <w:trPr>
          <w:trHeight w:val="174"/>
        </w:trPr>
        <w:tc>
          <w:tcPr>
            <w:tcW w:w="216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780" w:type="dxa"/>
            <w:vAlign w:val="bottom"/>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1"/>
              </w:rPr>
              <w:t>t</w:t>
            </w:r>
          </w:p>
        </w:tc>
        <w:tc>
          <w:tcPr>
            <w:tcW w:w="40" w:type="dxa"/>
            <w:vAlign w:val="bottom"/>
          </w:tcPr>
          <w:p>
            <w:pPr>
              <w:spacing w:after="0"/>
              <w:rPr>
                <w:sz w:val="15"/>
                <w:szCs w:val="15"/>
                <w:color w:val="auto"/>
              </w:rPr>
            </w:pPr>
          </w:p>
        </w:tc>
        <w:tc>
          <w:tcPr>
            <w:tcW w:w="840" w:type="dxa"/>
            <w:vAlign w:val="bottom"/>
          </w:tcPr>
          <w:p>
            <w:pPr>
              <w:jc w:val="right"/>
              <w:ind w:right="151"/>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84"/>
        </w:trPr>
        <w:tc>
          <w:tcPr>
            <w:tcW w:w="2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27,758,94</w:t>
            </w:r>
          </w:p>
        </w:tc>
        <w:tc>
          <w:tcPr>
            <w:tcW w:w="60" w:type="dxa"/>
            <w:vAlign w:val="bottom"/>
            <w:shd w:val="clear" w:color="auto" w:fill="CFF0FC"/>
          </w:tcPr>
          <w:p>
            <w:pPr>
              <w:spacing w:after="0"/>
              <w:rPr>
                <w:sz w:val="15"/>
                <w:szCs w:val="15"/>
                <w:color w:val="auto"/>
              </w:rPr>
            </w:pPr>
          </w:p>
        </w:tc>
        <w:tc>
          <w:tcPr>
            <w:tcW w:w="780" w:type="dxa"/>
            <w:vAlign w:val="bottom"/>
            <w:tcBorders>
              <w:top w:val="single" w:sz="8" w:color="auto"/>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r>
      <w:tr>
        <w:trPr>
          <w:trHeight w:val="19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2020</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40" w:type="dxa"/>
            <w:vAlign w:val="bottom"/>
            <w:tcBorders>
              <w:right w:val="single" w:sz="8" w:color="auto"/>
            </w:tcBorders>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$160,713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7,755,782</w:t>
            </w: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82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$(111,962)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$(111,249)</w:t>
            </w:r>
          </w:p>
        </w:tc>
      </w:tr>
      <w:tr>
        <w:trPr>
          <w:trHeight w:val="184"/>
        </w:trPr>
        <w:tc>
          <w:tcPr>
            <w:tcW w:w="2160" w:type="dxa"/>
            <w:vAlign w:val="bottom"/>
          </w:tcPr>
          <w:p>
            <w:pPr>
              <w:ind w:left="20"/>
              <w:spacing w:after="0"/>
              <w:rPr>
                <w:sz w:val="20"/>
                <w:szCs w:val="20"/>
                <w:color w:val="auto"/>
              </w:rPr>
            </w:pPr>
            <w:r>
              <w:rPr>
                <w:rFonts w:ascii="Arial" w:cs="Arial" w:eastAsia="Arial" w:hAnsi="Arial"/>
                <w:sz w:val="14"/>
                <w:szCs w:val="14"/>
                <w:color w:val="auto"/>
              </w:rPr>
              <w:t>Conversion of convertible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4"/>
                <w:szCs w:val="14"/>
                <w:color w:val="auto"/>
              </w:rPr>
              <w:t>preferred stock in connection with</w:t>
            </w:r>
          </w:p>
        </w:tc>
        <w:tc>
          <w:tcPr>
            <w:tcW w:w="660" w:type="dxa"/>
            <w:vAlign w:val="bottom"/>
          </w:tcPr>
          <w:p>
            <w:pPr>
              <w:jc w:val="right"/>
              <w:spacing w:after="0"/>
              <w:rPr>
                <w:sz w:val="20"/>
                <w:szCs w:val="20"/>
                <w:color w:val="auto"/>
              </w:rPr>
            </w:pPr>
            <w:r>
              <w:rPr>
                <w:rFonts w:ascii="Arial" w:cs="Arial" w:eastAsia="Arial" w:hAnsi="Arial"/>
                <w:sz w:val="14"/>
                <w:szCs w:val="14"/>
                <w:color w:val="auto"/>
                <w:w w:val="92"/>
              </w:rPr>
              <w:t>(27,758,94</w:t>
            </w:r>
          </w:p>
        </w:tc>
        <w:tc>
          <w:tcPr>
            <w:tcW w:w="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the initial public offering</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(160,713)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27,351,633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407,308</w:t>
            </w:r>
          </w:p>
        </w:tc>
        <w:tc>
          <w:tcPr>
            <w:tcW w:w="4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160,713</w:t>
            </w:r>
          </w:p>
        </w:tc>
        <w:tc>
          <w:tcPr>
            <w:tcW w:w="60" w:type="dxa"/>
            <w:vAlign w:val="bottom"/>
          </w:tcPr>
          <w:p>
            <w:pPr>
              <w:spacing w:after="0"/>
              <w:rPr>
                <w:sz w:val="16"/>
                <w:szCs w:val="16"/>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160,713</w:t>
            </w:r>
          </w:p>
        </w:tc>
      </w:tr>
      <w:tr>
        <w:trPr>
          <w:trHeight w:val="38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Exercise of common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78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910,015</w:t>
            </w:r>
          </w:p>
        </w:tc>
        <w:tc>
          <w:tcPr>
            <w:tcW w:w="40" w:type="dxa"/>
            <w:vAlign w:val="bottom"/>
            <w:shd w:val="clear" w:color="auto" w:fill="CFF0FC"/>
          </w:tcPr>
          <w:p>
            <w:pPr>
              <w:spacing w:after="0"/>
              <w:rPr>
                <w:sz w:val="24"/>
                <w:szCs w:val="24"/>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39,744</w:t>
            </w: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1,787</w:t>
            </w:r>
          </w:p>
        </w:tc>
        <w:tc>
          <w:tcPr>
            <w:tcW w:w="60" w:type="dxa"/>
            <w:vAlign w:val="bottom"/>
            <w:shd w:val="clear" w:color="auto" w:fill="CFF0FC"/>
          </w:tcPr>
          <w:p>
            <w:pPr>
              <w:spacing w:after="0"/>
              <w:rPr>
                <w:sz w:val="24"/>
                <w:szCs w:val="24"/>
                <w:color w:val="auto"/>
              </w:rPr>
            </w:pPr>
          </w:p>
        </w:tc>
        <w:tc>
          <w:tcPr>
            <w:tcW w:w="1060" w:type="dxa"/>
            <w:vAlign w:val="bottom"/>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1,787</w:t>
            </w:r>
          </w:p>
        </w:tc>
      </w:tr>
      <w:tr>
        <w:trPr>
          <w:trHeight w:val="184"/>
        </w:trPr>
        <w:tc>
          <w:tcPr>
            <w:tcW w:w="2160" w:type="dxa"/>
            <w:vAlign w:val="bottom"/>
          </w:tcPr>
          <w:p>
            <w:pPr>
              <w:ind w:left="20"/>
              <w:spacing w:after="0"/>
              <w:rPr>
                <w:sz w:val="20"/>
                <w:szCs w:val="20"/>
                <w:color w:val="auto"/>
              </w:rPr>
            </w:pPr>
            <w:r>
              <w:rPr>
                <w:rFonts w:ascii="Arial" w:cs="Arial" w:eastAsia="Arial" w:hAnsi="Arial"/>
                <w:sz w:val="14"/>
                <w:szCs w:val="14"/>
                <w:color w:val="auto"/>
              </w:rPr>
              <w:t>Conversion of common stock in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4"/>
                <w:szCs w:val="14"/>
                <w:color w:val="auto"/>
              </w:rPr>
              <w:t>connection with the initial public</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(8,665,797</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2,268,84</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offering</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6,396,951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in</w:t>
            </w: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connection with the initial public</w:t>
            </w: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net of underwriters'</w:t>
            </w: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9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7,906,250</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60" w:type="dxa"/>
            <w:vAlign w:val="bottom"/>
            <w:shd w:val="clear" w:color="auto" w:fill="CFF0FC"/>
          </w:tcPr>
          <w:p>
            <w:pPr>
              <w:spacing w:after="0"/>
              <w:rPr>
                <w:sz w:val="16"/>
                <w:szCs w:val="16"/>
                <w:color w:val="auto"/>
              </w:rPr>
            </w:pPr>
          </w:p>
        </w:tc>
        <w:tc>
          <w:tcPr>
            <w:tcW w:w="1060" w:type="dxa"/>
            <w:vAlign w:val="bottom"/>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325,263</w:t>
            </w:r>
          </w:p>
        </w:tc>
      </w:tr>
      <w:tr>
        <w:trPr>
          <w:trHeight w:val="372"/>
        </w:trPr>
        <w:tc>
          <w:tcPr>
            <w:tcW w:w="2160" w:type="dxa"/>
            <w:vAlign w:val="bottom"/>
          </w:tcPr>
          <w:p>
            <w:pPr>
              <w:ind w:left="20"/>
              <w:spacing w:after="0"/>
              <w:rPr>
                <w:sz w:val="20"/>
                <w:szCs w:val="20"/>
                <w:color w:val="auto"/>
              </w:rPr>
            </w:pPr>
            <w:r>
              <w:rPr>
                <w:rFonts w:ascii="Arial" w:cs="Arial" w:eastAsia="Arial" w:hAnsi="Arial"/>
                <w:sz w:val="14"/>
                <w:szCs w:val="14"/>
                <w:color w:val="auto"/>
              </w:rPr>
              <w:t>Donated common stock</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20,133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1,157</w:t>
            </w:r>
          </w:p>
        </w:tc>
        <w:tc>
          <w:tcPr>
            <w:tcW w:w="60" w:type="dxa"/>
            <w:vAlign w:val="bottom"/>
          </w:tcPr>
          <w:p>
            <w:pPr>
              <w:spacing w:after="0"/>
              <w:rPr>
                <w:sz w:val="24"/>
                <w:szCs w:val="24"/>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1,157</w:t>
            </w:r>
          </w:p>
        </w:tc>
      </w:tr>
      <w:tr>
        <w:trPr>
          <w:trHeight w:val="38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Costs of initial public offering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78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82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(3,995)</w:t>
            </w:r>
          </w:p>
        </w:tc>
        <w:tc>
          <w:tcPr>
            <w:tcW w:w="60" w:type="dxa"/>
            <w:vAlign w:val="bottom"/>
            <w:shd w:val="clear" w:color="auto" w:fill="CFF0FC"/>
          </w:tcPr>
          <w:p>
            <w:pPr>
              <w:spacing w:after="0"/>
              <w:rPr>
                <w:sz w:val="24"/>
                <w:szCs w:val="24"/>
                <w:color w:val="auto"/>
              </w:rPr>
            </w:pPr>
          </w:p>
        </w:tc>
        <w:tc>
          <w:tcPr>
            <w:tcW w:w="1060" w:type="dxa"/>
            <w:vAlign w:val="bottom"/>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(3,995)</w:t>
            </w:r>
          </w:p>
        </w:tc>
      </w:tr>
      <w:tr>
        <w:trPr>
          <w:trHeight w:val="372"/>
        </w:trPr>
        <w:tc>
          <w:tcPr>
            <w:tcW w:w="216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4,747</w:t>
            </w:r>
          </w:p>
        </w:tc>
        <w:tc>
          <w:tcPr>
            <w:tcW w:w="60" w:type="dxa"/>
            <w:vAlign w:val="bottom"/>
          </w:tcPr>
          <w:p>
            <w:pPr>
              <w:spacing w:after="0"/>
              <w:rPr>
                <w:sz w:val="24"/>
                <w:szCs w:val="24"/>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4,747</w:t>
            </w:r>
          </w:p>
        </w:tc>
      </w:tr>
      <w:tr>
        <w:trPr>
          <w:trHeight w:val="208"/>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372"/>
        </w:trPr>
        <w:tc>
          <w:tcPr>
            <w:tcW w:w="216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w:t>
            </w:r>
          </w:p>
        </w:tc>
      </w:tr>
      <w:tr>
        <w:trPr>
          <w:trHeight w:val="370"/>
        </w:trPr>
        <w:tc>
          <w:tcPr>
            <w:tcW w:w="2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FF0FC"/>
            </w:tcBorders>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(37,476)</w:t>
            </w:r>
          </w:p>
        </w:tc>
        <w:tc>
          <w:tcPr>
            <w:tcW w:w="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(37,476)</w:t>
            </w:r>
          </w:p>
        </w:tc>
      </w:tr>
      <w:tr>
        <w:trPr>
          <w:trHeight w:val="196"/>
        </w:trPr>
        <w:tc>
          <w:tcPr>
            <w:tcW w:w="21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(37,500)</w:t>
            </w:r>
          </w:p>
        </w:tc>
      </w:tr>
      <w:tr>
        <w:trPr>
          <w:trHeight w:val="177"/>
        </w:trPr>
        <w:tc>
          <w:tcPr>
            <w:tcW w:w="2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2,676,15</w:t>
            </w: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3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September 30, 2021</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center"/>
              <w:ind w:left="28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0"/>
                <w:szCs w:val="20"/>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41,714,711</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FF0FC"/>
          </w:tcPr>
          <w:p>
            <w:pPr>
              <w:spacing w:after="0"/>
              <w:rPr>
                <w:sz w:val="20"/>
                <w:szCs w:val="20"/>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$490,175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$(149,438)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$340,923</w:t>
            </w:r>
          </w:p>
        </w:tc>
      </w:tr>
      <w:tr>
        <w:trPr>
          <w:trHeight w:val="367"/>
        </w:trPr>
        <w:tc>
          <w:tcPr>
            <w:tcW w:w="21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25,483,18</w:t>
            </w:r>
          </w:p>
        </w:tc>
        <w:tc>
          <w:tcPr>
            <w:tcW w:w="60" w:type="dxa"/>
            <w:vAlign w:val="bottom"/>
            <w:tcBorders>
              <w:top w:val="single" w:sz="8" w:color="CFF0FC"/>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$121,156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7,289,571</w:t>
            </w:r>
          </w:p>
        </w:tc>
        <w:tc>
          <w:tcPr>
            <w:tcW w:w="40" w:type="dxa"/>
            <w:vAlign w:val="bottom"/>
          </w:tcPr>
          <w:p>
            <w:pPr>
              <w:spacing w:after="0"/>
              <w:rPr>
                <w:sz w:val="16"/>
                <w:szCs w:val="16"/>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$4,512</w:t>
            </w:r>
          </w:p>
        </w:tc>
        <w:tc>
          <w:tcPr>
            <w:tcW w:w="60" w:type="dxa"/>
            <w:vAlign w:val="bottom"/>
          </w:tcPr>
          <w:p>
            <w:pPr>
              <w:spacing w:after="0"/>
              <w:rPr>
                <w:sz w:val="16"/>
                <w:szCs w:val="16"/>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$(77,609)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$(73,097)</w:t>
            </w:r>
          </w:p>
        </w:tc>
      </w:tr>
      <w:tr>
        <w:trPr>
          <w:trHeight w:val="190"/>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convertible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(2,246,886</w:t>
            </w:r>
          </w:p>
        </w:tc>
        <w:tc>
          <w:tcPr>
            <w:tcW w:w="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19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preferred stock</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(12,852)</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82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(5,429)</w:t>
            </w:r>
          </w:p>
        </w:tc>
        <w:tc>
          <w:tcPr>
            <w:tcW w:w="60" w:type="dxa"/>
            <w:vAlign w:val="bottom"/>
            <w:shd w:val="clear" w:color="auto" w:fill="CFF0FC"/>
          </w:tcPr>
          <w:p>
            <w:pPr>
              <w:spacing w:after="0"/>
              <w:rPr>
                <w:sz w:val="16"/>
                <w:szCs w:val="16"/>
                <w:color w:val="auto"/>
              </w:rPr>
            </w:pPr>
          </w:p>
        </w:tc>
        <w:tc>
          <w:tcPr>
            <w:tcW w:w="1060" w:type="dxa"/>
            <w:vAlign w:val="bottom"/>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(8,801)</w:t>
            </w:r>
          </w:p>
        </w:tc>
      </w:tr>
      <w:tr>
        <w:trPr>
          <w:trHeight w:val="184"/>
        </w:trPr>
        <w:tc>
          <w:tcPr>
            <w:tcW w:w="2160" w:type="dxa"/>
            <w:vAlign w:val="bottom"/>
          </w:tcPr>
          <w:p>
            <w:pPr>
              <w:ind w:left="20"/>
              <w:spacing w:after="0"/>
              <w:rPr>
                <w:sz w:val="20"/>
                <w:szCs w:val="20"/>
                <w:color w:val="auto"/>
              </w:rPr>
            </w:pPr>
            <w:r>
              <w:rPr>
                <w:rFonts w:ascii="Arial" w:cs="Arial" w:eastAsia="Arial" w:hAnsi="Arial"/>
                <w:sz w:val="14"/>
                <w:szCs w:val="14"/>
                <w:color w:val="auto"/>
              </w:rPr>
              <w:t>Issuance of convertible preferred</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stock</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4,522,645</w:t>
            </w:r>
          </w:p>
        </w:tc>
        <w:tc>
          <w:tcPr>
            <w:tcW w:w="8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52,409</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84"/>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Exercise of common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78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276,759</w:t>
            </w:r>
          </w:p>
        </w:tc>
        <w:tc>
          <w:tcPr>
            <w:tcW w:w="40" w:type="dxa"/>
            <w:vAlign w:val="bottom"/>
            <w:shd w:val="clear" w:color="auto" w:fill="CFF0FC"/>
          </w:tcPr>
          <w:p>
            <w:pPr>
              <w:spacing w:after="0"/>
              <w:rPr>
                <w:sz w:val="24"/>
                <w:szCs w:val="24"/>
                <w:color w:val="auto"/>
              </w:rPr>
            </w:pPr>
          </w:p>
        </w:tc>
        <w:tc>
          <w:tcPr>
            <w:tcW w:w="58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82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4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60" w:type="dxa"/>
            <w:vAlign w:val="bottom"/>
            <w:shd w:val="clear" w:color="auto" w:fill="CFF0FC"/>
          </w:tcPr>
          <w:p>
            <w:pPr>
              <w:spacing w:after="0"/>
              <w:rPr>
                <w:sz w:val="24"/>
                <w:szCs w:val="24"/>
                <w:color w:val="auto"/>
              </w:rPr>
            </w:pPr>
          </w:p>
        </w:tc>
        <w:tc>
          <w:tcPr>
            <w:tcW w:w="1060" w:type="dxa"/>
            <w:vAlign w:val="bottom"/>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w:t>
            </w:r>
          </w:p>
        </w:tc>
      </w:tr>
      <w:tr>
        <w:trPr>
          <w:trHeight w:val="372"/>
        </w:trPr>
        <w:tc>
          <w:tcPr>
            <w:tcW w:w="216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679</w:t>
            </w:r>
          </w:p>
        </w:tc>
        <w:tc>
          <w:tcPr>
            <w:tcW w:w="60" w:type="dxa"/>
            <w:vAlign w:val="bottom"/>
          </w:tcPr>
          <w:p>
            <w:pPr>
              <w:spacing w:after="0"/>
              <w:rPr>
                <w:sz w:val="24"/>
                <w:szCs w:val="24"/>
                <w:color w:val="auto"/>
              </w:rPr>
            </w:pPr>
          </w:p>
        </w:tc>
        <w:tc>
          <w:tcPr>
            <w:tcW w:w="1060" w:type="dxa"/>
            <w:vAlign w:val="bottom"/>
          </w:tcPr>
          <w:p>
            <w:pPr>
              <w:jc w:val="center"/>
              <w:ind w:left="77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679</w:t>
            </w:r>
          </w:p>
        </w:tc>
      </w:tr>
      <w:tr>
        <w:trPr>
          <w:trHeight w:val="208"/>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372"/>
        </w:trPr>
        <w:tc>
          <w:tcPr>
            <w:tcW w:w="216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8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80" w:type="dxa"/>
            <w:vAlign w:val="bottom"/>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(92)</w:t>
            </w:r>
          </w:p>
        </w:tc>
      </w:tr>
      <w:tr>
        <w:trPr>
          <w:trHeight w:val="371"/>
        </w:trPr>
        <w:tc>
          <w:tcPr>
            <w:tcW w:w="2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center"/>
              <w:ind w:left="288"/>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FF0FC"/>
            </w:tcBorders>
            <w:shd w:val="clear" w:color="auto" w:fill="CFF0FC"/>
          </w:tcPr>
          <w:p>
            <w:pPr>
              <w:jc w:val="center"/>
              <w:ind w:left="208"/>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center"/>
              <w:ind w:left="129"/>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center"/>
              <w:ind w:left="770"/>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(20,909)</w:t>
            </w:r>
          </w:p>
        </w:tc>
        <w:tc>
          <w:tcPr>
            <w:tcW w:w="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(20,909)</w:t>
            </w:r>
          </w:p>
        </w:tc>
      </w:tr>
      <w:tr>
        <w:trPr>
          <w:trHeight w:val="196"/>
        </w:trPr>
        <w:tc>
          <w:tcPr>
            <w:tcW w:w="21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(21,001)</w:t>
            </w:r>
          </w:p>
        </w:tc>
      </w:tr>
      <w:tr>
        <w:trPr>
          <w:trHeight w:val="177"/>
        </w:trPr>
        <w:tc>
          <w:tcPr>
            <w:tcW w:w="2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27,758,94</w:t>
            </w:r>
          </w:p>
        </w:tc>
        <w:tc>
          <w:tcPr>
            <w:tcW w:w="60" w:type="dxa"/>
            <w:vAlign w:val="bottom"/>
            <w:shd w:val="clear" w:color="auto" w:fill="CFF0FC"/>
          </w:tcPr>
          <w:p>
            <w:pPr>
              <w:spacing w:after="0"/>
              <w:rPr>
                <w:sz w:val="15"/>
                <w:szCs w:val="15"/>
                <w:color w:val="auto"/>
              </w:rPr>
            </w:pPr>
          </w:p>
        </w:tc>
        <w:tc>
          <w:tcPr>
            <w:tcW w:w="78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r>
      <w:tr>
        <w:trPr>
          <w:trHeight w:val="234"/>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September 30, 2020</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right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color w:val="auto"/>
              </w:rPr>
              <w:t>$160,713</w:t>
            </w: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7,566,330</w:t>
            </w:r>
          </w:p>
        </w:tc>
        <w:tc>
          <w:tcPr>
            <w:tcW w:w="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center"/>
              <w:ind w:left="20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center"/>
              <w:ind w:left="12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$(101,890)</w:t>
            </w:r>
          </w:p>
        </w:tc>
        <w:tc>
          <w:tcPr>
            <w:tcW w:w="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-2365375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-2348230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-2755265</wp:posOffset>
            </wp:positionV>
            <wp:extent cx="64135"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42862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-2365375</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-2348230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-2365375</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-2348230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-2365375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-2348230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-2365375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-2348230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-2365375</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-2348230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-2365375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-2348230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-2365375</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-2348230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-2365375</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-2348230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-2365375</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-2348230</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-24765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-7620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-414655</wp:posOffset>
            </wp:positionV>
            <wp:extent cx="64135" cy="427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4279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34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-24765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September 30, 2021 and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1700" w:type="dxa"/>
            <w:vAlign w:val="bottom"/>
          </w:tcPr>
          <w:p>
            <w:pPr>
              <w:spacing w:after="0"/>
              <w:rPr>
                <w:sz w:val="24"/>
                <w:szCs w:val="24"/>
                <w:color w:val="auto"/>
              </w:rPr>
            </w:pPr>
          </w:p>
        </w:tc>
        <w:tc>
          <w:tcPr>
            <w:tcW w:w="17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Convertible Preferred Stock</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700" w:type="dxa"/>
            <w:vAlign w:val="bottom"/>
            <w:gridSpan w:val="3"/>
            <w:vMerge w:val="restart"/>
          </w:tcPr>
          <w:p>
            <w:pPr>
              <w:jc w:val="center"/>
              <w:ind w:right="9"/>
              <w:spacing w:after="0"/>
              <w:rPr>
                <w:sz w:val="20"/>
                <w:szCs w:val="20"/>
                <w:color w:val="auto"/>
              </w:rPr>
            </w:pPr>
            <w:r>
              <w:rPr>
                <w:rFonts w:ascii="Arial" w:cs="Arial" w:eastAsia="Arial" w:hAnsi="Arial"/>
                <w:sz w:val="13"/>
                <w:szCs w:val="13"/>
                <w:b w:val="1"/>
                <w:bCs w:val="1"/>
                <w:color w:val="auto"/>
                <w:w w:val="85"/>
              </w:rPr>
              <w:t>Seed-1, Seed-2, Series A-1,</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Series A-2, Series B, Series C,</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ind w:right="11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Comprehensiv</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Accumulate</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Series D, Series E</w:t>
            </w:r>
          </w:p>
        </w:tc>
        <w:tc>
          <w:tcPr>
            <w:tcW w:w="60" w:type="dxa"/>
            <w:vAlign w:val="bottom"/>
          </w:tcPr>
          <w:p>
            <w:pPr>
              <w:spacing w:after="0"/>
              <w:rPr>
                <w:sz w:val="15"/>
                <w:szCs w:val="15"/>
                <w:color w:val="auto"/>
              </w:rPr>
            </w:pPr>
          </w:p>
        </w:tc>
        <w:tc>
          <w:tcPr>
            <w:tcW w:w="1540" w:type="dxa"/>
            <w:vAlign w:val="bottom"/>
            <w:gridSpan w:val="3"/>
          </w:tcPr>
          <w:p>
            <w:pPr>
              <w:ind w:left="36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w w:val="86"/>
              </w:rPr>
              <w:t>Class A - Common Stock</w:t>
            </w:r>
          </w:p>
        </w:tc>
        <w:tc>
          <w:tcPr>
            <w:tcW w:w="4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w w:val="86"/>
              </w:rPr>
              <w:t>Class B - Common Stock</w:t>
            </w:r>
          </w:p>
        </w:tc>
        <w:tc>
          <w:tcPr>
            <w:tcW w:w="40" w:type="dxa"/>
            <w:vAlign w:val="bottom"/>
          </w:tcPr>
          <w:p>
            <w:pPr>
              <w:spacing w:after="0"/>
              <w:rPr>
                <w:sz w:val="15"/>
                <w:szCs w:val="15"/>
                <w:color w:val="auto"/>
              </w:rPr>
            </w:pPr>
          </w:p>
        </w:tc>
        <w:tc>
          <w:tcPr>
            <w:tcW w:w="920" w:type="dxa"/>
            <w:vAlign w:val="bottom"/>
          </w:tcPr>
          <w:p>
            <w:pPr>
              <w:jc w:val="right"/>
              <w:ind w:right="19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e</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d</w:t>
            </w: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378"/>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June 30, 2021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27,758,941</w:t>
            </w:r>
          </w:p>
        </w:tc>
        <w:tc>
          <w:tcPr>
            <w:tcW w:w="820" w:type="dxa"/>
            <w:vAlign w:val="bottom"/>
            <w:tcBorders>
              <w:right w:val="single" w:sz="8" w:color="auto"/>
            </w:tcBorders>
            <w:gridSpan w:val="2"/>
            <w:shd w:val="clear" w:color="auto" w:fill="CFF0FC"/>
          </w:tcPr>
          <w:p>
            <w:pPr>
              <w:jc w:val="right"/>
              <w:ind w:right="9"/>
              <w:spacing w:after="0"/>
              <w:rPr>
                <w:sz w:val="20"/>
                <w:szCs w:val="20"/>
                <w:color w:val="auto"/>
              </w:rPr>
            </w:pPr>
            <w:r>
              <w:rPr>
                <w:rFonts w:ascii="Arial" w:cs="Arial" w:eastAsia="Arial" w:hAnsi="Arial"/>
                <w:sz w:val="14"/>
                <w:szCs w:val="14"/>
                <w:color w:val="auto"/>
              </w:rPr>
              <w:t>$160,713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8,665,797</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w w:val="91"/>
              </w:rPr>
              <w:t>$—</w:t>
            </w:r>
          </w:p>
        </w:tc>
        <w:tc>
          <w:tcPr>
            <w:tcW w:w="6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$4,315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$(134,727)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$(130,185)</w:t>
            </w: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rPr>
              <w:t>Conversion of convertible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preferred stock in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4"/>
                <w:szCs w:val="14"/>
                <w:color w:val="auto"/>
              </w:rPr>
              <w:t>connection with the initial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880" w:type="dxa"/>
            <w:vAlign w:val="bottom"/>
          </w:tcPr>
          <w:p>
            <w:pPr>
              <w:jc w:val="right"/>
              <w:spacing w:after="0"/>
              <w:rPr>
                <w:sz w:val="20"/>
                <w:szCs w:val="20"/>
                <w:color w:val="auto"/>
              </w:rPr>
            </w:pPr>
            <w:r>
              <w:rPr>
                <w:rFonts w:ascii="Arial" w:cs="Arial" w:eastAsia="Arial" w:hAnsi="Arial"/>
                <w:sz w:val="14"/>
                <w:szCs w:val="14"/>
                <w:color w:val="auto"/>
              </w:rPr>
              <w:t>(27,758,941)</w:t>
            </w:r>
          </w:p>
        </w:tc>
        <w:tc>
          <w:tcPr>
            <w:tcW w:w="82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(160,713)</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27,351,633</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407,308</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160,713</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190"/>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common stock</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39,744</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rPr>
              <w:t>Conversion of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stock in connection with</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4"/>
                <w:szCs w:val="14"/>
                <w:color w:val="auto"/>
              </w:rPr>
              <w:t>the initial public offering</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(8,665,797)</w:t>
            </w:r>
          </w:p>
        </w:tc>
        <w:tc>
          <w:tcPr>
            <w:tcW w:w="60" w:type="dxa"/>
            <w:vAlign w:val="bottom"/>
          </w:tcPr>
          <w:p>
            <w:pPr>
              <w:spacing w:after="0"/>
              <w:rPr>
                <w:sz w:val="16"/>
                <w:szCs w:val="16"/>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6,396,951</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2,268,846</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 the</w:t>
            </w: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initial public offering, net</w:t>
            </w: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underwriters' discount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7,906,250</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0" w:type="dxa"/>
            <w:vAlign w:val="bottom"/>
          </w:tcPr>
          <w:p>
            <w:pPr>
              <w:spacing w:after="0"/>
              <w:rPr>
                <w:sz w:val="1"/>
                <w:szCs w:val="1"/>
                <w:color w:val="auto"/>
              </w:rPr>
            </w:pPr>
          </w:p>
        </w:tc>
      </w:tr>
      <w:tr>
        <w:trPr>
          <w:trHeight w:val="372"/>
        </w:trPr>
        <w:tc>
          <w:tcPr>
            <w:tcW w:w="1700" w:type="dxa"/>
            <w:vAlign w:val="bottom"/>
          </w:tcPr>
          <w:p>
            <w:pPr>
              <w:ind w:left="20"/>
              <w:spacing w:after="0"/>
              <w:rPr>
                <w:sz w:val="20"/>
                <w:szCs w:val="20"/>
                <w:color w:val="auto"/>
              </w:rPr>
            </w:pPr>
            <w:r>
              <w:rPr>
                <w:rFonts w:ascii="Arial" w:cs="Arial" w:eastAsia="Arial" w:hAnsi="Arial"/>
                <w:sz w:val="14"/>
                <w:szCs w:val="14"/>
                <w:color w:val="auto"/>
              </w:rPr>
              <w:t>Donated common stock</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20,133</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1,157</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90"/>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Costs of initial public</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(3,995)</w:t>
            </w: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372"/>
        </w:trPr>
        <w:tc>
          <w:tcPr>
            <w:tcW w:w="1700" w:type="dxa"/>
            <w:vAlign w:val="bottom"/>
          </w:tcPr>
          <w:p>
            <w:pPr>
              <w:ind w:left="20"/>
              <w:spacing w:after="0"/>
              <w:rPr>
                <w:sz w:val="20"/>
                <w:szCs w:val="20"/>
                <w:color w:val="auto"/>
              </w:rPr>
            </w:pPr>
            <w:r>
              <w:rPr>
                <w:rFonts w:ascii="Arial" w:cs="Arial" w:eastAsia="Arial" w:hAnsi="Arial"/>
                <w:sz w:val="14"/>
                <w:szCs w:val="14"/>
                <w:color w:val="auto"/>
                <w:w w:val="98"/>
              </w:rPr>
              <w:t>Stock based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2,266</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08"/>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70"/>
        </w:trPr>
        <w:tc>
          <w:tcPr>
            <w:tcW w:w="1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(14,711)</w:t>
            </w:r>
          </w:p>
        </w:tc>
        <w:tc>
          <w:tcPr>
            <w:tcW w:w="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(14,711)</w:t>
            </w: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(14,752)</w:t>
            </w:r>
          </w:p>
        </w:tc>
        <w:tc>
          <w:tcPr>
            <w:tcW w:w="0" w:type="dxa"/>
            <w:vAlign w:val="bottom"/>
          </w:tcPr>
          <w:p>
            <w:pPr>
              <w:spacing w:after="0"/>
              <w:rPr>
                <w:sz w:val="1"/>
                <w:szCs w:val="1"/>
                <w:color w:val="auto"/>
              </w:rPr>
            </w:pPr>
          </w:p>
        </w:tc>
      </w:tr>
      <w:tr>
        <w:trPr>
          <w:trHeight w:val="218"/>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September 30,</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740" w:type="dxa"/>
            <w:vAlign w:val="bottom"/>
            <w:tcBorders>
              <w:right w:val="single" w:sz="8" w:color="CFF0FC"/>
            </w:tcBorders>
            <w:vMerge w:val="restart"/>
            <w:shd w:val="clear" w:color="auto" w:fill="CFF0FC"/>
          </w:tcPr>
          <w:p>
            <w:pPr>
              <w:jc w:val="center"/>
              <w:ind w:left="28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88"/>
              <w:spacing w:after="0"/>
              <w:rPr>
                <w:sz w:val="20"/>
                <w:szCs w:val="20"/>
                <w:color w:val="auto"/>
              </w:rPr>
            </w:pPr>
            <w:r>
              <w:rPr>
                <w:rFonts w:ascii="Arial" w:cs="Arial" w:eastAsia="Arial" w:hAnsi="Arial"/>
                <w:sz w:val="14"/>
                <w:szCs w:val="14"/>
                <w:color w:val="auto"/>
                <w:w w:val="91"/>
              </w:rPr>
              <w:t>$—</w:t>
            </w:r>
          </w:p>
        </w:tc>
        <w:tc>
          <w:tcPr>
            <w:tcW w:w="6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41,714,711</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2,676,154</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$490,175</w:t>
            </w:r>
          </w:p>
        </w:tc>
        <w:tc>
          <w:tcPr>
            <w:tcW w:w="60" w:type="dxa"/>
            <w:vAlign w:val="bottom"/>
            <w:vMerge w:val="restart"/>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6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$(149,438)</w:t>
            </w:r>
          </w:p>
        </w:tc>
        <w:tc>
          <w:tcPr>
            <w:tcW w:w="6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$340,923</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CFF0FC"/>
            </w:tcBorders>
            <w:shd w:val="clear" w:color="auto" w:fill="CFF0FC"/>
          </w:tcPr>
          <w:p>
            <w:pPr>
              <w:ind w:left="20"/>
              <w:spacing w:after="0" w:line="154" w:lineRule="exact"/>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right w:val="single" w:sz="8" w:color="CFF0FC"/>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CFF0FC"/>
            </w:tcBorders>
            <w:vMerge w:val="continue"/>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8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55"/>
        </w:trPr>
        <w:tc>
          <w:tcPr>
            <w:tcW w:w="17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880" w:type="dxa"/>
            <w:vAlign w:val="bottom"/>
          </w:tcPr>
          <w:p>
            <w:pPr>
              <w:jc w:val="right"/>
              <w:spacing w:after="0"/>
              <w:rPr>
                <w:sz w:val="20"/>
                <w:szCs w:val="20"/>
                <w:color w:val="auto"/>
              </w:rPr>
            </w:pPr>
            <w:r>
              <w:rPr>
                <w:rFonts w:ascii="Arial" w:cs="Arial" w:eastAsia="Arial" w:hAnsi="Arial"/>
                <w:sz w:val="14"/>
                <w:szCs w:val="14"/>
                <w:color w:val="auto"/>
              </w:rPr>
              <w:t>25,483,182</w:t>
            </w:r>
          </w:p>
        </w:tc>
        <w:tc>
          <w:tcPr>
            <w:tcW w:w="82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$121,156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7,491,198</w:t>
            </w:r>
          </w:p>
        </w:tc>
        <w:tc>
          <w:tcPr>
            <w:tcW w:w="60" w:type="dxa"/>
            <w:vAlign w:val="bottom"/>
          </w:tcPr>
          <w:p>
            <w:pPr>
              <w:spacing w:after="0"/>
              <w:rPr>
                <w:sz w:val="24"/>
                <w:szCs w:val="24"/>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w w:val="91"/>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$5,061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$(92,335)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$(87,301)</w:t>
            </w:r>
          </w:p>
        </w:tc>
        <w:tc>
          <w:tcPr>
            <w:tcW w:w="0" w:type="dxa"/>
            <w:vAlign w:val="bottom"/>
          </w:tcPr>
          <w:p>
            <w:pPr>
              <w:spacing w:after="0"/>
              <w:rPr>
                <w:sz w:val="1"/>
                <w:szCs w:val="1"/>
                <w:color w:val="auto"/>
              </w:rPr>
            </w:pPr>
          </w:p>
        </w:tc>
      </w:tr>
      <w:tr>
        <w:trPr>
          <w:trHeight w:val="190"/>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convertible</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preferred stock</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(2,246,886)</w:t>
            </w:r>
          </w:p>
        </w:tc>
        <w:tc>
          <w:tcPr>
            <w:tcW w:w="820" w:type="dxa"/>
            <w:vAlign w:val="bottom"/>
            <w:tcBorders>
              <w:right w:val="single" w:sz="8" w:color="auto"/>
            </w:tcBorders>
            <w:gridSpan w:val="2"/>
            <w:shd w:val="clear" w:color="auto" w:fill="CFF0FC"/>
          </w:tcPr>
          <w:p>
            <w:pPr>
              <w:jc w:val="right"/>
              <w:ind w:right="9"/>
              <w:spacing w:after="0"/>
              <w:rPr>
                <w:sz w:val="20"/>
                <w:szCs w:val="20"/>
                <w:color w:val="auto"/>
              </w:rPr>
            </w:pPr>
            <w:r>
              <w:rPr>
                <w:rFonts w:ascii="Arial" w:cs="Arial" w:eastAsia="Arial" w:hAnsi="Arial"/>
                <w:sz w:val="14"/>
                <w:szCs w:val="14"/>
                <w:color w:val="auto"/>
              </w:rPr>
              <w:t>(12,852)</w:t>
            </w: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(5,429)</w:t>
            </w: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(8,801)</w:t>
            </w: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rPr>
              <w:t>Issuance of convertible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4"/>
                <w:szCs w:val="14"/>
                <w:color w:val="auto"/>
              </w:rPr>
              <w:t>preferred stock</w:t>
            </w:r>
          </w:p>
        </w:tc>
        <w:tc>
          <w:tcPr>
            <w:tcW w:w="880" w:type="dxa"/>
            <w:vAlign w:val="bottom"/>
          </w:tcPr>
          <w:p>
            <w:pPr>
              <w:jc w:val="right"/>
              <w:spacing w:after="0"/>
              <w:rPr>
                <w:sz w:val="20"/>
                <w:szCs w:val="20"/>
                <w:color w:val="auto"/>
              </w:rPr>
            </w:pPr>
            <w:r>
              <w:rPr>
                <w:rFonts w:ascii="Arial" w:cs="Arial" w:eastAsia="Arial" w:hAnsi="Arial"/>
                <w:sz w:val="14"/>
                <w:szCs w:val="14"/>
                <w:color w:val="auto"/>
              </w:rPr>
              <w:t>4,522,645</w:t>
            </w:r>
          </w:p>
        </w:tc>
        <w:tc>
          <w:tcPr>
            <w:tcW w:w="82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52,409</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common stock</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75,132</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600" w:type="dxa"/>
            <w:vAlign w:val="bottom"/>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372"/>
        </w:trPr>
        <w:tc>
          <w:tcPr>
            <w:tcW w:w="1700" w:type="dxa"/>
            <w:vAlign w:val="bottom"/>
          </w:tcPr>
          <w:p>
            <w:pPr>
              <w:ind w:left="20"/>
              <w:spacing w:after="0"/>
              <w:rPr>
                <w:sz w:val="20"/>
                <w:szCs w:val="20"/>
                <w:color w:val="auto"/>
              </w:rPr>
            </w:pPr>
            <w:r>
              <w:rPr>
                <w:rFonts w:ascii="Arial" w:cs="Arial" w:eastAsia="Arial" w:hAnsi="Arial"/>
                <w:sz w:val="14"/>
                <w:szCs w:val="14"/>
                <w:color w:val="auto"/>
                <w:w w:val="98"/>
              </w:rPr>
              <w:t>Stock based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293</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8"/>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71"/>
        </w:trPr>
        <w:tc>
          <w:tcPr>
            <w:tcW w:w="1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right w:val="single" w:sz="8" w:color="auto"/>
            </w:tcBorders>
            <w:shd w:val="clear" w:color="auto" w:fill="CFF0FC"/>
          </w:tcPr>
          <w:p>
            <w:pPr>
              <w:jc w:val="center"/>
              <w:ind w:left="289"/>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8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center"/>
              <w:ind w:left="268"/>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(6,183)</w:t>
            </w:r>
          </w:p>
        </w:tc>
        <w:tc>
          <w:tcPr>
            <w:tcW w:w="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218"/>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September 30,</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27,758,941</w:t>
            </w:r>
          </w:p>
        </w:tc>
        <w:tc>
          <w:tcPr>
            <w:tcW w:w="80" w:type="dxa"/>
            <w:vAlign w:val="bottom"/>
            <w:vMerge w:val="restart"/>
            <w:shd w:val="clear" w:color="auto" w:fill="CFF0FC"/>
          </w:tcPr>
          <w:p>
            <w:pPr>
              <w:spacing w:after="0"/>
              <w:rPr>
                <w:sz w:val="18"/>
                <w:szCs w:val="18"/>
                <w:color w:val="auto"/>
              </w:rPr>
            </w:pPr>
          </w:p>
        </w:tc>
        <w:tc>
          <w:tcPr>
            <w:tcW w:w="74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$160,713</w:t>
            </w:r>
          </w:p>
        </w:tc>
        <w:tc>
          <w:tcPr>
            <w:tcW w:w="60" w:type="dxa"/>
            <w:vAlign w:val="bottom"/>
            <w:vMerge w:val="restart"/>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7,566,330</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88"/>
              <w:spacing w:after="0"/>
              <w:rPr>
                <w:sz w:val="20"/>
                <w:szCs w:val="20"/>
                <w:color w:val="auto"/>
              </w:rPr>
            </w:pPr>
            <w:r>
              <w:rPr>
                <w:rFonts w:ascii="Arial" w:cs="Arial" w:eastAsia="Arial" w:hAnsi="Arial"/>
                <w:sz w:val="14"/>
                <w:szCs w:val="14"/>
                <w:color w:val="auto"/>
                <w:w w:val="91"/>
              </w:rPr>
              <w:t>$—</w:t>
            </w:r>
          </w:p>
        </w:tc>
        <w:tc>
          <w:tcPr>
            <w:tcW w:w="6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center"/>
              <w:ind w:left="268"/>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60" w:type="dxa"/>
            <w:vAlign w:val="bottom"/>
            <w:vMerge w:val="restart"/>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6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$(101,890)</w:t>
            </w:r>
          </w:p>
        </w:tc>
        <w:tc>
          <w:tcPr>
            <w:tcW w:w="60" w:type="dxa"/>
            <w:vAlign w:val="bottom"/>
            <w:vMerge w:val="restart"/>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$(101,815)</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CFF0FC"/>
            </w:tcBorders>
            <w:shd w:val="clear" w:color="auto" w:fill="CFF0FC"/>
          </w:tcPr>
          <w:p>
            <w:pPr>
              <w:ind w:left="20"/>
              <w:spacing w:after="0" w:line="154" w:lineRule="exact"/>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740" w:type="dxa"/>
            <w:vAlign w:val="bottom"/>
            <w:tcBorders>
              <w:bottom w:val="single" w:sz="8" w:color="auto"/>
              <w:right w:val="single" w:sz="8" w:color="CFF0FC"/>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CFF0FC"/>
            </w:tcBorders>
            <w:vMerge w:val="continue"/>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8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-6501130</wp:posOffset>
            </wp:positionV>
            <wp:extent cx="34290" cy="685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68516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-2365375</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-2348230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-2755265</wp:posOffset>
            </wp:positionV>
            <wp:extent cx="55880" cy="427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80" cy="4279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-2365375</wp:posOffset>
            </wp:positionV>
            <wp:extent cx="425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-2348230</wp:posOffset>
            </wp:positionV>
            <wp:extent cx="425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-2365375</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-2348230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-2365375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-2348230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-2365375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-2348230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-2365375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-2348230</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-2365375</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-2348230</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-2365375</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-2348230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-2365375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-2348230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-2365375</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-2348230</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-24765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-414655</wp:posOffset>
            </wp:positionV>
            <wp:extent cx="55880" cy="427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80" cy="4279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42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42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34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34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17145</wp:posOffset>
            </wp:positionV>
            <wp:extent cx="2272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(37,476 )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(20,909 )</w:t>
            </w:r>
          </w:p>
        </w:tc>
      </w:tr>
      <w:tr>
        <w:trPr>
          <w:trHeight w:val="209"/>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2,304</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2,256</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color w:val="auto"/>
              </w:rPr>
              <w:t>Stock based compensation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4,747</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679</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interest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color w:val="auto"/>
              </w:rPr>
              <w:t>Loss on debt extinguishment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Donation of common stock</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239</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(10,645 )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(4,381 )</w:t>
            </w: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(618 )</w:t>
            </w: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(4,080 )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(544 )</w:t>
            </w: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(400 )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(3,142 )</w:t>
            </w:r>
          </w:p>
        </w:tc>
      </w:tr>
      <w:tr>
        <w:trPr>
          <w:trHeight w:val="208"/>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3,931</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8,100</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7"/>
                <w:szCs w:val="17"/>
                <w:color w:val="auto"/>
              </w:rPr>
            </w:pPr>
          </w:p>
        </w:tc>
      </w:tr>
      <w:tr>
        <w:trPr>
          <w:trHeight w:val="203"/>
        </w:trPr>
        <w:tc>
          <w:tcPr>
            <w:tcW w:w="75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(917 )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(720 )</w:t>
            </w:r>
          </w:p>
        </w:tc>
      </w:tr>
      <w:tr>
        <w:trPr>
          <w:trHeight w:val="20"/>
        </w:trPr>
        <w:tc>
          <w:tcPr>
            <w:tcW w:w="75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(37,370 )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(17,145 )</w:t>
            </w: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Purchase of marketable securities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(266,978 )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short-term investments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(17,711 )</w:t>
            </w: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short-term investments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28,571</w:t>
            </w:r>
          </w:p>
        </w:tc>
        <w:tc>
          <w:tcPr>
            <w:tcW w:w="8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(4,625 )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(2,888 )</w:t>
            </w:r>
          </w:p>
        </w:tc>
      </w:tr>
      <w:tr>
        <w:trPr>
          <w:trHeight w:val="20"/>
        </w:trPr>
        <w:tc>
          <w:tcPr>
            <w:tcW w:w="75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(271,603 )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7,972</w:t>
            </w:r>
          </w:p>
        </w:tc>
        <w:tc>
          <w:tcPr>
            <w:tcW w:w="80" w:type="dxa"/>
            <w:vAlign w:val="bottom"/>
          </w:tcPr>
          <w:p>
            <w:pPr>
              <w:spacing w:after="0"/>
              <w:rPr>
                <w:sz w:val="17"/>
                <w:szCs w:val="17"/>
                <w:color w:val="auto"/>
              </w:rPr>
            </w:pPr>
          </w:p>
        </w:tc>
      </w:tr>
      <w:tr>
        <w:trPr>
          <w:trHeight w:val="202"/>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4"/>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issuance of Series A-2, Series B, Series C, Series D and Series E convertible preferred stock, net of</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8"/>
        </w:trPr>
        <w:tc>
          <w:tcPr>
            <w:tcW w:w="7580" w:type="dxa"/>
            <w:vAlign w:val="bottom"/>
          </w:tcPr>
          <w:p>
            <w:pPr>
              <w:ind w:left="200"/>
              <w:spacing w:after="0"/>
              <w:rPr>
                <w:sz w:val="20"/>
                <w:szCs w:val="20"/>
                <w:color w:val="auto"/>
              </w:rPr>
            </w:pPr>
            <w:r>
              <w:rPr>
                <w:rFonts w:ascii="Arial" w:cs="Arial" w:eastAsia="Arial" w:hAnsi="Arial"/>
                <w:sz w:val="14"/>
                <w:szCs w:val="14"/>
                <w:color w:val="auto"/>
              </w:rPr>
              <w:t>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52,409</w:t>
            </w:r>
          </w:p>
        </w:tc>
        <w:tc>
          <w:tcPr>
            <w:tcW w:w="80" w:type="dxa"/>
            <w:vAlign w:val="bottom"/>
          </w:tcPr>
          <w:p>
            <w:pPr>
              <w:spacing w:after="0"/>
              <w:rPr>
                <w:sz w:val="16"/>
                <w:szCs w:val="16"/>
                <w:color w:val="auto"/>
              </w:rPr>
            </w:pP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Series A-2, Series B, Series C and Series D convertible preferred stock</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(12,852 )</w:t>
            </w:r>
          </w:p>
        </w:tc>
      </w:tr>
      <w:tr>
        <w:trPr>
          <w:trHeight w:val="197"/>
        </w:trPr>
        <w:tc>
          <w:tcPr>
            <w:tcW w:w="7580" w:type="dxa"/>
            <w:vAlign w:val="bottom"/>
          </w:tcPr>
          <w:p>
            <w:pPr>
              <w:ind w:left="200"/>
              <w:spacing w:after="0"/>
              <w:rPr>
                <w:sz w:val="20"/>
                <w:szCs w:val="20"/>
                <w:color w:val="auto"/>
              </w:rPr>
            </w:pPr>
            <w:r>
              <w:rPr>
                <w:rFonts w:ascii="Arial" w:cs="Arial" w:eastAsia="Arial" w:hAnsi="Arial"/>
                <w:sz w:val="14"/>
                <w:szCs w:val="14"/>
                <w:color w:val="auto"/>
              </w:rPr>
              <w:t>Deemed dividend to preferred stockholders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(8,801 )</w:t>
            </w:r>
          </w:p>
        </w:tc>
      </w:tr>
      <w:tr>
        <w:trPr>
          <w:trHeight w:val="20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(3,995 )</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term loan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term loan</w:t>
            </w:r>
          </w:p>
        </w:tc>
        <w:tc>
          <w:tcPr>
            <w:tcW w:w="9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(16,136 )</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Proceeds from other borrowings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4,783</w:t>
            </w: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other borrowings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(4,783 )</w:t>
            </w: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(9 )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(9 )</w:t>
            </w:r>
          </w:p>
        </w:tc>
      </w:tr>
      <w:tr>
        <w:trPr>
          <w:trHeight w:val="196"/>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306,910</w:t>
            </w:r>
          </w:p>
        </w:tc>
        <w:tc>
          <w:tcPr>
            <w:tcW w:w="5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35,152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(33 )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(9 )</w:t>
            </w:r>
          </w:p>
        </w:tc>
      </w:tr>
      <w:tr>
        <w:trPr>
          <w:trHeight w:val="20"/>
        </w:trPr>
        <w:tc>
          <w:tcPr>
            <w:tcW w:w="7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758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9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(2,096 )</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25,970</w:t>
            </w:r>
          </w:p>
        </w:tc>
        <w:tc>
          <w:tcPr>
            <w:tcW w:w="80" w:type="dxa"/>
            <w:vAlign w:val="bottom"/>
            <w:shd w:val="clear" w:color="auto" w:fill="CFF0FC"/>
          </w:tcPr>
          <w:p>
            <w:pPr>
              <w:spacing w:after="0"/>
              <w:rPr>
                <w:sz w:val="17"/>
                <w:szCs w:val="17"/>
                <w:color w:val="auto"/>
              </w:rPr>
            </w:pPr>
          </w:p>
        </w:tc>
      </w:tr>
      <w:tr>
        <w:trPr>
          <w:trHeight w:val="197"/>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40,122</w:t>
            </w:r>
          </w:p>
        </w:tc>
        <w:tc>
          <w:tcPr>
            <w:tcW w:w="8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57,778</w:t>
            </w:r>
          </w:p>
        </w:tc>
        <w:tc>
          <w:tcPr>
            <w:tcW w:w="5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66,092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w:t>
            </w: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FF0FC"/>
          </w:tcPr>
          <w:p>
            <w:pPr>
              <w:spacing w:after="0"/>
              <w:rPr>
                <w:sz w:val="18"/>
                <w:szCs w:val="18"/>
                <w:color w:val="auto"/>
              </w:rPr>
            </w:pPr>
          </w:p>
        </w:tc>
      </w:tr>
      <w:tr>
        <w:trPr>
          <w:trHeight w:val="197"/>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activity:</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(19 )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-3802380</wp:posOffset>
            </wp:positionV>
            <wp:extent cx="3175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-3802380</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-3013710</wp:posOffset>
            </wp:positionV>
            <wp:extent cx="3175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-3013710</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-1076325</wp:posOffset>
            </wp:positionV>
            <wp:extent cx="3175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750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-1076325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-539750</wp:posOffset>
            </wp:positionV>
            <wp:extent cx="317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-522605</wp:posOffset>
            </wp:positionV>
            <wp:extent cx="317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-539750</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-522605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4040"/>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35" w:lineRule="exact"/>
        <w:rPr>
          <w:sz w:val="20"/>
          <w:szCs w:val="20"/>
          <w:color w:val="auto"/>
        </w:rPr>
      </w:pPr>
    </w:p>
    <w:p>
      <w:pPr>
        <w:ind w:right="180" w:firstLine="644"/>
        <w:spacing w:after="0" w:line="290" w:lineRule="auto"/>
        <w:rPr>
          <w:sz w:val="20"/>
          <w:szCs w:val="20"/>
          <w:color w:val="auto"/>
        </w:rPr>
      </w:pPr>
      <w:r>
        <w:rPr>
          <w:rFonts w:ascii="Arial" w:cs="Arial" w:eastAsia="Arial" w:hAnsi="Arial"/>
          <w:sz w:val="17"/>
          <w:szCs w:val="17"/>
          <w:color w:val="auto"/>
        </w:rPr>
        <w:t>Xometry Inc. (“Xometry”, the “Company”, "we", or "our")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68" w:lineRule="exact"/>
        <w:rPr>
          <w:sz w:val="20"/>
          <w:szCs w:val="20"/>
          <w:color w:val="auto"/>
        </w:rPr>
      </w:pPr>
    </w:p>
    <w:p>
      <w:pPr>
        <w:ind w:right="80" w:firstLine="644"/>
        <w:spacing w:after="0" w:line="303" w:lineRule="auto"/>
        <w:rPr>
          <w:sz w:val="20"/>
          <w:szCs w:val="20"/>
          <w:color w:val="auto"/>
        </w:rPr>
      </w:pPr>
      <w:r>
        <w:rPr>
          <w:rFonts w:ascii="Arial" w:cs="Arial" w:eastAsia="Arial" w:hAnsi="Arial"/>
          <w:sz w:val="17"/>
          <w:szCs w:val="17"/>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280" w:firstLine="644"/>
        <w:spacing w:after="0" w:line="275" w:lineRule="auto"/>
        <w:rPr>
          <w:sz w:val="20"/>
          <w:szCs w:val="20"/>
          <w:color w:val="auto"/>
        </w:rPr>
      </w:pPr>
      <w:r>
        <w:rPr>
          <w:rFonts w:ascii="Arial" w:cs="Arial" w:eastAsia="Arial" w:hAnsi="Arial"/>
          <w:sz w:val="18"/>
          <w:szCs w:val="18"/>
          <w:color w:val="auto"/>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$4.0 million of other offering costs in connection with its IPO.</w:t>
      </w:r>
    </w:p>
    <w:p>
      <w:pPr>
        <w:spacing w:after="0" w:line="77" w:lineRule="exact"/>
        <w:rPr>
          <w:sz w:val="20"/>
          <w:szCs w:val="20"/>
          <w:color w:val="auto"/>
        </w:rPr>
      </w:pPr>
    </w:p>
    <w:p>
      <w:pPr>
        <w:ind w:right="160" w:firstLine="644"/>
        <w:spacing w:after="0" w:line="329"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40" w:lineRule="exact"/>
        <w:rPr>
          <w:sz w:val="20"/>
          <w:szCs w:val="20"/>
          <w:color w:val="auto"/>
        </w:rPr>
      </w:pPr>
    </w:p>
    <w:p>
      <w:pPr>
        <w:ind w:right="80" w:firstLine="644"/>
        <w:spacing w:after="0" w:line="314" w:lineRule="auto"/>
        <w:rPr>
          <w:sz w:val="20"/>
          <w:szCs w:val="20"/>
          <w:color w:val="auto"/>
        </w:rPr>
      </w:pPr>
      <w:r>
        <w:rPr>
          <w:rFonts w:ascii="Arial" w:cs="Arial" w:eastAsia="Arial" w:hAnsi="Arial"/>
          <w:sz w:val="16"/>
          <w:szCs w:val="16"/>
          <w:color w:val="auto"/>
        </w:rPr>
        <w:t>Also on July 2, 2021, the Company reserved 402,658 shares of its Class A common stock, representing 1% of the Company's fully diluted capitalization as of the date of approval of our board of directors, for charitable contributions to non-profit organizations. These shares will be issued over the next five years, in an amount not to exceed 20% of the initial reserve amount per calendar year. During the third quarter of 2021, the Company donated 20,133 shares of Class A common stock to a donor advised fund and recognized an expense associated with the charitable contribution of approximately $1.2 million which is recorded in general and administrative expense in the Condensed Consolidated Statements of Operations and Comprehensive Loss.</w:t>
      </w:r>
    </w:p>
    <w:p>
      <w:pPr>
        <w:spacing w:after="0" w:line="48" w:lineRule="exact"/>
        <w:rPr>
          <w:sz w:val="20"/>
          <w:szCs w:val="20"/>
          <w:color w:val="auto"/>
        </w:rPr>
      </w:pPr>
    </w:p>
    <w:p>
      <w:pPr>
        <w:ind w:left="380" w:right="5500" w:hanging="372"/>
        <w:spacing w:after="0" w:line="393" w:lineRule="auto"/>
        <w:tabs>
          <w:tab w:leader="none" w:pos="3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(a)Basis of Presentation</w:t>
      </w:r>
    </w:p>
    <w:p>
      <w:pPr>
        <w:spacing w:after="0" w:line="1"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final Prospectus on Form 424(b)(4) filed with the SEC on July 1, 2021 (“Final Prospectus”).</w:t>
      </w:r>
    </w:p>
    <w:p>
      <w:pPr>
        <w:spacing w:after="0" w:line="83" w:lineRule="exact"/>
        <w:rPr>
          <w:sz w:val="20"/>
          <w:szCs w:val="20"/>
          <w:color w:val="auto"/>
        </w:rPr>
      </w:pPr>
    </w:p>
    <w:p>
      <w:pPr>
        <w:ind w:firstLine="644"/>
        <w:spacing w:after="0" w:line="272"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(deficit) and cash flows for the interim periods, but are not necessarily indicative of the results of operations to be anticipated for the full year 2021 or any future period.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two reporting segments which are referred to as: (1) the United States (“U.S.”) and (2) Europe.</w:t>
      </w:r>
    </w:p>
    <w:p>
      <w:pPr>
        <w:spacing w:after="0" w:line="1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31" w:lineRule="exact"/>
        <w:rPr>
          <w:sz w:val="20"/>
          <w:szCs w:val="20"/>
          <w:color w:val="auto"/>
        </w:rPr>
      </w:pPr>
    </w:p>
    <w:p>
      <w:pPr>
        <w:ind w:right="120" w:firstLine="644"/>
        <w:spacing w:after="0" w:line="314" w:lineRule="auto"/>
        <w:rPr>
          <w:sz w:val="20"/>
          <w:szCs w:val="20"/>
          <w:color w:val="auto"/>
        </w:rPr>
      </w:pPr>
      <w:r>
        <w:rPr>
          <w:rFonts w:ascii="Arial" w:cs="Arial" w:eastAsia="Arial" w:hAnsi="Arial"/>
          <w:sz w:val="16"/>
          <w:szCs w:val="16"/>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(loss) (“AOCI”), as a separate component of equity.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(b)Use of Estimates</w:t>
      </w:r>
    </w:p>
    <w:p>
      <w:pPr>
        <w:spacing w:after="0" w:line="131" w:lineRule="exact"/>
        <w:rPr>
          <w:sz w:val="20"/>
          <w:szCs w:val="20"/>
          <w:color w:val="auto"/>
        </w:rPr>
      </w:pPr>
    </w:p>
    <w:p>
      <w:pPr>
        <w:ind w:right="40" w:firstLine="644"/>
        <w:spacing w:after="0" w:line="279" w:lineRule="auto"/>
        <w:rPr>
          <w:sz w:val="20"/>
          <w:szCs w:val="20"/>
          <w:color w:val="auto"/>
        </w:rPr>
      </w:pPr>
      <w:r>
        <w:rPr>
          <w:rFonts w:ascii="Arial" w:cs="Arial" w:eastAsia="Arial" w:hAnsi="Arial"/>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(c)Fair Value Measurements and Financial Instruments</w:t>
      </w:r>
    </w:p>
    <w:p>
      <w:pPr>
        <w:spacing w:after="0" w:line="131" w:lineRule="exact"/>
        <w:rPr>
          <w:sz w:val="20"/>
          <w:szCs w:val="20"/>
          <w:color w:val="auto"/>
        </w:rPr>
      </w:pPr>
    </w:p>
    <w:p>
      <w:pPr>
        <w:ind w:right="220" w:firstLine="644"/>
        <w:spacing w:after="0" w:line="279"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(d)Marketable Securities</w:t>
      </w:r>
    </w:p>
    <w:p>
      <w:pPr>
        <w:spacing w:after="0" w:line="131" w:lineRule="exact"/>
        <w:rPr>
          <w:sz w:val="20"/>
          <w:szCs w:val="20"/>
          <w:color w:val="auto"/>
        </w:rPr>
      </w:pPr>
    </w:p>
    <w:p>
      <w:pPr>
        <w:ind w:right="60" w:firstLine="689"/>
        <w:spacing w:after="0" w:line="270" w:lineRule="auto"/>
        <w:rPr>
          <w:sz w:val="20"/>
          <w:szCs w:val="20"/>
          <w:color w:val="auto"/>
        </w:rPr>
      </w:pPr>
      <w:r>
        <w:rPr>
          <w:rFonts w:ascii="Arial" w:cs="Arial" w:eastAsia="Arial" w:hAnsi="Arial"/>
          <w:sz w:val="18"/>
          <w:szCs w:val="18"/>
          <w:color w:val="auto"/>
        </w:rPr>
        <w:t>The Company measures its marketable securities at fair value and recognizes any changes in fair value in net loss. In August 2021, we invested approximately $266.6 million of proceeds from our IPO in marketable securities. We consider our marketable securities as available for use in current operations, and therefore classify these securities as current assets on the Condensed Consolidated Balance Sheets. As of September 30, 2021, the Company's marketable securities of $266.7 million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third quarter of 2021, the Company recorded an unrealized loss of $0.2 million related to these securities.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(e)Accounts Receivable</w:t>
      </w:r>
    </w:p>
    <w:p>
      <w:pPr>
        <w:spacing w:after="0" w:line="131"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(f)Property and Equipment and Long-Lived Assets</w:t>
      </w:r>
    </w:p>
    <w:p>
      <w:pPr>
        <w:spacing w:after="0" w:line="131" w:lineRule="exact"/>
        <w:rPr>
          <w:sz w:val="20"/>
          <w:szCs w:val="20"/>
          <w:color w:val="auto"/>
        </w:rPr>
      </w:pPr>
    </w:p>
    <w:p>
      <w:pPr>
        <w:ind w:right="60" w:firstLine="644"/>
        <w:spacing w:after="0" w:line="279"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75" w:lineRule="exact"/>
        <w:rPr>
          <w:sz w:val="20"/>
          <w:szCs w:val="20"/>
          <w:color w:val="auto"/>
        </w:rPr>
      </w:pPr>
    </w:p>
    <w:p>
      <w:pPr>
        <w:ind w:right="40" w:firstLine="644"/>
        <w:spacing w:after="0" w:line="290" w:lineRule="auto"/>
        <w:rPr>
          <w:sz w:val="20"/>
          <w:szCs w:val="20"/>
          <w:color w:val="auto"/>
        </w:rPr>
      </w:pPr>
      <w:r>
        <w:rPr>
          <w:rFonts w:ascii="Arial" w:cs="Arial" w:eastAsia="Arial" w:hAnsi="Arial"/>
          <w:sz w:val="17"/>
          <w:szCs w:val="17"/>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68" w:lineRule="exact"/>
        <w:rPr>
          <w:sz w:val="20"/>
          <w:szCs w:val="20"/>
          <w:color w:val="auto"/>
        </w:rPr>
      </w:pPr>
    </w:p>
    <w:p>
      <w:pPr>
        <w:ind w:firstLine="644"/>
        <w:spacing w:after="0" w:line="292" w:lineRule="auto"/>
        <w:rPr>
          <w:sz w:val="20"/>
          <w:szCs w:val="20"/>
          <w:color w:val="auto"/>
        </w:rPr>
      </w:pPr>
      <w:r>
        <w:rPr>
          <w:rFonts w:ascii="Arial" w:cs="Arial" w:eastAsia="Arial" w:hAnsi="Arial"/>
          <w:sz w:val="17"/>
          <w:szCs w:val="17"/>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$3.9 million for the nine months ended September 30, 2021 and $3.6 million for the year ended December 31, 2020.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ind w:left="380"/>
        <w:spacing w:after="0"/>
        <w:rPr>
          <w:sz w:val="20"/>
          <w:szCs w:val="20"/>
          <w:color w:val="auto"/>
        </w:rPr>
      </w:pPr>
      <w:r>
        <w:rPr>
          <w:rFonts w:ascii="Arial" w:cs="Arial" w:eastAsia="Arial" w:hAnsi="Arial"/>
          <w:sz w:val="18"/>
          <w:szCs w:val="18"/>
          <w:b w:val="1"/>
          <w:bCs w:val="1"/>
          <w:i w:val="1"/>
          <w:iCs w:val="1"/>
          <w:color w:val="auto"/>
        </w:rPr>
        <w:t>(g)Revenue</w:t>
      </w:r>
    </w:p>
    <w:p>
      <w:pPr>
        <w:spacing w:after="0" w:line="131" w:lineRule="exact"/>
        <w:rPr>
          <w:sz w:val="20"/>
          <w:szCs w:val="20"/>
          <w:color w:val="auto"/>
        </w:rPr>
      </w:pPr>
    </w:p>
    <w:p>
      <w:pPr>
        <w:jc w:val="both"/>
        <w:ind w:firstLine="644"/>
        <w:spacing w:after="0" w:line="279" w:lineRule="auto"/>
        <w:rPr>
          <w:sz w:val="20"/>
          <w:szCs w:val="20"/>
          <w:color w:val="auto"/>
        </w:rPr>
      </w:pPr>
      <w:r>
        <w:rPr>
          <w:rFonts w:ascii="Arial" w:cs="Arial" w:eastAsia="Arial" w:hAnsi="Arial"/>
          <w:sz w:val="18"/>
          <w:szCs w:val="18"/>
          <w:color w:val="auto"/>
        </w:rPr>
        <w:t xml:space="preserve">The Company derives substantially all of its revenue in the U.S. and Europe from the sale of parts and assemblies fulfilled using a vast network of sellers. The Company recognizes revenue from the sales to our buyers pursuant to Financial Accounting Standard Board’s (“FASB”) Accounting Standards Codification (“ASC”) </w:t>
      </w:r>
      <w:r>
        <w:rPr>
          <w:rFonts w:ascii="Arial" w:cs="Arial" w:eastAsia="Arial" w:hAnsi="Arial"/>
          <w:sz w:val="18"/>
          <w:szCs w:val="18"/>
          <w:i w:val="1"/>
          <w:iCs w:val="1"/>
          <w:color w:val="auto"/>
        </w:rPr>
        <w:t>Topic 606, Revenue from Contracts with Customers</w:t>
      </w:r>
      <w:r>
        <w:rPr>
          <w:rFonts w:ascii="Arial" w:cs="Arial" w:eastAsia="Arial" w:hAnsi="Arial"/>
          <w:sz w:val="18"/>
          <w:szCs w:val="18"/>
          <w:color w:val="auto"/>
        </w:rPr>
        <w:t xml:space="preserve"> (“ASC 606”).</w:t>
      </w:r>
    </w:p>
    <w:p>
      <w:pPr>
        <w:spacing w:after="0" w:line="75"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 customers upon shipment, at which point control over the part(s) or assembly have transferred.</w:t>
      </w:r>
    </w:p>
    <w:p>
      <w:pPr>
        <w:spacing w:after="0" w:line="83" w:lineRule="exact"/>
        <w:rPr>
          <w:sz w:val="20"/>
          <w:szCs w:val="20"/>
          <w:color w:val="auto"/>
        </w:rPr>
      </w:pPr>
    </w:p>
    <w:p>
      <w:pPr>
        <w:ind w:right="140" w:firstLine="644"/>
        <w:spacing w:after="0" w:line="270" w:lineRule="auto"/>
        <w:rPr>
          <w:sz w:val="20"/>
          <w:szCs w:val="20"/>
          <w:color w:val="auto"/>
        </w:rPr>
      </w:pPr>
      <w:r>
        <w:rPr>
          <w:rFonts w:ascii="Arial" w:cs="Arial" w:eastAsia="Arial" w:hAnsi="Arial"/>
          <w:sz w:val="18"/>
          <w:szCs w:val="18"/>
          <w:color w:val="auto"/>
        </w:rPr>
        <w:t>We have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buyer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84" w:lineRule="exact"/>
        <w:rPr>
          <w:sz w:val="20"/>
          <w:szCs w:val="20"/>
          <w:color w:val="auto"/>
        </w:rPr>
      </w:pPr>
    </w:p>
    <w:p>
      <w:pPr>
        <w:ind w:right="120" w:firstLine="644"/>
        <w:spacing w:after="0" w:line="293" w:lineRule="auto"/>
        <w:rPr>
          <w:sz w:val="20"/>
          <w:szCs w:val="20"/>
          <w:color w:val="auto"/>
        </w:rPr>
      </w:pPr>
      <w:r>
        <w:rPr>
          <w:rFonts w:ascii="Arial" w:cs="Arial" w:eastAsia="Arial" w:hAnsi="Arial"/>
          <w:sz w:val="18"/>
          <w:szCs w:val="18"/>
          <w:color w:val="auto"/>
        </w:rPr>
        <w:t>Revenue is shown net of estimated returns, refunds, and allowances. As of September 30, 2021 and December 31, 2020, the Company has a $0.1 million provision for estimated returns, refunds or allowances.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31" w:lineRule="exact"/>
        <w:rPr>
          <w:sz w:val="20"/>
          <w:szCs w:val="20"/>
          <w:color w:val="auto"/>
        </w:rPr>
      </w:pPr>
    </w:p>
    <w:p>
      <w:pPr>
        <w:jc w:val="both"/>
        <w:ind w:right="400" w:firstLine="644"/>
        <w:spacing w:after="0" w:line="279"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contract liabilities as of December 31, 2020 and September 30, 2021 (in thousands):</w:t>
      </w: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Rollforward of contract liabilities:</w:t>
            </w:r>
          </w:p>
        </w:tc>
        <w:tc>
          <w:tcPr>
            <w:tcW w:w="7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10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r>
      <w:tr>
        <w:trPr>
          <w:trHeight w:val="26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7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(59,033 )</w:t>
            </w:r>
          </w:p>
        </w:tc>
      </w:tr>
      <w:tr>
        <w:trPr>
          <w:trHeight w:val="250"/>
        </w:trPr>
        <w:tc>
          <w:tcPr>
            <w:tcW w:w="9100" w:type="dxa"/>
            <w:vAlign w:val="bottom"/>
          </w:tcPr>
          <w:p>
            <w:pPr>
              <w:spacing w:after="0"/>
              <w:rPr>
                <w:sz w:val="20"/>
                <w:szCs w:val="20"/>
                <w:color w:val="auto"/>
              </w:rPr>
            </w:pPr>
            <w:r>
              <w:rPr>
                <w:rFonts w:ascii="Arial" w:cs="Arial" w:eastAsia="Arial" w:hAnsi="Arial"/>
                <w:sz w:val="18"/>
                <w:szCs w:val="18"/>
                <w:color w:val="auto"/>
              </w:rPr>
              <w:t>Payments received in advance</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60,057</w:t>
            </w:r>
          </w:p>
        </w:tc>
        <w:tc>
          <w:tcPr>
            <w:tcW w:w="100" w:type="dxa"/>
            <w:vAlign w:val="bottom"/>
          </w:tcPr>
          <w:p>
            <w:pPr>
              <w:spacing w:after="0"/>
              <w:rPr>
                <w:sz w:val="21"/>
                <w:szCs w:val="21"/>
                <w:color w:val="auto"/>
              </w:rPr>
            </w:pPr>
          </w:p>
        </w:tc>
      </w:tr>
      <w:tr>
        <w:trPr>
          <w:trHeight w:val="290"/>
        </w:trPr>
        <w:tc>
          <w:tcPr>
            <w:tcW w:w="9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 at September 30, 2021</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period ended September 30, 2021, the Company recognized $2.4 million of revenue related to its contract liabilities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Contract Acquisition Costs</w:t>
      </w:r>
    </w:p>
    <w:p>
      <w:pPr>
        <w:spacing w:after="0" w:line="131" w:lineRule="exact"/>
        <w:rPr>
          <w:sz w:val="20"/>
          <w:szCs w:val="20"/>
          <w:color w:val="auto"/>
        </w:rPr>
      </w:pPr>
    </w:p>
    <w:p>
      <w:pPr>
        <w:ind w:right="20" w:firstLine="644"/>
        <w:spacing w:after="0" w:line="272"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pays are included in Xometry’s sales and marketing expenses in the Condensed Consolidated Statements of Operations and Comprehensive Loss.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(h)Cost of Revenue</w:t>
      </w:r>
    </w:p>
    <w:p>
      <w:pPr>
        <w:spacing w:after="0" w:line="131" w:lineRule="exact"/>
        <w:rPr>
          <w:sz w:val="20"/>
          <w:szCs w:val="20"/>
          <w:color w:val="auto"/>
        </w:rPr>
      </w:pPr>
    </w:p>
    <w:p>
      <w:pPr>
        <w:ind w:right="60" w:firstLine="644"/>
        <w:spacing w:after="0" w:line="293"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(i)Leases</w:t>
      </w:r>
    </w:p>
    <w:p>
      <w:pPr>
        <w:spacing w:after="0" w:line="131" w:lineRule="exact"/>
        <w:rPr>
          <w:sz w:val="20"/>
          <w:szCs w:val="20"/>
          <w:color w:val="auto"/>
        </w:rPr>
      </w:pPr>
    </w:p>
    <w:p>
      <w:pPr>
        <w:ind w:right="120" w:firstLine="644"/>
        <w:spacing w:after="0" w:line="311" w:lineRule="auto"/>
        <w:rPr>
          <w:sz w:val="20"/>
          <w:szCs w:val="20"/>
          <w:color w:val="auto"/>
        </w:rPr>
      </w:pPr>
      <w:r>
        <w:rPr>
          <w:rFonts w:ascii="Arial" w:cs="Arial" w:eastAsia="Arial" w:hAnsi="Arial"/>
          <w:sz w:val="16"/>
          <w:szCs w:val="16"/>
          <w:color w:val="auto"/>
        </w:rPr>
        <w:t xml:space="preserve">On January 1, 2019, the Company adopted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standard provided several optional practical expedients for use in transition. The Company elected to use what the FASB deemed the “package of practical expedients,” which allowed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elected the short-term lease recognition exemption for all leases that qualify, meaning that for leases with terms of twelve months or less, the Company will not recognize right-of-use ("ROU") assets or lease liabilities on the Condensed Consolidated Balance Sheets. Additionally, the Company elected to use the practical expedient to not separate lease and</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1" w:name="page12"/>
    <w:bookmarkEnd w:id="11"/>
    <w:p>
      <w:pPr>
        <w:ind w:right="120"/>
        <w:spacing w:after="0" w:line="293" w:lineRule="auto"/>
        <w:rPr>
          <w:sz w:val="20"/>
          <w:szCs w:val="20"/>
          <w:color w:val="auto"/>
        </w:rPr>
      </w:pPr>
      <w:r>
        <w:rPr>
          <w:rFonts w:ascii="Arial" w:cs="Arial" w:eastAsia="Arial" w:hAnsi="Arial"/>
          <w:sz w:val="18"/>
          <w:szCs w:val="18"/>
          <w:color w:val="auto"/>
        </w:rPr>
        <w:t>non-lease components for leases of real estate, meaning that for these leases, the non-lease components are included in the associated ROU asset and lease liability balances on the Company’s Condensed Consolidated Balance Sheets.</w:t>
      </w:r>
    </w:p>
    <w:p>
      <w:pPr>
        <w:spacing w:after="0" w:line="62" w:lineRule="exact"/>
        <w:rPr>
          <w:sz w:val="20"/>
          <w:szCs w:val="20"/>
          <w:color w:val="auto"/>
        </w:rPr>
      </w:pPr>
    </w:p>
    <w:p>
      <w:pPr>
        <w:jc w:val="both"/>
        <w:ind w:right="300" w:firstLine="644"/>
        <w:spacing w:after="0" w:line="303" w:lineRule="auto"/>
        <w:rPr>
          <w:sz w:val="20"/>
          <w:szCs w:val="20"/>
          <w:color w:val="auto"/>
        </w:rPr>
      </w:pPr>
      <w:r>
        <w:rPr>
          <w:rFonts w:ascii="Arial" w:cs="Arial" w:eastAsia="Arial" w:hAnsi="Arial"/>
          <w:sz w:val="17"/>
          <w:szCs w:val="17"/>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Condensed Consolidated Balance Sheets. The Company has finance leases as detailed in the Long-Lived Assets section above.</w:t>
      </w:r>
    </w:p>
    <w:p>
      <w:pPr>
        <w:spacing w:after="0" w:line="56" w:lineRule="exact"/>
        <w:rPr>
          <w:sz w:val="20"/>
          <w:szCs w:val="20"/>
          <w:color w:val="auto"/>
        </w:rPr>
      </w:pPr>
    </w:p>
    <w:p>
      <w:pPr>
        <w:ind w:firstLine="644"/>
        <w:spacing w:after="0" w:line="31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(j)Sales and Marketing</w:t>
      </w:r>
    </w:p>
    <w:p>
      <w:pPr>
        <w:spacing w:after="0" w:line="131" w:lineRule="exact"/>
        <w:rPr>
          <w:sz w:val="20"/>
          <w:szCs w:val="20"/>
          <w:color w:val="auto"/>
        </w:rPr>
      </w:pPr>
    </w:p>
    <w:p>
      <w:pPr>
        <w:ind w:right="180" w:firstLine="644"/>
        <w:spacing w:after="0" w:line="275" w:lineRule="auto"/>
        <w:rPr>
          <w:sz w:val="20"/>
          <w:szCs w:val="20"/>
          <w:color w:val="auto"/>
        </w:rPr>
      </w:pPr>
      <w:r>
        <w:rPr>
          <w:rFonts w:ascii="Arial" w:cs="Arial" w:eastAsia="Arial" w:hAnsi="Arial"/>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three and nine months ended September 30, 2021 and 2020, the Company’s advertising costs were $5.5 million and $3.3 million, respectively and $14.4 million and $8.4 million, respectively.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(k)Operations and Support</w:t>
      </w:r>
    </w:p>
    <w:p>
      <w:pPr>
        <w:spacing w:after="0" w:line="131"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(l)Product Development</w:t>
      </w:r>
    </w:p>
    <w:p>
      <w:pPr>
        <w:spacing w:after="0" w:line="131" w:lineRule="exact"/>
        <w:rPr>
          <w:sz w:val="20"/>
          <w:szCs w:val="20"/>
          <w:color w:val="auto"/>
        </w:rPr>
      </w:pPr>
    </w:p>
    <w:p>
      <w:pPr>
        <w:ind w:right="180" w:firstLine="644"/>
        <w:spacing w:after="0" w:line="359" w:lineRule="auto"/>
        <w:rPr>
          <w:sz w:val="20"/>
          <w:szCs w:val="20"/>
          <w:color w:val="auto"/>
        </w:rPr>
      </w:pPr>
      <w:r>
        <w:rPr>
          <w:rFonts w:ascii="Arial" w:cs="Arial" w:eastAsia="Arial" w:hAnsi="Arial"/>
          <w:sz w:val="16"/>
          <w:szCs w:val="16"/>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(m)General and Administrative</w:t>
      </w:r>
    </w:p>
    <w:p>
      <w:pPr>
        <w:spacing w:after="0" w:line="131" w:lineRule="exact"/>
        <w:rPr>
          <w:sz w:val="20"/>
          <w:szCs w:val="20"/>
          <w:color w:val="auto"/>
        </w:rPr>
      </w:pPr>
    </w:p>
    <w:p>
      <w:pPr>
        <w:ind w:right="40" w:firstLine="644"/>
        <w:spacing w:after="0" w:line="279" w:lineRule="auto"/>
        <w:rPr>
          <w:sz w:val="20"/>
          <w:szCs w:val="20"/>
          <w:color w:val="auto"/>
        </w:rPr>
      </w:pPr>
      <w:r>
        <w:rPr>
          <w:rFonts w:ascii="Arial" w:cs="Arial" w:eastAsia="Arial" w:hAnsi="Arial"/>
          <w:sz w:val="18"/>
          <w:szCs w:val="18"/>
          <w:color w:val="auto"/>
        </w:rPr>
        <w:t>General and administrative expenses primarily consist of professional service fees, public company costs, charitable contributions and certain depreciation and amortization expense. It also includes compensation expenses, including stock-based compensation expenses, for executive, finance, legal and other administrative personnel.</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(n)Stock Based Compensation</w:t>
      </w:r>
    </w:p>
    <w:p>
      <w:pPr>
        <w:spacing w:after="0" w:line="131" w:lineRule="exact"/>
        <w:rPr>
          <w:sz w:val="20"/>
          <w:szCs w:val="20"/>
          <w:color w:val="auto"/>
        </w:rPr>
      </w:pPr>
    </w:p>
    <w:p>
      <w:pPr>
        <w:ind w:right="40" w:firstLine="644"/>
        <w:spacing w:after="0" w:line="272" w:lineRule="auto"/>
        <w:rPr>
          <w:sz w:val="20"/>
          <w:szCs w:val="20"/>
          <w:color w:val="auto"/>
        </w:rPr>
      </w:pPr>
      <w:r>
        <w:rPr>
          <w:rFonts w:ascii="Arial" w:cs="Arial" w:eastAsia="Arial" w:hAnsi="Arial"/>
          <w:sz w:val="18"/>
          <w:szCs w:val="18"/>
          <w:color w:val="auto"/>
        </w:rPr>
        <w:t>All stock 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Black-Scholes model considers several variables and assumptions in estimating the fair value of stock-based awards. These variables include:</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expected annual dividend yield;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expected volatility over the expected term;</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expected term;</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risk free interest rate;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 share value of the underlying common stock; and</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exercise price.</w:t>
      </w:r>
    </w:p>
    <w:p>
      <w:pPr>
        <w:spacing w:after="0" w:line="131" w:lineRule="exact"/>
        <w:rPr>
          <w:sz w:val="20"/>
          <w:szCs w:val="20"/>
          <w:color w:val="auto"/>
        </w:rPr>
      </w:pPr>
    </w:p>
    <w:p>
      <w:pPr>
        <w:ind w:right="120" w:firstLine="644"/>
        <w:spacing w:after="0" w:line="293"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right="20"/>
        <w:spacing w:after="0" w:line="275" w:lineRule="auto"/>
        <w:rPr>
          <w:sz w:val="20"/>
          <w:szCs w:val="20"/>
          <w:color w:val="auto"/>
        </w:rPr>
      </w:pPr>
      <w:r>
        <w:rPr>
          <w:rFonts w:ascii="Arial" w:cs="Arial" w:eastAsia="Arial" w:hAnsi="Arial"/>
          <w:sz w:val="18"/>
          <w:szCs w:val="18"/>
          <w:color w:val="auto"/>
        </w:rPr>
        <w:t>term of the stock-based award. As there was no public market for the Company's common stock prior to the IPO, the Company estimates its expected share price volatility based on the historical volatility of publicly traded peer companies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(k)Net Loss Per Share</w:t>
      </w:r>
    </w:p>
    <w:p>
      <w:pPr>
        <w:spacing w:after="0" w:line="131" w:lineRule="exact"/>
        <w:rPr>
          <w:sz w:val="20"/>
          <w:szCs w:val="20"/>
          <w:color w:val="auto"/>
        </w:rPr>
      </w:pPr>
    </w:p>
    <w:p>
      <w:pPr>
        <w:ind w:firstLine="644"/>
        <w:spacing w:after="0" w:line="272"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83" w:lineRule="exact"/>
        <w:rPr>
          <w:sz w:val="20"/>
          <w:szCs w:val="20"/>
          <w:color w:val="auto"/>
        </w:rPr>
      </w:pPr>
    </w:p>
    <w:p>
      <w:pPr>
        <w:ind w:right="20" w:firstLine="644"/>
        <w:spacing w:after="0" w:line="270" w:lineRule="auto"/>
        <w:rPr>
          <w:sz w:val="20"/>
          <w:szCs w:val="20"/>
          <w:color w:val="auto"/>
        </w:rPr>
      </w:pPr>
      <w:r>
        <w:rPr>
          <w:rFonts w:ascii="Arial" w:cs="Arial" w:eastAsia="Arial" w:hAnsi="Arial"/>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(p)Reclassifications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reclassified certain amounts on its financial statements related to its prior periods to conform to its current period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have not changed the results of operations of prior periods.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(q)Recently Issued Accounting Standards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31" w:lineRule="exact"/>
        <w:rPr>
          <w:sz w:val="20"/>
          <w:szCs w:val="20"/>
          <w:color w:val="auto"/>
        </w:rPr>
      </w:pPr>
    </w:p>
    <w:p>
      <w:pPr>
        <w:ind w:right="60" w:firstLine="644"/>
        <w:spacing w:after="0" w:line="31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Topic 326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55" w:lineRule="exact"/>
        <w:rPr>
          <w:sz w:val="20"/>
          <w:szCs w:val="20"/>
          <w:color w:val="auto"/>
        </w:rPr>
      </w:pPr>
    </w:p>
    <w:p>
      <w:pPr>
        <w:ind w:right="100" w:firstLine="644"/>
        <w:spacing w:after="0" w:line="293"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Credit Concentrations</w:t>
      </w:r>
    </w:p>
    <w:p>
      <w:pPr>
        <w:spacing w:after="0" w:line="135" w:lineRule="exact"/>
        <w:rPr>
          <w:sz w:val="20"/>
          <w:szCs w:val="20"/>
          <w:color w:val="auto"/>
        </w:rPr>
      </w:pPr>
    </w:p>
    <w:p>
      <w:pPr>
        <w:ind w:right="280" w:firstLine="644"/>
        <w:spacing w:after="0" w:line="27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75" w:lineRule="exact"/>
        <w:rPr>
          <w:sz w:val="20"/>
          <w:szCs w:val="20"/>
          <w:color w:val="auto"/>
        </w:rPr>
      </w:pPr>
    </w:p>
    <w:p>
      <w:pPr>
        <w:ind w:right="60" w:firstLine="644"/>
        <w:spacing w:after="0" w:line="303" w:lineRule="auto"/>
        <w:rPr>
          <w:sz w:val="20"/>
          <w:szCs w:val="20"/>
          <w:color w:val="auto"/>
        </w:rPr>
      </w:pPr>
      <w:r>
        <w:rPr>
          <w:rFonts w:ascii="Arial" w:cs="Arial" w:eastAsia="Arial" w:hAnsi="Arial"/>
          <w:sz w:val="17"/>
          <w:szCs w:val="17"/>
          <w:color w:val="auto"/>
        </w:rPr>
        <w:t>For the three and nine months ended September 30, 2021, no one customer accounted for more than 10% of the Company's revenue. For the three and nine months ended September 30, 2020, one customer accounted for more than 10% of the Company's revenue. As of September 30, 2021 and December 31, 2020, no single customer accounted for more than 10% of the Company’s accounts receivable.</w:t>
      </w:r>
    </w:p>
    <w:p>
      <w:pPr>
        <w:spacing w:after="0" w:line="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135" w:lineRule="exact"/>
        <w:rPr>
          <w:sz w:val="20"/>
          <w:szCs w:val="20"/>
          <w:color w:val="auto"/>
        </w:rPr>
      </w:pPr>
    </w:p>
    <w:p>
      <w:pPr>
        <w:ind w:right="60" w:firstLine="644"/>
        <w:spacing w:after="0" w:line="296" w:lineRule="auto"/>
        <w:rPr>
          <w:sz w:val="20"/>
          <w:szCs w:val="20"/>
          <w:color w:val="auto"/>
        </w:rPr>
      </w:pPr>
      <w:r>
        <w:rPr>
          <w:rFonts w:ascii="Arial" w:cs="Arial" w:eastAsia="Arial" w:hAnsi="Arial"/>
          <w:sz w:val="17"/>
          <w:szCs w:val="17"/>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September 30, 2021 and December 31, 2020 (in thousands):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 w:name="page14"/>
    <w:bookmarkEnd w:id="13"/>
    <w:tbl>
      <w:tblPr>
        <w:tblLayout w:type="fixed"/>
        <w:tblInd w:w="12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inventory</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r>
      <w:tr>
        <w:trPr>
          <w:trHeight w:val="29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163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631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 and Long-Lived Assets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 as of September 30, 2021 and December 31, 2020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460" w:type="dxa"/>
            <w:vAlign w:val="bottom"/>
          </w:tcPr>
          <w:p>
            <w:pPr>
              <w:spacing w:after="0"/>
              <w:rPr>
                <w:sz w:val="17"/>
                <w:szCs w:val="17"/>
                <w:color w:val="auto"/>
              </w:rPr>
            </w:pPr>
          </w:p>
        </w:tc>
        <w:tc>
          <w:tcPr>
            <w:tcW w:w="2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646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hardware</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22"/>
                <w:szCs w:val="22"/>
                <w:color w:val="auto"/>
              </w:rPr>
            </w:pPr>
          </w:p>
        </w:tc>
      </w:tr>
      <w:tr>
        <w:trPr>
          <w:trHeight w:val="250"/>
        </w:trPr>
        <w:tc>
          <w:tcPr>
            <w:tcW w:w="646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r>
      <w:tr>
        <w:trPr>
          <w:trHeight w:val="26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FF0FC"/>
          </w:tcPr>
          <w:p>
            <w:pPr>
              <w:spacing w:after="0"/>
              <w:rPr>
                <w:sz w:val="22"/>
                <w:szCs w:val="22"/>
                <w:color w:val="auto"/>
              </w:rPr>
            </w:pPr>
          </w:p>
        </w:tc>
      </w:tr>
      <w:tr>
        <w:trPr>
          <w:trHeight w:val="250"/>
        </w:trPr>
        <w:tc>
          <w:tcPr>
            <w:tcW w:w="6460" w:type="dxa"/>
            <w:vAlign w:val="bottom"/>
          </w:tcPr>
          <w:p>
            <w:pPr>
              <w:ind w:left="20"/>
              <w:spacing w:after="0"/>
              <w:rPr>
                <w:sz w:val="20"/>
                <w:szCs w:val="20"/>
                <w:color w:val="auto"/>
              </w:rPr>
            </w:pPr>
            <w:r>
              <w:rPr>
                <w:rFonts w:ascii="Arial" w:cs="Arial" w:eastAsia="Arial" w:hAnsi="Arial"/>
                <w:sz w:val="18"/>
                <w:szCs w:val="18"/>
                <w:color w:val="auto"/>
              </w:rPr>
              <w:t>Patent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17 years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Shorter of useful</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646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life or lease term</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FF0FC"/>
          </w:tcPr>
          <w:p>
            <w:pPr>
              <w:spacing w:after="0"/>
              <w:rPr>
                <w:sz w:val="21"/>
                <w:szCs w:val="21"/>
                <w:color w:val="auto"/>
              </w:rPr>
            </w:pP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7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r>
      <w:tr>
        <w:trPr>
          <w:trHeight w:val="250"/>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shd w:val="clear" w:color="auto" w:fill="CFF0FC"/>
          </w:tcPr>
          <w:p>
            <w:pPr>
              <w:spacing w:after="0"/>
              <w:rPr>
                <w:sz w:val="21"/>
                <w:szCs w:val="21"/>
                <w:color w:val="auto"/>
              </w:rPr>
            </w:pPr>
          </w:p>
        </w:tc>
      </w:tr>
      <w:tr>
        <w:trPr>
          <w:trHeight w:val="250"/>
        </w:trPr>
        <w:tc>
          <w:tcPr>
            <w:tcW w:w="64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(9,714 )</w:t>
            </w:r>
          </w:p>
        </w:tc>
        <w:tc>
          <w:tcPr>
            <w:tcW w:w="1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(7,614 )</w:t>
            </w:r>
          </w:p>
        </w:tc>
      </w:tr>
      <w:tr>
        <w:trPr>
          <w:trHeight w:val="290"/>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Depreciation expense for the three and nine months ended September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5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4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r>
      <w:tr>
        <w:trPr>
          <w:trHeight w:val="25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-193675</wp:posOffset>
            </wp:positionV>
            <wp:extent cx="774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7145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-193675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expense for the three and nine months ended September 30, 2021 and 2020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2"/>
                <w:szCs w:val="22"/>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5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Total operating lease expense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976</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-193675</wp:posOffset>
            </wp:positionV>
            <wp:extent cx="1543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1460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460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360" w:firstLine="644"/>
        <w:spacing w:after="0" w:line="324" w:lineRule="auto"/>
        <w:rPr>
          <w:sz w:val="20"/>
          <w:szCs w:val="20"/>
          <w:color w:val="auto"/>
        </w:rPr>
      </w:pPr>
      <w:r>
        <w:rPr>
          <w:rFonts w:ascii="Arial" w:cs="Arial" w:eastAsia="Arial" w:hAnsi="Arial"/>
          <w:sz w:val="17"/>
          <w:szCs w:val="17"/>
          <w:color w:val="auto"/>
        </w:rPr>
        <w:t>During the second quarter of 2021, the Company extended by three years an existing operating lease and entered into a new three year facility operating lease. In connection with these leases, the Company recorded non-cash ROU assets and liabilities of $0.9 million.</w:t>
      </w:r>
    </w:p>
    <w:p>
      <w:pPr>
        <w:spacing w:after="0" w:line="39" w:lineRule="exact"/>
        <w:rPr>
          <w:sz w:val="20"/>
          <w:szCs w:val="20"/>
          <w:color w:val="auto"/>
        </w:rPr>
      </w:pPr>
    </w:p>
    <w:p>
      <w:pPr>
        <w:ind w:right="300" w:firstLine="644"/>
        <w:spacing w:after="0" w:line="329" w:lineRule="auto"/>
        <w:rPr>
          <w:sz w:val="20"/>
          <w:szCs w:val="20"/>
          <w:color w:val="auto"/>
        </w:rPr>
      </w:pPr>
      <w:r>
        <w:rPr>
          <w:rFonts w:ascii="Arial" w:cs="Arial" w:eastAsia="Arial" w:hAnsi="Arial"/>
          <w:sz w:val="16"/>
          <w:szCs w:val="16"/>
          <w:color w:val="auto"/>
        </w:rPr>
        <w:t>During the third quarter of 2021, the Company extended two existing leases, entered into two new leases and terminated one lease. The new or extended leases has terms ranging between 3-months and 3 years. In connection with these leases, the Company recorded non-cash ROU assets and liabilities of $1.3 million. For the one lease that was terminated, the Company derecognized a ROU asset and liability of $0.1 million.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Common Stock</w:t>
      </w:r>
    </w:p>
    <w:p>
      <w:pPr>
        <w:spacing w:after="0" w:line="135" w:lineRule="exact"/>
        <w:rPr>
          <w:sz w:val="20"/>
          <w:szCs w:val="20"/>
          <w:color w:val="auto"/>
        </w:rPr>
      </w:pPr>
    </w:p>
    <w:p>
      <w:pPr>
        <w:ind w:right="140" w:firstLine="644"/>
        <w:spacing w:after="0" w:line="275" w:lineRule="auto"/>
        <w:rPr>
          <w:sz w:val="20"/>
          <w:szCs w:val="20"/>
          <w:color w:val="auto"/>
        </w:rPr>
      </w:pPr>
      <w:r>
        <w:rPr>
          <w:rFonts w:ascii="Arial" w:cs="Arial" w:eastAsia="Arial" w:hAnsi="Arial"/>
          <w:sz w:val="18"/>
          <w:szCs w:val="18"/>
          <w:color w:val="auto"/>
        </w:rPr>
        <w:t>Prior to the Company's IPO on July 2, 2021, holders of common stock were entitled to one vote per share, and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 to the preferred stock with respect to dividend rights, rights upon liquidation, and dissolution of the Company.</w:t>
      </w:r>
    </w:p>
    <w:p>
      <w:pPr>
        <w:spacing w:after="0" w:line="77" w:lineRule="exact"/>
        <w:rPr>
          <w:sz w:val="20"/>
          <w:szCs w:val="20"/>
          <w:color w:val="auto"/>
        </w:rPr>
      </w:pPr>
    </w:p>
    <w:p>
      <w:pPr>
        <w:ind w:right="180" w:firstLine="644"/>
        <w:spacing w:after="0" w:line="324" w:lineRule="auto"/>
        <w:rPr>
          <w:sz w:val="20"/>
          <w:szCs w:val="20"/>
          <w:color w:val="auto"/>
        </w:rPr>
      </w:pPr>
      <w:r>
        <w:rPr>
          <w:rFonts w:ascii="Arial" w:cs="Arial" w:eastAsia="Arial" w:hAnsi="Arial"/>
          <w:sz w:val="17"/>
          <w:szCs w:val="17"/>
          <w:color w:val="auto"/>
        </w:rPr>
        <w:t>In connection with the Company's IPO on July 2, 2021, the 8,665,797 shares of common stock outstanding on June 30, 2021 were reclassified to Class A common stock. Of those 8,665,797 shares of common stock, 2,268,846 were exchanged for Class B common stock.</w:t>
      </w:r>
    </w:p>
    <w:p>
      <w:pPr>
        <w:spacing w:after="0" w:line="39" w:lineRule="exact"/>
        <w:rPr>
          <w:sz w:val="20"/>
          <w:szCs w:val="20"/>
          <w:color w:val="auto"/>
        </w:rPr>
      </w:pPr>
    </w:p>
    <w:p>
      <w:pPr>
        <w:ind w:right="60" w:firstLine="644"/>
        <w:spacing w:after="0" w:line="279" w:lineRule="auto"/>
        <w:rPr>
          <w:sz w:val="20"/>
          <w:szCs w:val="20"/>
          <w:color w:val="auto"/>
        </w:rPr>
      </w:pPr>
      <w:r>
        <w:rPr>
          <w:rFonts w:ascii="Arial" w:cs="Arial" w:eastAsia="Arial" w:hAnsi="Arial"/>
          <w:sz w:val="18"/>
          <w:szCs w:val="18"/>
          <w:color w:val="auto"/>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750,000,000 are designated Class A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5,000,000 are designated Class B common stock;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50,000,000 are designated preferred stock.</w:t>
      </w:r>
    </w:p>
    <w:p>
      <w:pPr>
        <w:spacing w:after="0" w:line="131" w:lineRule="exact"/>
        <w:rPr>
          <w:sz w:val="20"/>
          <w:szCs w:val="20"/>
          <w:color w:val="auto"/>
        </w:rPr>
      </w:pPr>
    </w:p>
    <w:p>
      <w:pPr>
        <w:ind w:right="40" w:firstLine="644"/>
        <w:spacing w:after="0" w:line="279" w:lineRule="auto"/>
        <w:rPr>
          <w:sz w:val="20"/>
          <w:szCs w:val="20"/>
          <w:color w:val="auto"/>
        </w:rPr>
      </w:pPr>
      <w:r>
        <w:rPr>
          <w:rFonts w:ascii="Arial" w:cs="Arial" w:eastAsia="Arial" w:hAnsi="Arial"/>
          <w:sz w:val="18"/>
          <w:szCs w:val="18"/>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w:t>
      </w:r>
    </w:p>
    <w:p>
      <w:pPr>
        <w:spacing w:after="0" w:line="75" w:lineRule="exact"/>
        <w:rPr>
          <w:sz w:val="20"/>
          <w:szCs w:val="20"/>
          <w:color w:val="auto"/>
        </w:rPr>
      </w:pPr>
    </w:p>
    <w:p>
      <w:pPr>
        <w:ind w:right="220" w:firstLine="644"/>
        <w:spacing w:after="0" w:line="324" w:lineRule="auto"/>
        <w:rPr>
          <w:sz w:val="20"/>
          <w:szCs w:val="20"/>
          <w:color w:val="auto"/>
        </w:rPr>
      </w:pPr>
      <w:r>
        <w:rPr>
          <w:rFonts w:ascii="Arial" w:cs="Arial" w:eastAsia="Arial" w:hAnsi="Arial"/>
          <w:sz w:val="17"/>
          <w:szCs w:val="17"/>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Convertible Preferred Stock</w:t>
      </w:r>
    </w:p>
    <w:p>
      <w:pPr>
        <w:spacing w:after="0" w:line="135" w:lineRule="exact"/>
        <w:rPr>
          <w:sz w:val="20"/>
          <w:szCs w:val="20"/>
          <w:color w:val="auto"/>
        </w:rPr>
      </w:pPr>
    </w:p>
    <w:p>
      <w:pPr>
        <w:ind w:right="220" w:firstLine="644"/>
        <w:spacing w:after="0" w:line="272" w:lineRule="auto"/>
        <w:rPr>
          <w:sz w:val="20"/>
          <w:szCs w:val="20"/>
          <w:color w:val="auto"/>
        </w:rPr>
      </w:pPr>
      <w:r>
        <w:rPr>
          <w:rFonts w:ascii="Arial" w:cs="Arial" w:eastAsia="Arial" w:hAnsi="Arial"/>
          <w:sz w:val="18"/>
          <w:szCs w:val="18"/>
          <w:color w:val="auto"/>
        </w:rPr>
        <w:t>The Company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83" w:lineRule="exact"/>
        <w:rPr>
          <w:sz w:val="20"/>
          <w:szCs w:val="20"/>
          <w:color w:val="auto"/>
        </w:rPr>
      </w:pPr>
    </w:p>
    <w:p>
      <w:pPr>
        <w:ind w:right="640" w:firstLine="644"/>
        <w:spacing w:after="0" w:line="293" w:lineRule="auto"/>
        <w:rPr>
          <w:sz w:val="20"/>
          <w:szCs w:val="20"/>
          <w:color w:val="auto"/>
        </w:rPr>
      </w:pPr>
      <w:r>
        <w:rPr>
          <w:rFonts w:ascii="Arial" w:cs="Arial" w:eastAsia="Arial" w:hAnsi="Arial"/>
          <w:sz w:val="18"/>
          <w:szCs w:val="18"/>
          <w:color w:val="auto"/>
        </w:rPr>
        <w:t>As of December 31, 2020, the numbers of authorized and outstanding shares in the Convertible Preferred Stock, with their total respective liquidation preferences, were as follows (in thousands, except share and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7"/>
                <w:szCs w:val="17"/>
                <w:color w:val="auto"/>
              </w:rPr>
            </w:pPr>
          </w:p>
        </w:tc>
      </w:tr>
      <w:tr>
        <w:trPr>
          <w:trHeight w:val="190"/>
        </w:trPr>
        <w:tc>
          <w:tcPr>
            <w:tcW w:w="4040" w:type="dxa"/>
            <w:vAlign w:val="bottom"/>
          </w:tcPr>
          <w:p>
            <w:pPr>
              <w:spacing w:after="0"/>
              <w:rPr>
                <w:sz w:val="16"/>
                <w:szCs w:val="16"/>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6"/>
                <w:szCs w:val="16"/>
                <w:color w:val="auto"/>
              </w:rPr>
            </w:pPr>
          </w:p>
        </w:tc>
        <w:tc>
          <w:tcPr>
            <w:tcW w:w="1640" w:type="dxa"/>
            <w:vAlign w:val="bottom"/>
            <w:gridSpan w:val="3"/>
          </w:tcPr>
          <w:p>
            <w:pPr>
              <w:ind w:left="26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preference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r>
      <w:tr>
        <w:trPr>
          <w:trHeight w:val="25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Series:</w:t>
            </w:r>
          </w:p>
        </w:tc>
        <w:tc>
          <w:tcPr>
            <w:tcW w:w="128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Series Seed-1 Convertible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4,200,000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4,200,000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4,200</w:t>
            </w:r>
          </w:p>
        </w:tc>
        <w:tc>
          <w:tcPr>
            <w:tcW w:w="80" w:type="dxa"/>
            <w:vAlign w:val="bottom"/>
          </w:tcPr>
          <w:p>
            <w:pPr>
              <w:spacing w:after="0"/>
              <w:rPr>
                <w:sz w:val="21"/>
                <w:szCs w:val="21"/>
                <w:color w:val="auto"/>
              </w:rPr>
            </w:pPr>
          </w:p>
        </w:tc>
      </w:tr>
      <w:tr>
        <w:trPr>
          <w:trHeight w:val="26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Seed-2 Convertible Preferred Stock</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Series A-1 Convertible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4,211,094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4,211,094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8,704</w:t>
            </w:r>
          </w:p>
        </w:tc>
        <w:tc>
          <w:tcPr>
            <w:tcW w:w="80" w:type="dxa"/>
            <w:vAlign w:val="bottom"/>
          </w:tcPr>
          <w:p>
            <w:pPr>
              <w:spacing w:after="0"/>
              <w:rPr>
                <w:sz w:val="21"/>
                <w:szCs w:val="21"/>
                <w:color w:val="auto"/>
              </w:rPr>
            </w:pPr>
          </w:p>
        </w:tc>
      </w:tr>
      <w:tr>
        <w:trPr>
          <w:trHeight w:val="26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A-2 Convertible Preferred Stock</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12,839</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Series B Convertible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4,132,055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4,044,271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20,347</w:t>
            </w:r>
          </w:p>
        </w:tc>
        <w:tc>
          <w:tcPr>
            <w:tcW w:w="80" w:type="dxa"/>
            <w:vAlign w:val="bottom"/>
          </w:tcPr>
          <w:p>
            <w:pPr>
              <w:spacing w:after="0"/>
              <w:rPr>
                <w:sz w:val="21"/>
                <w:szCs w:val="21"/>
                <w:color w:val="auto"/>
              </w:rPr>
            </w:pPr>
          </w:p>
        </w:tc>
      </w:tr>
      <w:tr>
        <w:trPr>
          <w:trHeight w:val="26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Series C Convertible Preferred Stock</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26,004</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200"/>
              <w:spacing w:after="0"/>
              <w:rPr>
                <w:sz w:val="20"/>
                <w:szCs w:val="20"/>
                <w:color w:val="auto"/>
              </w:rPr>
            </w:pPr>
            <w:r>
              <w:rPr>
                <w:rFonts w:ascii="Arial" w:cs="Arial" w:eastAsia="Arial" w:hAnsi="Arial"/>
                <w:sz w:val="18"/>
                <w:szCs w:val="18"/>
                <w:color w:val="auto"/>
              </w:rPr>
              <w:t>Series D Convertible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5,494,064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5,494,064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54,933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54,864</w:t>
            </w:r>
          </w:p>
        </w:tc>
        <w:tc>
          <w:tcPr>
            <w:tcW w:w="80" w:type="dxa"/>
            <w:vAlign w:val="bottom"/>
          </w:tcPr>
          <w:p>
            <w:pPr>
              <w:spacing w:after="0"/>
              <w:rPr>
                <w:sz w:val="21"/>
                <w:szCs w:val="21"/>
                <w:color w:val="auto"/>
              </w:rPr>
            </w:pPr>
          </w:p>
        </w:tc>
      </w:tr>
      <w:tr>
        <w:trPr>
          <w:trHeight w:val="263"/>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Series E Convertible Preferred Stock</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$0.000001</w:t>
            </w:r>
          </w:p>
        </w:tc>
        <w:tc>
          <w:tcPr>
            <w:tcW w:w="1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2,400,000</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2,275,759</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30,757</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Totals</w:t>
            </w:r>
          </w:p>
        </w:tc>
        <w:tc>
          <w:tcPr>
            <w:tcW w:w="12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27,970,966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27,758,941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163,520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160,713</w:t>
            </w: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-193675</wp:posOffset>
            </wp:positionV>
            <wp:extent cx="1714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-193675</wp:posOffset>
            </wp:positionV>
            <wp:extent cx="15430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-193675</wp:posOffset>
            </wp:positionV>
            <wp:extent cx="1543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360" w:firstLine="644"/>
        <w:spacing w:after="0" w:line="324" w:lineRule="auto"/>
        <w:rPr>
          <w:sz w:val="20"/>
          <w:szCs w:val="20"/>
          <w:color w:val="auto"/>
        </w:rPr>
      </w:pPr>
      <w:r>
        <w:rPr>
          <w:rFonts w:ascii="Arial" w:cs="Arial" w:eastAsia="Arial" w:hAnsi="Arial"/>
          <w:sz w:val="17"/>
          <w:szCs w:val="17"/>
          <w:color w:val="auto"/>
        </w:rPr>
        <w:t>In connection with the Company's IPO on July 2, 2021, 27,758,941 shares of Convertible Preferred Stock were converted to Class A common stock. Of those 27,758,941 shares of Convertible Preferred Stock, 407,308 were exchanged for Class B common stock.</w:t>
      </w:r>
    </w:p>
    <w:p>
      <w:pPr>
        <w:spacing w:after="0" w:line="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 Based Compensation</w:t>
      </w:r>
    </w:p>
    <w:p>
      <w:pPr>
        <w:spacing w:after="0" w:line="135"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ind w:firstLine="644"/>
        <w:spacing w:after="0" w:line="275" w:lineRule="auto"/>
        <w:rPr>
          <w:sz w:val="20"/>
          <w:szCs w:val="20"/>
          <w:color w:val="auto"/>
        </w:rPr>
      </w:pPr>
      <w:r>
        <w:rPr>
          <w:rFonts w:ascii="Arial" w:cs="Arial" w:eastAsia="Arial" w:hAnsi="Arial"/>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77" w:lineRule="exact"/>
        <w:rPr>
          <w:sz w:val="20"/>
          <w:szCs w:val="20"/>
          <w:color w:val="auto"/>
        </w:rPr>
      </w:pPr>
    </w:p>
    <w:p>
      <w:pPr>
        <w:ind w:firstLine="644"/>
        <w:spacing w:after="0" w:line="290" w:lineRule="auto"/>
        <w:rPr>
          <w:sz w:val="20"/>
          <w:szCs w:val="20"/>
          <w:color w:val="auto"/>
        </w:rPr>
      </w:pPr>
      <w:r>
        <w:rPr>
          <w:rFonts w:ascii="Arial" w:cs="Arial" w:eastAsia="Arial" w:hAnsi="Arial"/>
          <w:sz w:val="17"/>
          <w:szCs w:val="17"/>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 The maximum number of shares of common stock that may be issued under the Company's 2021 Plan is 4,026,588 shares.</w:t>
      </w:r>
    </w:p>
    <w:p>
      <w:pPr>
        <w:spacing w:after="0" w:line="68" w:lineRule="exact"/>
        <w:rPr>
          <w:sz w:val="20"/>
          <w:szCs w:val="20"/>
          <w:color w:val="auto"/>
        </w:rPr>
      </w:pPr>
    </w:p>
    <w:p>
      <w:pPr>
        <w:ind w:right="20" w:firstLine="644"/>
        <w:spacing w:after="0" w:line="293" w:lineRule="auto"/>
        <w:rPr>
          <w:sz w:val="20"/>
          <w:szCs w:val="20"/>
          <w:color w:val="auto"/>
        </w:rPr>
      </w:pPr>
      <w:r>
        <w:rPr>
          <w:rFonts w:ascii="Arial" w:cs="Arial" w:eastAsia="Arial" w:hAnsi="Arial"/>
          <w:sz w:val="18"/>
          <w:szCs w:val="18"/>
          <w:color w:val="auto"/>
        </w:rPr>
        <w:t>As of September 30, 2021, there were 3,919,219 shares available for the Company to grant under the 2021 Equity Incentive Plan. As of December 31, 2020, there were 203,535 shares available for the Company to grant under the 2016 Equity Incentive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5" w:lineRule="exact"/>
        <w:rPr>
          <w:sz w:val="20"/>
          <w:szCs w:val="20"/>
          <w:color w:val="auto"/>
        </w:rPr>
      </w:pPr>
    </w:p>
    <w:p>
      <w:pPr>
        <w:ind w:right="60" w:firstLine="644"/>
        <w:spacing w:after="0" w:line="272" w:lineRule="auto"/>
        <w:rPr>
          <w:sz w:val="20"/>
          <w:szCs w:val="20"/>
          <w:color w:val="auto"/>
        </w:rPr>
      </w:pPr>
      <w:r>
        <w:rPr>
          <w:rFonts w:ascii="Arial" w:cs="Arial" w:eastAsia="Arial" w:hAnsi="Arial"/>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assumptions for the nine months ended September 30, 2021 and September 30, 2020 are provided in the following table.</w:t>
      </w:r>
    </w:p>
    <w:p>
      <w:pPr>
        <w:spacing w:after="0" w:line="280" w:lineRule="exact"/>
        <w:rPr>
          <w:sz w:val="20"/>
          <w:szCs w:val="20"/>
          <w:color w:val="auto"/>
        </w:rPr>
      </w:pPr>
    </w:p>
    <w:p>
      <w:pPr>
        <w:ind w:left="7480"/>
        <w:spacing w:after="0"/>
        <w:tabs>
          <w:tab w:leader="none" w:pos="926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032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r>
      <w:tr>
        <w:trPr>
          <w:trHeight w:val="25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Valuation assumptions:</w:t>
            </w:r>
          </w:p>
        </w:tc>
        <w:tc>
          <w:tcPr>
            <w:tcW w:w="9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6640" w:type="dxa"/>
            <w:vAlign w:val="bottom"/>
          </w:tcPr>
          <w:p>
            <w:pPr>
              <w:ind w:left="18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spacing w:after="0"/>
              <w:rPr>
                <w:sz w:val="21"/>
                <w:szCs w:val="21"/>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63"/>
        </w:trPr>
        <w:tc>
          <w:tcPr>
            <w:tcW w:w="6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Expected volatility</w:t>
            </w: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53 %</w:t>
            </w:r>
          </w:p>
        </w:tc>
        <w:tc>
          <w:tcPr>
            <w:tcW w:w="3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47 %</w:t>
            </w:r>
          </w:p>
        </w:tc>
      </w:tr>
      <w:tr>
        <w:trPr>
          <w:trHeight w:val="250"/>
        </w:trPr>
        <w:tc>
          <w:tcPr>
            <w:tcW w:w="6640" w:type="dxa"/>
            <w:vAlign w:val="bottom"/>
          </w:tcPr>
          <w:p>
            <w:pPr>
              <w:ind w:left="180"/>
              <w:spacing w:after="0"/>
              <w:rPr>
                <w:sz w:val="20"/>
                <w:szCs w:val="20"/>
                <w:color w:val="auto"/>
              </w:rPr>
            </w:pPr>
            <w:r>
              <w:rPr>
                <w:rFonts w:ascii="Arial" w:cs="Arial" w:eastAsia="Arial" w:hAnsi="Arial"/>
                <w:sz w:val="18"/>
                <w:szCs w:val="18"/>
                <w:color w:val="auto"/>
              </w:rPr>
              <w:t>Expected term (years)</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r>
      <w:tr>
        <w:trPr>
          <w:trHeight w:val="263"/>
        </w:trPr>
        <w:tc>
          <w:tcPr>
            <w:tcW w:w="6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1.1 %</w:t>
            </w:r>
          </w:p>
        </w:tc>
        <w:tc>
          <w:tcPr>
            <w:tcW w:w="3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0.7 %</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Fair value of share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26.96</w:t>
            </w:r>
          </w:p>
        </w:tc>
        <w:tc>
          <w:tcPr>
            <w:tcW w:w="3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21"/>
                <w:szCs w:val="21"/>
                <w:color w:val="auto"/>
              </w:rPr>
            </w:pPr>
          </w:p>
        </w:tc>
      </w:tr>
    </w:tbl>
    <w:p>
      <w:pPr>
        <w:spacing w:after="0" w:line="175" w:lineRule="exact"/>
        <w:rPr>
          <w:sz w:val="20"/>
          <w:szCs w:val="20"/>
          <w:color w:val="auto"/>
        </w:rPr>
      </w:pPr>
    </w:p>
    <w:p>
      <w:pPr>
        <w:ind w:right="60" w:firstLine="644"/>
        <w:spacing w:after="0" w:line="293" w:lineRule="auto"/>
        <w:rPr>
          <w:sz w:val="20"/>
          <w:szCs w:val="20"/>
          <w:color w:val="auto"/>
        </w:rPr>
      </w:pPr>
      <w:r>
        <w:rPr>
          <w:rFonts w:ascii="Arial" w:cs="Arial" w:eastAsia="Arial" w:hAnsi="Arial"/>
          <w:sz w:val="18"/>
          <w:szCs w:val="18"/>
          <w:color w:val="auto"/>
        </w:rPr>
        <w:t>A summary of the status of the Company’s stock option activity and the changes during the nine months ended September 30, 2021 are as follows (in millions, except share and per share amounts):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92"/>
        </w:trPr>
        <w:tc>
          <w:tcPr>
            <w:tcW w:w="4940" w:type="dxa"/>
            <w:vAlign w:val="bottom"/>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December 31, 2020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1,193,301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2"/>
                <w:szCs w:val="22"/>
                <w:color w:val="auto"/>
              </w:rPr>
            </w:pPr>
          </w:p>
        </w:tc>
      </w:tr>
      <w:tr>
        <w:trPr>
          <w:trHeight w:val="506"/>
        </w:trPr>
        <w:tc>
          <w:tcPr>
            <w:tcW w:w="49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3,152,774</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r>
      <w:tr>
        <w:trPr>
          <w:trHeight w:val="263"/>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1,393,431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(949,759 )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(109,506 )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4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(8,825 )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3,478,115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0"/>
        </w:trPr>
        <w:tc>
          <w:tcPr>
            <w:tcW w:w="494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947,409</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-342265</wp:posOffset>
            </wp:positionV>
            <wp:extent cx="1460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-325120</wp:posOffset>
            </wp:positionV>
            <wp:extent cx="1460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330"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4 years from the grant date.</w:t>
      </w:r>
    </w:p>
    <w:p>
      <w:pPr>
        <w:spacing w:after="0" w:line="83" w:lineRule="exact"/>
        <w:rPr>
          <w:sz w:val="20"/>
          <w:szCs w:val="20"/>
          <w:color w:val="auto"/>
        </w:rPr>
      </w:pPr>
    </w:p>
    <w:p>
      <w:pPr>
        <w:ind w:right="240" w:firstLine="644"/>
        <w:spacing w:after="0" w:line="293" w:lineRule="auto"/>
        <w:rPr>
          <w:sz w:val="20"/>
          <w:szCs w:val="20"/>
          <w:color w:val="auto"/>
        </w:rPr>
      </w:pPr>
      <w:r>
        <w:rPr>
          <w:rFonts w:ascii="Arial" w:cs="Arial" w:eastAsia="Arial" w:hAnsi="Arial"/>
          <w:sz w:val="18"/>
          <w:szCs w:val="18"/>
          <w:color w:val="auto"/>
        </w:rPr>
        <w:t>The weighted average grant date fair value of options granted during the nine months ended September 30, 2021 was $18.73. The total intrinsic value of options exercised during the nine months ended September 30, 2021 was $26.4 million.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 w:name="page17"/>
    <w:bookmarkEnd w:id="16"/>
    <w:p>
      <w:pPr>
        <w:ind w:right="100" w:firstLine="644"/>
        <w:spacing w:after="0" w:line="359" w:lineRule="auto"/>
        <w:rPr>
          <w:sz w:val="20"/>
          <w:szCs w:val="20"/>
          <w:color w:val="auto"/>
        </w:rPr>
      </w:pPr>
      <w:r>
        <w:rPr>
          <w:rFonts w:ascii="Arial" w:cs="Arial" w:eastAsia="Arial" w:hAnsi="Arial"/>
          <w:sz w:val="16"/>
          <w:szCs w:val="16"/>
          <w:color w:val="auto"/>
        </w:rPr>
        <w:t>At September 30, 2021, there was approximately $23.9 million of total unrecognized compensation cost related to unvested stock options granted under the 2016 Equity Incentive Plan. That cost is expected to be recognized over a weighted average period of 3.4 years at September 30, 2021.</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35" w:lineRule="exact"/>
        <w:rPr>
          <w:sz w:val="20"/>
          <w:szCs w:val="20"/>
          <w:color w:val="auto"/>
        </w:rPr>
      </w:pPr>
    </w:p>
    <w:p>
      <w:pPr>
        <w:ind w:right="120" w:firstLine="644"/>
        <w:spacing w:after="0" w:line="293" w:lineRule="auto"/>
        <w:rPr>
          <w:sz w:val="20"/>
          <w:szCs w:val="20"/>
          <w:color w:val="auto"/>
        </w:rPr>
      </w:pPr>
      <w:r>
        <w:rPr>
          <w:rFonts w:ascii="Arial" w:cs="Arial" w:eastAsia="Arial" w:hAnsi="Arial"/>
          <w:sz w:val="18"/>
          <w:szCs w:val="18"/>
          <w:color w:val="auto"/>
        </w:rPr>
        <w:t>A summary of the status of the Company’s restricted stock unit activity and the changes during the nine months ended September 30, 2021 are as follows (in millions, except share and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left="338"/>
              <w:spacing w:after="0"/>
              <w:rPr>
                <w:sz w:val="20"/>
                <w:szCs w:val="20"/>
                <w:color w:val="auto"/>
              </w:rPr>
            </w:pPr>
            <w:r>
              <w:rPr>
                <w:rFonts w:ascii="Arial" w:cs="Arial" w:eastAsia="Arial" w:hAnsi="Arial"/>
                <w:sz w:val="14"/>
                <w:szCs w:val="14"/>
                <w:b w:val="1"/>
                <w:bCs w:val="1"/>
                <w:color w:val="auto"/>
                <w:w w:val="95"/>
              </w:rPr>
              <w:t>Weighted</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left="358"/>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r>
      <w:tr>
        <w:trPr>
          <w:trHeight w:val="176"/>
        </w:trPr>
        <w:tc>
          <w:tcPr>
            <w:tcW w:w="5840" w:type="dxa"/>
            <w:vAlign w:val="bottom"/>
          </w:tcPr>
          <w:p>
            <w:pPr>
              <w:spacing w:after="0"/>
              <w:rPr>
                <w:sz w:val="15"/>
                <w:szCs w:val="15"/>
                <w:color w:val="auto"/>
              </w:rPr>
            </w:pPr>
          </w:p>
        </w:tc>
        <w:tc>
          <w:tcPr>
            <w:tcW w:w="19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r>
      <w:tr>
        <w:trPr>
          <w:trHeight w:val="192"/>
        </w:trPr>
        <w:tc>
          <w:tcPr>
            <w:tcW w:w="5840" w:type="dxa"/>
            <w:vAlign w:val="bottom"/>
          </w:tcPr>
          <w:p>
            <w:pPr>
              <w:spacing w:after="0"/>
              <w:rPr>
                <w:sz w:val="16"/>
                <w:szCs w:val="16"/>
                <w:color w:val="auto"/>
              </w:rPr>
            </w:pPr>
          </w:p>
        </w:tc>
        <w:tc>
          <w:tcPr>
            <w:tcW w:w="16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6"/>
                <w:szCs w:val="16"/>
                <w:color w:val="auto"/>
              </w:rPr>
            </w:pPr>
          </w:p>
        </w:tc>
        <w:tc>
          <w:tcPr>
            <w:tcW w:w="1100" w:type="dxa"/>
            <w:vAlign w:val="bottom"/>
            <w:tcBorders>
              <w:bottom w:val="single" w:sz="8" w:color="auto"/>
            </w:tcBorders>
          </w:tcPr>
          <w:p>
            <w:pPr>
              <w:jc w:val="center"/>
              <w:ind w:left="338"/>
              <w:spacing w:after="0"/>
              <w:rPr>
                <w:sz w:val="20"/>
                <w:szCs w:val="20"/>
                <w:color w:val="auto"/>
              </w:rPr>
            </w:pPr>
            <w:r>
              <w:rPr>
                <w:rFonts w:ascii="Arial" w:cs="Arial" w:eastAsia="Arial" w:hAnsi="Arial"/>
                <w:sz w:val="14"/>
                <w:szCs w:val="14"/>
                <w:b w:val="1"/>
                <w:bCs w:val="1"/>
                <w:color w:val="auto"/>
                <w:w w:val="93"/>
              </w:rPr>
              <w:t>(per share)</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r>
      <w:tr>
        <w:trPr>
          <w:trHeight w:val="256"/>
        </w:trPr>
        <w:tc>
          <w:tcPr>
            <w:tcW w:w="5840" w:type="dxa"/>
            <w:vAlign w:val="bottom"/>
            <w:shd w:val="clear" w:color="auto" w:fill="CFF0FC"/>
          </w:tcPr>
          <w:p>
            <w:pPr>
              <w:spacing w:after="0"/>
              <w:rPr>
                <w:sz w:val="22"/>
                <w:szCs w:val="22"/>
                <w:color w:val="auto"/>
              </w:rPr>
            </w:pPr>
          </w:p>
        </w:tc>
        <w:tc>
          <w:tcPr>
            <w:tcW w:w="1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Unvested RSUs as of December 31, 2020</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107,648</w:t>
            </w: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91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75.32</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Vested</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(615 )</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76.10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and cancelled</w:t>
            </w:r>
          </w:p>
        </w:tc>
        <w:tc>
          <w:tcPr>
            <w:tcW w:w="1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(279 )</w:t>
            </w:r>
          </w:p>
        </w:tc>
        <w:tc>
          <w:tcPr>
            <w:tcW w:w="1100" w:type="dxa"/>
            <w:vAlign w:val="bottom"/>
            <w:shd w:val="clear" w:color="auto" w:fill="CFF0FC"/>
          </w:tcPr>
          <w:p>
            <w:pPr>
              <w:jc w:val="right"/>
              <w:ind w:right="91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76.10</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RSUs as of September 30, 2021</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106,754</w:t>
            </w:r>
          </w:p>
        </w:tc>
        <w:tc>
          <w:tcPr>
            <w:tcW w:w="380" w:type="dxa"/>
            <w:vAlign w:val="bottom"/>
            <w:tcBorders>
              <w:top w:val="single" w:sz="8" w:color="CFF0FC"/>
            </w:tcBorders>
          </w:tcPr>
          <w:p>
            <w:pPr>
              <w:spacing w:after="0"/>
              <w:rPr>
                <w:sz w:val="21"/>
                <w:szCs w:val="21"/>
                <w:color w:val="auto"/>
              </w:rPr>
            </w:pPr>
          </w:p>
        </w:tc>
        <w:tc>
          <w:tcPr>
            <w:tcW w:w="1100" w:type="dxa"/>
            <w:vAlign w:val="bottom"/>
            <w:tcBorders>
              <w:top w:val="single" w:sz="8" w:color="CFF0FC"/>
            </w:tcBorders>
          </w:tcPr>
          <w:p>
            <w:pPr>
              <w:jc w:val="right"/>
              <w:ind w:right="91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84"/>
              </w:rPr>
              <w:t>75.31</w:t>
            </w:r>
          </w:p>
        </w:tc>
        <w:tc>
          <w:tcPr>
            <w:tcW w:w="60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CFF0FC"/>
            </w:tcBorders>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-193675</wp:posOffset>
            </wp:positionV>
            <wp:extent cx="24003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0030" cy="5715"/>
                    </a:xfrm>
                    <a:prstGeom prst="rect">
                      <a:avLst/>
                    </a:prstGeom>
                    <a:noFill/>
                  </pic:spPr>
                </pic:pic>
              </a:graphicData>
            </a:graphic>
          </wp:anchor>
        </w:drawing>
      </w:r>
    </w:p>
    <w:p>
      <w:pPr>
        <w:spacing w:after="0" w:line="87" w:lineRule="exact"/>
        <w:rPr>
          <w:sz w:val="20"/>
          <w:szCs w:val="20"/>
          <w:color w:val="auto"/>
        </w:rPr>
      </w:pPr>
    </w:p>
    <w:p>
      <w:pPr>
        <w:jc w:val="both"/>
        <w:ind w:right="200" w:firstLine="644"/>
        <w:spacing w:after="0" w:line="359" w:lineRule="auto"/>
        <w:rPr>
          <w:sz w:val="20"/>
          <w:szCs w:val="20"/>
          <w:color w:val="auto"/>
        </w:rPr>
      </w:pPr>
      <w:r>
        <w:rPr>
          <w:rFonts w:ascii="Arial" w:cs="Arial" w:eastAsia="Arial" w:hAnsi="Arial"/>
          <w:sz w:val="16"/>
          <w:szCs w:val="16"/>
          <w:color w:val="auto"/>
        </w:rPr>
        <w:t>At September 30, 2021, there was approximately $7.8 million of total unrecognized compensation cost related to unvested restricted stock units granted under the 2021 Equity Incentive Plan. That cost is expected to be recognized over a weighted average period of 3.8 years at September 30, 2021.</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stock-based compensation cost for the three and nine months ended September 30, 2021 and 2020 were as follows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02"/>
        </w:trPr>
        <w:tc>
          <w:tcPr>
            <w:tcW w:w="4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320" w:type="dxa"/>
            <w:vAlign w:val="bottom"/>
            <w:gridSpan w:val="2"/>
            <w:shd w:val="clear" w:color="auto" w:fill="CFF0FC"/>
          </w:tcPr>
          <w:p>
            <w:pPr>
              <w:jc w:val="right"/>
              <w:ind w:right="9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2"/>
                <w:szCs w:val="22"/>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1"/>
                <w:szCs w:val="21"/>
                <w:color w:val="auto"/>
              </w:rPr>
            </w:pPr>
          </w:p>
        </w:tc>
      </w:tr>
      <w:tr>
        <w:trPr>
          <w:trHeight w:val="26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00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22"/>
                <w:szCs w:val="22"/>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r>
      <w:tr>
        <w:trPr>
          <w:trHeight w:val="29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compensation expense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146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1460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02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364" w:lineRule="exact"/>
        <w:rPr>
          <w:sz w:val="20"/>
          <w:szCs w:val="20"/>
          <w:color w:val="auto"/>
        </w:rPr>
      </w:pPr>
    </w:p>
    <w:p>
      <w:pPr>
        <w:jc w:val="both"/>
        <w:ind w:right="80" w:firstLine="644"/>
        <w:spacing w:after="0" w:line="293" w:lineRule="auto"/>
        <w:rPr>
          <w:sz w:val="20"/>
          <w:szCs w:val="20"/>
          <w:color w:val="auto"/>
        </w:rPr>
      </w:pPr>
      <w:r>
        <w:rPr>
          <w:rFonts w:ascii="Arial" w:cs="Arial" w:eastAsia="Arial" w:hAnsi="Arial"/>
          <w:sz w:val="18"/>
          <w:szCs w:val="18"/>
          <w:color w:val="auto"/>
        </w:rPr>
        <w:t>A full valuation allowance has been established against our net U.S. federal and state deferred tax assets and foreign deferred tax assets, including net operating loss carryforwards.</w:t>
      </w:r>
    </w:p>
    <w:p>
      <w:pPr>
        <w:spacing w:after="0" w:line="62" w:lineRule="exact"/>
        <w:rPr>
          <w:sz w:val="20"/>
          <w:szCs w:val="20"/>
          <w:color w:val="auto"/>
        </w:rPr>
      </w:pPr>
    </w:p>
    <w:p>
      <w:pPr>
        <w:ind w:right="120" w:firstLine="644"/>
        <w:spacing w:after="0" w:line="279" w:lineRule="auto"/>
        <w:rPr>
          <w:sz w:val="20"/>
          <w:szCs w:val="20"/>
          <w:color w:val="auto"/>
        </w:rPr>
      </w:pPr>
      <w:r>
        <w:rPr>
          <w:rFonts w:ascii="Arial" w:cs="Arial" w:eastAsia="Arial" w:hAnsi="Arial"/>
          <w:sz w:val="18"/>
          <w:szCs w:val="18"/>
          <w:color w:val="auto"/>
        </w:rPr>
        <w:t>The Company had no current or deferred income tax benefit or expense in the U.S. or Germany for the three and nine months ended September 30, 2021 and 2020. This effective tax rate of 0% differs from the U.S. federal statutory rate primarily due to the effects of certain permanent items, foreign tax rate differences, and increases in the valuation allowance against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31" w:lineRule="exact"/>
        <w:rPr>
          <w:sz w:val="20"/>
          <w:szCs w:val="20"/>
          <w:color w:val="auto"/>
        </w:rPr>
      </w:pPr>
    </w:p>
    <w:p>
      <w:pPr>
        <w:ind w:right="20" w:firstLine="644"/>
        <w:spacing w:after="0" w:line="308" w:lineRule="auto"/>
        <w:rPr>
          <w:sz w:val="20"/>
          <w:szCs w:val="20"/>
          <w:color w:val="auto"/>
        </w:rPr>
      </w:pPr>
      <w:r>
        <w:rPr>
          <w:rFonts w:ascii="Arial" w:cs="Arial" w:eastAsia="Arial" w:hAnsi="Arial"/>
          <w:sz w:val="16"/>
          <w:szCs w:val="16"/>
          <w:color w:val="auto"/>
        </w:rPr>
        <w:t>As of December 31, 2020, the Company has net operating loss (“NOL”) carryforwards for U.S. federal income tax purposes, and similar state amounts, of approximately $90.1 million available to reduce future income subject to income taxes before limitations. As of December 31, 2020, the Company had a net operating loss carryforward for tax purposes related to its foreign subsidiary of $10.2 million. U.S. federal net operating carryforwards generated prior to 2018 in the approximate amount of $26.6 million will begin to expire, if not utilized, in 2033. German net operating loss and U.S. federal net operating losses post 2017 have an indefinite life. The Company expects the $90.1 million of U.S. federal net operating losses to be available to offset future taxable income. The Company has not completed an updated Section 382 study to assess whether an ownership change occurred subsequent to our IPO on July 2, 2021. Pursuant to Sections 382 and 383 of the Internal Revenue Code, annual use of our net operating loss carryforwards may be limited in the event a cumulative change in ownership of more than 50% occurs within a three-year period.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135" w:lineRule="exact"/>
        <w:rPr>
          <w:sz w:val="20"/>
          <w:szCs w:val="20"/>
          <w:color w:val="auto"/>
        </w:rPr>
      </w:pPr>
    </w:p>
    <w:p>
      <w:pPr>
        <w:ind w:right="240" w:firstLine="644"/>
        <w:spacing w:after="0" w:line="275" w:lineRule="auto"/>
        <w:rPr>
          <w:sz w:val="20"/>
          <w:szCs w:val="20"/>
          <w:color w:val="auto"/>
        </w:rPr>
      </w:pPr>
      <w:r>
        <w:rPr>
          <w:rFonts w:ascii="Arial" w:cs="Arial" w:eastAsia="Arial" w:hAnsi="Arial"/>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(14,711 )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(6,183 )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(37,476 )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(20,909 )</w:t>
            </w:r>
          </w:p>
        </w:tc>
        <w:tc>
          <w:tcPr>
            <w:tcW w:w="0" w:type="dxa"/>
            <w:vAlign w:val="bottom"/>
          </w:tcPr>
          <w:p>
            <w:pPr>
              <w:spacing w:after="0"/>
              <w:rPr>
                <w:sz w:val="1"/>
                <w:szCs w:val="1"/>
                <w:color w:val="auto"/>
              </w:rPr>
            </w:pPr>
          </w:p>
        </w:tc>
      </w:tr>
      <w:tr>
        <w:trPr>
          <w:trHeight w:val="250"/>
        </w:trPr>
        <w:tc>
          <w:tcPr>
            <w:tcW w:w="5220" w:type="dxa"/>
            <w:vAlign w:val="bottom"/>
          </w:tcPr>
          <w:p>
            <w:pPr>
              <w:ind w:left="20"/>
              <w:spacing w:after="0"/>
              <w:rPr>
                <w:sz w:val="20"/>
                <w:szCs w:val="20"/>
                <w:color w:val="auto"/>
              </w:rPr>
            </w:pPr>
            <w:r>
              <w:rPr>
                <w:rFonts w:ascii="Arial" w:cs="Arial" w:eastAsia="Arial" w:hAnsi="Arial"/>
                <w:sz w:val="18"/>
                <w:szCs w:val="18"/>
                <w:color w:val="auto"/>
              </w:rPr>
              <w:t>Deemed dividend to preferred stockholders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(8,801 )</w:t>
            </w: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(8,801 )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(14,711 )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(14,984 )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(37,476 )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(29,710 )</w:t>
            </w:r>
          </w:p>
        </w:tc>
        <w:tc>
          <w:tcPr>
            <w:tcW w:w="0" w:type="dxa"/>
            <w:vAlign w:val="bottom"/>
          </w:tcPr>
          <w:p>
            <w:pPr>
              <w:spacing w:after="0"/>
              <w:rPr>
                <w:sz w:val="1"/>
                <w:szCs w:val="1"/>
                <w:color w:val="auto"/>
              </w:rPr>
            </w:pPr>
          </w:p>
        </w:tc>
      </w:tr>
      <w:tr>
        <w:trPr>
          <w:trHeight w:val="486"/>
        </w:trPr>
        <w:tc>
          <w:tcPr>
            <w:tcW w:w="5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43,962,863</w:t>
            </w: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7,546,458</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20,092,600</w:t>
            </w: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7,458,671</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line="203" w:lineRule="exact"/>
              <w:rPr>
                <w:sz w:val="20"/>
                <w:szCs w:val="20"/>
                <w:color w:val="auto"/>
              </w:rPr>
            </w:pPr>
            <w:r>
              <w:rPr>
                <w:rFonts w:ascii="Arial" w:cs="Arial" w:eastAsia="Arial" w:hAnsi="Arial"/>
                <w:sz w:val="18"/>
                <w:szCs w:val="18"/>
                <w:color w:val="auto"/>
              </w:rPr>
              <w:t>compute net loss per share, basic and diluted</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(1.87 )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-685165</wp:posOffset>
            </wp:positionV>
            <wp:extent cx="163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-668020</wp:posOffset>
            </wp:positionV>
            <wp:extent cx="1631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-685165</wp:posOffset>
            </wp:positionV>
            <wp:extent cx="1631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-668020</wp:posOffset>
            </wp:positionV>
            <wp:extent cx="1631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-685165</wp:posOffset>
            </wp:positionV>
            <wp:extent cx="145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-668020</wp:posOffset>
            </wp:positionV>
            <wp:extent cx="1454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-685165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-668020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163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1631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631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631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454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454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7" w:lineRule="exact"/>
        <w:rPr>
          <w:sz w:val="20"/>
          <w:szCs w:val="20"/>
          <w:color w:val="auto"/>
        </w:rPr>
      </w:pPr>
    </w:p>
    <w:p>
      <w:pPr>
        <w:ind w:right="520" w:firstLine="644"/>
        <w:spacing w:after="0" w:line="324"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ectPr>
          <w:pgSz w:w="11900" w:h="16838" w:orient="portrait"/>
          <w:cols w:equalWidth="0" w:num="1">
            <w:col w:w="11240"/>
          </w:cols>
          <w:pgMar w:left="320" w:top="472" w:right="339" w:bottom="1440" w:gutter="0" w:footer="0" w:header="0"/>
        </w:sectPr>
      </w:pPr>
    </w:p>
    <w:p>
      <w:pPr>
        <w:spacing w:after="0" w:line="166" w:lineRule="exact"/>
        <w:rPr>
          <w:sz w:val="20"/>
          <w:szCs w:val="20"/>
          <w:color w:val="auto"/>
        </w:rPr>
      </w:pPr>
    </w:p>
    <w:p>
      <w:pPr>
        <w:jc w:val="center"/>
        <w:ind w:left="73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38100</wp:posOffset>
            </wp:positionV>
            <wp:extent cx="1165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8"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38100</wp:posOffset>
            </wp:positionV>
            <wp:extent cx="1165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8"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8900" w:space="720"/>
            <w:col w:w="1620"/>
          </w:cols>
          <w:pgMar w:left="320" w:top="472"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3,478,115</w:t>
            </w:r>
          </w:p>
        </w:tc>
        <w:tc>
          <w:tcPr>
            <w:tcW w:w="260" w:type="dxa"/>
            <w:vAlign w:val="bottom"/>
            <w:shd w:val="clear" w:color="auto" w:fill="CFF0FC"/>
          </w:tcPr>
          <w:p>
            <w:pPr>
              <w:spacing w:after="0"/>
              <w:rPr>
                <w:sz w:val="22"/>
                <w:szCs w:val="22"/>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3,122,261</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106,754</w:t>
            </w:r>
          </w:p>
        </w:tc>
        <w:tc>
          <w:tcPr>
            <w:tcW w:w="260" w:type="dxa"/>
            <w:vAlign w:val="bottom"/>
          </w:tcPr>
          <w:p>
            <w:pPr>
              <w:spacing w:after="0"/>
              <w:rPr>
                <w:sz w:val="21"/>
                <w:szCs w:val="21"/>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 outstanding</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112,026</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112,026</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Shares reserved for charitable contribution</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382,525</w:t>
            </w:r>
          </w:p>
        </w:tc>
        <w:tc>
          <w:tcPr>
            <w:tcW w:w="26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shares</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4,079,420</w:t>
            </w:r>
          </w:p>
        </w:tc>
        <w:tc>
          <w:tcPr>
            <w:tcW w:w="26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3,234,287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1714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714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Commitments and Contingencies</w:t>
      </w:r>
    </w:p>
    <w:p>
      <w:pPr>
        <w:spacing w:after="0" w:line="135" w:lineRule="exact"/>
        <w:rPr>
          <w:sz w:val="20"/>
          <w:szCs w:val="20"/>
          <w:color w:val="auto"/>
        </w:rPr>
      </w:pPr>
    </w:p>
    <w:p>
      <w:pPr>
        <w:ind w:right="40" w:firstLine="644"/>
        <w:spacing w:after="0" w:line="314" w:lineRule="auto"/>
        <w:rPr>
          <w:sz w:val="20"/>
          <w:szCs w:val="20"/>
          <w:color w:val="auto"/>
        </w:rPr>
      </w:pPr>
      <w:r>
        <w:rPr>
          <w:rFonts w:ascii="Arial" w:cs="Arial" w:eastAsia="Arial" w:hAnsi="Arial"/>
          <w:sz w:val="16"/>
          <w:szCs w:val="16"/>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(see Note 1). In connection with the debt extinguishment, the Company paid Hercules $16.2 million and recorded a loss on debt extinguishment of approximately $0.3 million.</w:t>
      </w:r>
    </w:p>
    <w:p>
      <w:pPr>
        <w:spacing w:after="0" w:line="52" w:lineRule="exact"/>
        <w:rPr>
          <w:sz w:val="20"/>
          <w:szCs w:val="20"/>
          <w:color w:val="auto"/>
        </w:rPr>
      </w:pPr>
    </w:p>
    <w:p>
      <w:pPr>
        <w:ind w:right="20" w:firstLine="734"/>
        <w:spacing w:after="0" w:line="275" w:lineRule="auto"/>
        <w:rPr>
          <w:sz w:val="20"/>
          <w:szCs w:val="20"/>
          <w:color w:val="auto"/>
        </w:rPr>
      </w:pPr>
      <w:r>
        <w:rPr>
          <w:rFonts w:ascii="Arial" w:cs="Arial" w:eastAsia="Arial" w:hAnsi="Arial"/>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 As of December 31, 2020, the Company owed $15.8 million on this term loan, including principal borrowings and accrued end of term fee.</w:t>
      </w:r>
    </w:p>
    <w:p>
      <w:pPr>
        <w:spacing w:after="0" w:line="77" w:lineRule="exact"/>
        <w:rPr>
          <w:sz w:val="20"/>
          <w:szCs w:val="20"/>
          <w:color w:val="auto"/>
        </w:rPr>
      </w:pPr>
    </w:p>
    <w:p>
      <w:pPr>
        <w:ind w:right="200" w:firstLine="644"/>
        <w:spacing w:after="0" w:line="279"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75" w:lineRule="exact"/>
        <w:rPr>
          <w:sz w:val="20"/>
          <w:szCs w:val="20"/>
          <w:color w:val="auto"/>
        </w:rPr>
      </w:pPr>
    </w:p>
    <w:p>
      <w:pPr>
        <w:ind w:right="180" w:firstLine="644"/>
        <w:spacing w:after="0" w:line="272" w:lineRule="auto"/>
        <w:rPr>
          <w:sz w:val="20"/>
          <w:szCs w:val="20"/>
          <w:color w:val="auto"/>
        </w:rPr>
      </w:pPr>
      <w:r>
        <w:rPr>
          <w:rFonts w:ascii="Arial" w:cs="Arial" w:eastAsia="Arial" w:hAnsi="Arial"/>
          <w:sz w:val="18"/>
          <w:szCs w:val="18"/>
          <w:color w:val="auto"/>
        </w:rPr>
        <w:t>The Term Loan Facility contained customary affirmative and negative covenants, including covenants that required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was in compliance with covenants at the time the term loan was repaid and as of December 31,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jc w:val="both"/>
        <w:ind w:right="400" w:firstLine="644"/>
        <w:spacing w:after="0" w:line="275"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Segments</w:t>
      </w:r>
    </w:p>
    <w:p>
      <w:pPr>
        <w:spacing w:after="0" w:line="135" w:lineRule="exact"/>
        <w:rPr>
          <w:sz w:val="20"/>
          <w:szCs w:val="20"/>
          <w:color w:val="auto"/>
        </w:rPr>
      </w:pPr>
    </w:p>
    <w:p>
      <w:pPr>
        <w:ind w:firstLine="644"/>
        <w:spacing w:after="0" w:line="270" w:lineRule="auto"/>
        <w:rPr>
          <w:sz w:val="20"/>
          <w:szCs w:val="20"/>
          <w:color w:val="auto"/>
        </w:rPr>
      </w:pPr>
      <w:r>
        <w:rPr>
          <w:rFonts w:ascii="Arial" w:cs="Arial" w:eastAsia="Arial" w:hAnsi="Arial"/>
          <w:sz w:val="18"/>
          <w:szCs w:val="18"/>
          <w:color w:val="auto"/>
        </w:rPr>
        <w:t>Xometry is organized in two segments referred to as: (1) the U.S. and (2)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Europe segment. The Company’s CODM monitors assets of the consolidated Company, but does not use assets, by operating segment when assessing performance or making operating segment resource decisions.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reflect certain segment information for the three and nine months ended September 30, 2021 and 2020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76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77"/>
        </w:trPr>
        <w:tc>
          <w:tcPr>
            <w:tcW w:w="5920" w:type="dxa"/>
            <w:vAlign w:val="bottom"/>
          </w:tcPr>
          <w:p>
            <w:pPr>
              <w:spacing w:after="0"/>
              <w:rPr>
                <w:sz w:val="24"/>
                <w:szCs w:val="24"/>
                <w:color w:val="auto"/>
              </w:rPr>
            </w:pPr>
          </w:p>
        </w:tc>
        <w:tc>
          <w:tcPr>
            <w:tcW w:w="1140" w:type="dxa"/>
            <w:vAlign w:val="bottom"/>
            <w:tcBorders>
              <w:top w:val="single" w:sz="8" w:color="auto"/>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2"/>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51,739</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41,145</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140,266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101,537</w:t>
            </w:r>
          </w:p>
        </w:tc>
        <w:tc>
          <w:tcPr>
            <w:tcW w:w="100" w:type="dxa"/>
            <w:vAlign w:val="bottom"/>
          </w:tcPr>
          <w:p>
            <w:pPr>
              <w:spacing w:after="0"/>
              <w:rPr>
                <w:sz w:val="21"/>
                <w:szCs w:val="21"/>
                <w:color w:val="auto"/>
              </w:rPr>
            </w:pPr>
          </w:p>
        </w:tc>
      </w:tr>
      <w:tr>
        <w:trPr>
          <w:trHeight w:val="257"/>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77"/>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56,727</w:t>
            </w:r>
          </w:p>
        </w:tc>
        <w:tc>
          <w:tcPr>
            <w:tcW w:w="260" w:type="dxa"/>
            <w:vAlign w:val="bottom"/>
          </w:tcPr>
          <w:p>
            <w:pPr>
              <w:spacing w:after="0"/>
              <w:rPr>
                <w:sz w:val="24"/>
                <w:szCs w:val="24"/>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41,953</w:t>
            </w:r>
          </w:p>
        </w:tc>
        <w:tc>
          <w:tcPr>
            <w:tcW w:w="2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151,238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103,425</w:t>
            </w:r>
          </w:p>
        </w:tc>
        <w:tc>
          <w:tcPr>
            <w:tcW w:w="10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5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gridSpan w:val="8"/>
          </w:tcPr>
          <w:p>
            <w:pPr>
              <w:ind w:left="4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50"/>
        </w:trPr>
        <w:tc>
          <w:tcPr>
            <w:tcW w:w="5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Losses</w:t>
            </w: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8"/>
                <w:szCs w:val="18"/>
                <w:color w:val="auto"/>
              </w:rPr>
              <w:t>U.S.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(12,550 )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(4,101 )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(30,152 )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(16,092 )</w:t>
            </w:r>
          </w:p>
        </w:tc>
      </w:tr>
      <w:tr>
        <w:trPr>
          <w:trHeight w:val="25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(2,161 )</w:t>
            </w:r>
          </w:p>
        </w:tc>
        <w:tc>
          <w:tcPr>
            <w:tcW w:w="20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(2,082 )</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(7,324 )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(4,817 )</w:t>
            </w:r>
          </w:p>
        </w:tc>
      </w:tr>
      <w:tr>
        <w:trPr>
          <w:trHeight w:val="20"/>
        </w:trPr>
        <w:tc>
          <w:tcPr>
            <w:tcW w:w="59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(14,711 )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(6,183 )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(37,476 )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(20,909 )</w:t>
            </w:r>
          </w:p>
        </w:tc>
      </w:tr>
      <w:tr>
        <w:trPr>
          <w:trHeight w:val="20"/>
        </w:trPr>
        <w:tc>
          <w:tcPr>
            <w:tcW w:w="5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-1376680</wp:posOffset>
            </wp:positionV>
            <wp:extent cx="17145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-1376680</wp:posOffset>
            </wp:positionV>
            <wp:extent cx="14605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-1376680</wp:posOffset>
            </wp:positionV>
            <wp:extent cx="14605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1543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-193675</wp:posOffset>
            </wp:positionV>
            <wp:extent cx="14605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wp:posOffset>
            </wp:positionV>
            <wp:extent cx="13716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35" w:lineRule="exact"/>
        <w:rPr>
          <w:sz w:val="20"/>
          <w:szCs w:val="20"/>
          <w:color w:val="auto"/>
        </w:rPr>
      </w:pPr>
    </w:p>
    <w:p>
      <w:pPr>
        <w:ind w:right="200" w:firstLine="644"/>
        <w:spacing w:after="0" w:line="275" w:lineRule="auto"/>
        <w:rPr>
          <w:sz w:val="20"/>
          <w:szCs w:val="20"/>
          <w:color w:val="auto"/>
        </w:rPr>
      </w:pPr>
      <w:r>
        <w:rPr>
          <w:rFonts w:ascii="Arial" w:cs="Arial" w:eastAsia="Arial" w:hAnsi="Arial"/>
          <w:sz w:val="18"/>
          <w:szCs w:val="18"/>
          <w:color w:val="auto"/>
        </w:rPr>
        <w:t>Prior the Company's IPO on July 2, 2021, certain companies and/or affiliates of companies that were holders of the Company’s Convertible Preferred Stock acquired products and assemblies through the Xometry platform. These Convertible Preferred Stock converted to Class A common stock on July 2, 2021. As such, Xometry’s revenue, accounts receivable, and accounts payable include amounts from these companies and/or affiliates of these companies.</w:t>
      </w:r>
    </w:p>
    <w:p>
      <w:pPr>
        <w:spacing w:after="0" w:line="77" w:lineRule="exact"/>
        <w:rPr>
          <w:sz w:val="20"/>
          <w:szCs w:val="20"/>
          <w:color w:val="auto"/>
        </w:rPr>
      </w:pPr>
    </w:p>
    <w:p>
      <w:pPr>
        <w:ind w:right="140" w:firstLine="644"/>
        <w:spacing w:after="0" w:line="275" w:lineRule="auto"/>
        <w:rPr>
          <w:sz w:val="20"/>
          <w:szCs w:val="20"/>
          <w:color w:val="auto"/>
        </w:rPr>
      </w:pPr>
      <w:r>
        <w:rPr>
          <w:rFonts w:ascii="Arial" w:cs="Arial" w:eastAsia="Arial" w:hAnsi="Arial"/>
          <w:sz w:val="18"/>
          <w:szCs w:val="18"/>
          <w:color w:val="auto"/>
        </w:rPr>
        <w:t>For the nine months ended September 30, 2021, Xometry recognized $0.7 million from companies/and or affiliates of these companies. For the three months and nine months ended September 30, 2020, Xometry recognized revenue of approximately $0.2 million and $1.1 million, respectively from companies/and or affiliates of these companies. As December 31, 2020, the Company had approximately $0.4 million of accounts receivable from companies and/or affiliates of these companies.</w:t>
      </w:r>
    </w:p>
    <w:p>
      <w:pPr>
        <w:spacing w:after="0" w:line="77" w:lineRule="exact"/>
        <w:rPr>
          <w:sz w:val="20"/>
          <w:szCs w:val="20"/>
          <w:color w:val="auto"/>
        </w:rPr>
      </w:pPr>
    </w:p>
    <w:p>
      <w:pPr>
        <w:ind w:right="300" w:firstLine="779"/>
        <w:spacing w:after="0" w:line="293" w:lineRule="auto"/>
        <w:rPr>
          <w:sz w:val="20"/>
          <w:szCs w:val="20"/>
          <w:color w:val="auto"/>
        </w:rPr>
      </w:pPr>
      <w:r>
        <w:rPr>
          <w:rFonts w:ascii="Arial" w:cs="Arial" w:eastAsia="Arial" w:hAnsi="Arial"/>
          <w:sz w:val="18"/>
          <w:szCs w:val="18"/>
          <w:color w:val="auto"/>
        </w:rPr>
        <w:t>Certain companies and/or affiliates of companies that were holders of the Company’s Convertible Preferred Stock were no longer considered related parties after the IPO.</w:t>
      </w:r>
    </w:p>
    <w:p>
      <w:pPr>
        <w:spacing w:after="0" w:line="62" w:lineRule="exact"/>
        <w:rPr>
          <w:sz w:val="20"/>
          <w:szCs w:val="20"/>
          <w:color w:val="auto"/>
        </w:rPr>
      </w:pPr>
    </w:p>
    <w:p>
      <w:pPr>
        <w:ind w:right="80" w:firstLine="644"/>
        <w:spacing w:after="0" w:line="275" w:lineRule="auto"/>
        <w:rPr>
          <w:sz w:val="20"/>
          <w:szCs w:val="20"/>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("BIS") provided the Company with consulting services related to operating services. This agreement was terminated as of January 31, 2021.</w:t>
      </w:r>
    </w:p>
    <w:p>
      <w:pPr>
        <w:spacing w:after="0" w:line="77" w:lineRule="exact"/>
        <w:rPr>
          <w:sz w:val="20"/>
          <w:szCs w:val="20"/>
          <w:color w:val="auto"/>
        </w:rPr>
      </w:pPr>
    </w:p>
    <w:p>
      <w:pPr>
        <w:ind w:right="120" w:firstLine="644"/>
        <w:spacing w:after="0" w:line="279" w:lineRule="auto"/>
        <w:rPr>
          <w:sz w:val="20"/>
          <w:szCs w:val="20"/>
          <w:color w:val="auto"/>
        </w:rPr>
      </w:pPr>
      <w:r>
        <w:rPr>
          <w:rFonts w:ascii="Arial" w:cs="Arial" w:eastAsia="Arial" w:hAnsi="Arial"/>
          <w:sz w:val="18"/>
          <w:szCs w:val="18"/>
          <w:color w:val="auto"/>
        </w:rPr>
        <w:t>For the three months ended September 30, 2021, no amounts were paid to BIS. For the three months ended September 30, 2020, the Company paid BIS, approximately $0.1 million. As of September 30, 2021, the Company had no amounts payable to BIS. As of December 31, 2020, the Company had $0.1 million payable to BIS.</w:t>
      </w:r>
    </w:p>
    <w:p>
      <w:pPr>
        <w:spacing w:after="0" w:line="75" w:lineRule="exact"/>
        <w:rPr>
          <w:sz w:val="20"/>
          <w:szCs w:val="20"/>
          <w:color w:val="auto"/>
        </w:rPr>
      </w:pPr>
    </w:p>
    <w:p>
      <w:pPr>
        <w:jc w:val="center"/>
        <w:ind w:left="520" w:right="460"/>
        <w:spacing w:after="0" w:line="418" w:lineRule="auto"/>
        <w:rPr>
          <w:sz w:val="20"/>
          <w:szCs w:val="20"/>
          <w:color w:val="auto"/>
        </w:rPr>
      </w:pPr>
      <w:r>
        <w:rPr>
          <w:rFonts w:ascii="Arial" w:cs="Arial" w:eastAsia="Arial" w:hAnsi="Arial"/>
          <w:sz w:val="18"/>
          <w:szCs w:val="18"/>
          <w:color w:val="auto"/>
        </w:rPr>
        <w:t>For the nine months ended September 30, 2021 and 2020, the Company paid BIS, approximately $0.2 million and $0.2 million, respectively.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Goodwill and Intangible Assets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Company’s intangible assets (dollars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 in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carrying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192"/>
        </w:trPr>
        <w:tc>
          <w:tcPr>
            <w:tcW w:w="49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6"/>
                <w:szCs w:val="16"/>
                <w:color w:val="auto"/>
              </w:rPr>
            </w:pPr>
          </w:p>
        </w:tc>
      </w:tr>
      <w:tr>
        <w:trPr>
          <w:trHeight w:val="202"/>
        </w:trPr>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180"/>
              <w:spacing w:after="0"/>
              <w:rPr>
                <w:sz w:val="20"/>
                <w:szCs w:val="20"/>
                <w:color w:val="auto"/>
              </w:rPr>
            </w:pPr>
            <w:r>
              <w:rPr>
                <w:rFonts w:ascii="Arial" w:cs="Arial" w:eastAsia="Arial" w:hAnsi="Arial"/>
                <w:sz w:val="18"/>
                <w:szCs w:val="18"/>
                <w:color w:val="auto"/>
              </w:rPr>
              <w:t>Amortizing intangible assets: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 Compete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r>
      <w:tr>
        <w:trPr>
          <w:trHeight w:val="263"/>
        </w:trPr>
        <w:tc>
          <w:tcPr>
            <w:tcW w:w="4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Trade Names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Developed Technology</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Vendor Relationships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4940" w:type="dxa"/>
            <w:vAlign w:val="bottom"/>
          </w:tcPr>
          <w:p>
            <w:pPr>
              <w:ind w:left="540"/>
              <w:spacing w:after="0"/>
              <w:rPr>
                <w:sz w:val="20"/>
                <w:szCs w:val="20"/>
                <w:color w:val="auto"/>
              </w:rPr>
            </w:pPr>
            <w:r>
              <w:rPr>
                <w:rFonts w:ascii="Arial" w:cs="Arial" w:eastAsia="Arial" w:hAnsi="Arial"/>
                <w:sz w:val="18"/>
                <w:szCs w:val="18"/>
                <w:color w:val="auto"/>
              </w:rPr>
              <w:t>Total intangible assets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49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 in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carrying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192"/>
        </w:trPr>
        <w:tc>
          <w:tcPr>
            <w:tcW w:w="49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6"/>
                <w:szCs w:val="16"/>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180"/>
              <w:spacing w:after="0"/>
              <w:rPr>
                <w:sz w:val="20"/>
                <w:szCs w:val="20"/>
                <w:color w:val="auto"/>
              </w:rPr>
            </w:pPr>
            <w:r>
              <w:rPr>
                <w:rFonts w:ascii="Arial" w:cs="Arial" w:eastAsia="Arial" w:hAnsi="Arial"/>
                <w:sz w:val="18"/>
                <w:szCs w:val="18"/>
                <w:color w:val="auto"/>
              </w:rPr>
              <w:t>Amortizing intangible assets: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 Compete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r>
      <w:tr>
        <w:trPr>
          <w:trHeight w:val="263"/>
        </w:trPr>
        <w:tc>
          <w:tcPr>
            <w:tcW w:w="4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Trade Names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Developed Technology</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Vendor Relationships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4940" w:type="dxa"/>
            <w:vAlign w:val="bottom"/>
          </w:tcPr>
          <w:p>
            <w:pPr>
              <w:ind w:left="540"/>
              <w:spacing w:after="0"/>
              <w:rPr>
                <w:sz w:val="20"/>
                <w:szCs w:val="20"/>
                <w:color w:val="auto"/>
              </w:rPr>
            </w:pPr>
            <w:r>
              <w:rPr>
                <w:rFonts w:ascii="Arial" w:cs="Arial" w:eastAsia="Arial" w:hAnsi="Arial"/>
                <w:sz w:val="18"/>
                <w:szCs w:val="18"/>
                <w:color w:val="auto"/>
              </w:rPr>
              <w:t>Total intangible assets</w:t>
            </w:r>
          </w:p>
        </w:tc>
        <w:tc>
          <w:tcPr>
            <w:tcW w:w="1120" w:type="dxa"/>
            <w:vAlign w:val="bottom"/>
          </w:tcPr>
          <w:p>
            <w:pPr>
              <w:spacing w:after="0"/>
              <w:rPr>
                <w:sz w:val="21"/>
                <w:szCs w:val="21"/>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-2336800</wp:posOffset>
            </wp:positionV>
            <wp:extent cx="12890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-2336800</wp:posOffset>
            </wp:positionV>
            <wp:extent cx="1200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-2336800</wp:posOffset>
            </wp:positionV>
            <wp:extent cx="514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890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200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2021 and December 31, 2020, Xometry’s goodwill of $0.8 million is part of the Company's U.S. operating segment.</w:t>
      </w:r>
    </w:p>
    <w:p>
      <w:pPr>
        <w:spacing w:after="0" w:line="142" w:lineRule="exact"/>
        <w:rPr>
          <w:sz w:val="20"/>
          <w:szCs w:val="20"/>
          <w:color w:val="auto"/>
        </w:rPr>
      </w:pPr>
    </w:p>
    <w:p>
      <w:pPr>
        <w:ind w:right="160" w:firstLine="644"/>
        <w:spacing w:after="0" w:line="293" w:lineRule="auto"/>
        <w:rPr>
          <w:sz w:val="20"/>
          <w:szCs w:val="20"/>
          <w:color w:val="auto"/>
        </w:rPr>
      </w:pPr>
      <w:r>
        <w:rPr>
          <w:rFonts w:ascii="Arial" w:cs="Arial" w:eastAsia="Arial" w:hAnsi="Arial"/>
          <w:sz w:val="18"/>
          <w:szCs w:val="18"/>
          <w:color w:val="auto"/>
        </w:rPr>
        <w:t>As of September 30, 2021, estimated amortization expense for the remainder of 2021 and next five years is: $0.1 million in 2021, $0.3 million in 2022, $0.1 million in 2023, $0.1 million in 2024, $0.1 million in 2025 and $0.1 million in 2026.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three and nine months ended September 30, 2021 and 2020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60" w:type="dxa"/>
            <w:vAlign w:val="bottom"/>
          </w:tcPr>
          <w:p>
            <w:pPr>
              <w:spacing w:after="0"/>
              <w:rPr>
                <w:sz w:val="17"/>
                <w:szCs w:val="17"/>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4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r>
      <w:tr>
        <w:trPr>
          <w:trHeight w:val="25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130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197</w:t>
            </w:r>
          </w:p>
        </w:tc>
        <w:tc>
          <w:tcPr>
            <w:tcW w:w="1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12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-193675</wp:posOffset>
            </wp:positionV>
            <wp:extent cx="15430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-193675</wp:posOffset>
            </wp:positionV>
            <wp:extent cx="15430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wp:posOffset>
            </wp:positionV>
            <wp:extent cx="13716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(16) Subsequent Events</w:t>
      </w:r>
    </w:p>
    <w:p>
      <w:pPr>
        <w:spacing w:after="0" w:line="256" w:lineRule="exact"/>
        <w:rPr>
          <w:sz w:val="20"/>
          <w:szCs w:val="20"/>
          <w:color w:val="auto"/>
        </w:rPr>
      </w:pPr>
    </w:p>
    <w:p>
      <w:pPr>
        <w:ind w:firstLine="644"/>
        <w:spacing w:after="0" w:line="275" w:lineRule="auto"/>
        <w:rPr>
          <w:sz w:val="20"/>
          <w:szCs w:val="20"/>
          <w:color w:val="auto"/>
        </w:rPr>
      </w:pPr>
      <w:r>
        <w:rPr>
          <w:rFonts w:ascii="Arial" w:cs="Arial" w:eastAsia="Arial" w:hAnsi="Arial"/>
          <w:sz w:val="18"/>
          <w:szCs w:val="18"/>
          <w:color w:val="auto"/>
        </w:rPr>
        <w:t>On November 1, 2021, the Company acquired certain assets and liabilities from Big Blue Saw LLC ("Big Blue Saw"), subject to an Asset Purchase Agreement for total consideration of $2.5 million. The total consideration includes cash consideration at closing of $1.25 million, $250,000 of Class A common stock at closing and contingent consideration of $1.0 million. Big Blue Saw extends our marketplace capabilities in water jet and laser cutting.</w:t>
      </w:r>
    </w:p>
    <w:p>
      <w:pPr>
        <w:spacing w:after="0" w:line="199"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On November 5, 2021, the Company acquired certain assets and liabilities from Fusiform, Inc. (dba FactoryFour), subject to an Asset Purchase Agreement for total consideration of $6.3 million. The total consideration includes cash consideration at closing of $1.9 million, $1.9 million of Class A common stock at closing and contingent consideration of $2.5 million. FactoryFour will provide a SaaS based solution to help manufacturers in the Xometry marketplace improve lead times and make strong, data-driven decisions through real-time production tracking.</w:t>
      </w:r>
    </w:p>
    <w:p>
      <w:pPr>
        <w:spacing w:after="0" w:line="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80" w:firstLine="689"/>
        <w:spacing w:after="0" w:line="290"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this Quarterly Report on Form 10-Q. Our historical results are not necessarily indicative of the results that may be expected in the future and our current quarterly results are not necessarily indicative of the results expected for the full year or any other period.</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60" w:firstLine="644"/>
        <w:spacing w:after="0" w:line="290" w:lineRule="auto"/>
        <w:rPr>
          <w:sz w:val="20"/>
          <w:szCs w:val="20"/>
          <w:color w:val="auto"/>
        </w:rPr>
      </w:pPr>
      <w:r>
        <w:rPr>
          <w:rFonts w:ascii="Arial" w:cs="Arial" w:eastAsia="Arial" w:hAnsi="Arial"/>
          <w:sz w:val="17"/>
          <w:szCs w:val="17"/>
          <w:color w:val="auto"/>
        </w:rPr>
        <w:t>Xometry Inc. (“Xometry”, “Company”, "our" or "we")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135" w:lineRule="exact"/>
        <w:rPr>
          <w:sz w:val="20"/>
          <w:szCs w:val="20"/>
          <w:color w:val="auto"/>
        </w:rPr>
      </w:pPr>
    </w:p>
    <w:p>
      <w:pPr>
        <w:ind w:right="320" w:firstLine="644"/>
        <w:spacing w:after="0" w:line="359"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84" w:lineRule="exact"/>
        <w:rPr>
          <w:sz w:val="20"/>
          <w:szCs w:val="20"/>
          <w:color w:val="auto"/>
        </w:rPr>
      </w:pPr>
    </w:p>
    <w:p>
      <w:pPr>
        <w:ind w:right="400" w:firstLine="644"/>
        <w:spacing w:after="0" w:line="279"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156"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150"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150" w:lineRule="exact"/>
        <w:rPr>
          <w:sz w:val="20"/>
          <w:szCs w:val="20"/>
          <w:color w:val="auto"/>
        </w:rPr>
      </w:pPr>
    </w:p>
    <w:p>
      <w:pPr>
        <w:ind w:right="180" w:firstLine="644"/>
        <w:spacing w:after="0" w:line="275"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158" w:lineRule="exact"/>
        <w:rPr>
          <w:sz w:val="20"/>
          <w:szCs w:val="20"/>
          <w:color w:val="auto"/>
        </w:rPr>
      </w:pPr>
    </w:p>
    <w:p>
      <w:pPr>
        <w:ind w:firstLine="644"/>
        <w:spacing w:after="0" w:line="319" w:lineRule="auto"/>
        <w:rPr>
          <w:sz w:val="20"/>
          <w:szCs w:val="20"/>
          <w:color w:val="auto"/>
        </w:rPr>
      </w:pPr>
      <w:r>
        <w:rPr>
          <w:rFonts w:ascii="Arial" w:cs="Arial" w:eastAsia="Arial" w:hAnsi="Arial"/>
          <w:sz w:val="16"/>
          <w:szCs w:val="16"/>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w:t>
      </w:r>
    </w:p>
    <w:p>
      <w:pPr>
        <w:spacing w:after="0" w:line="115" w:lineRule="exact"/>
        <w:rPr>
          <w:sz w:val="20"/>
          <w:szCs w:val="20"/>
          <w:color w:val="auto"/>
        </w:rPr>
      </w:pPr>
    </w:p>
    <w:p>
      <w:pPr>
        <w:ind w:right="320" w:firstLine="644"/>
        <w:spacing w:after="0" w:line="329" w:lineRule="auto"/>
        <w:rPr>
          <w:sz w:val="20"/>
          <w:szCs w:val="20"/>
          <w:color w:val="auto"/>
        </w:rPr>
      </w:pPr>
      <w:r>
        <w:rPr>
          <w:rFonts w:ascii="Arial" w:cs="Arial" w:eastAsia="Arial" w:hAnsi="Arial"/>
          <w:sz w:val="16"/>
          <w:szCs w:val="16"/>
          <w:color w:val="auto"/>
        </w:rPr>
        <w:t>On July 2, 2021, the Company closed its planned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$4.0 million of other offering costs in connection with its IPO.</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2" w:name="page23"/>
    <w:bookmarkEnd w:id="22"/>
    <w:p>
      <w:pPr>
        <w:ind w:right="160" w:firstLine="644"/>
        <w:spacing w:after="0" w:line="329"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21" w:lineRule="exact"/>
        <w:rPr>
          <w:sz w:val="20"/>
          <w:szCs w:val="20"/>
          <w:color w:val="auto"/>
        </w:rPr>
      </w:pPr>
    </w:p>
    <w:p>
      <w:pPr>
        <w:ind w:right="80" w:firstLine="644"/>
        <w:spacing w:after="0" w:line="314" w:lineRule="auto"/>
        <w:rPr>
          <w:sz w:val="20"/>
          <w:szCs w:val="20"/>
          <w:color w:val="auto"/>
        </w:rPr>
      </w:pPr>
      <w:r>
        <w:rPr>
          <w:rFonts w:ascii="Arial" w:cs="Arial" w:eastAsia="Arial" w:hAnsi="Arial"/>
          <w:sz w:val="16"/>
          <w:szCs w:val="16"/>
          <w:color w:val="auto"/>
        </w:rPr>
        <w:t>Also on July 2, 2021, the Company reserved 402,658 shares of its Class A common stock, representing 1% of the Company's fully diluted capitalization as of the date of approval of our board of directors, for charitable contributions to non-profit organizations. These shares will be issued over the next five years, in an amount not to exceed 20% of the initial reserve amount per calendar year. During the third quarter of 2021, the Company donated 20,133 shares of Class A common stock to a donor advised fund and recognized an expense associated with the charitable contribution of approximately $1.2 million which is recorded in general and administrative expense in the Condensed Consolidated Statements of Operations and Comprehensive Loss.</w:t>
      </w:r>
    </w:p>
    <w:p>
      <w:pPr>
        <w:spacing w:after="0" w:line="119" w:lineRule="exact"/>
        <w:rPr>
          <w:sz w:val="20"/>
          <w:szCs w:val="20"/>
          <w:color w:val="auto"/>
        </w:rPr>
      </w:pPr>
    </w:p>
    <w:p>
      <w:pPr>
        <w:ind w:right="280" w:firstLine="644"/>
        <w:spacing w:after="0" w:line="275" w:lineRule="auto"/>
        <w:rPr>
          <w:sz w:val="20"/>
          <w:szCs w:val="20"/>
          <w:color w:val="auto"/>
        </w:rPr>
      </w:pPr>
      <w:r>
        <w:rPr>
          <w:rFonts w:ascii="Arial" w:cs="Arial" w:eastAsia="Arial" w:hAnsi="Arial"/>
          <w:sz w:val="18"/>
          <w:szCs w:val="18"/>
          <w:color w:val="auto"/>
        </w:rPr>
        <w:t>On November 1, 2021, the Company acquired certain assets and liabilities from Big Blue Saw LLC ("Big Blue Saw"), subject to an Asset Purchase Agreement for total consideration of $2.5 million. The total consideration includes cash consideration at closing of $1.25 million, $250,000 of Class A common stock at closing and contingent consideration of $1.0 million. Big Blue Saw extends our marketplace capabilities in water jet and laser cutting.</w:t>
      </w:r>
    </w:p>
    <w:p>
      <w:pPr>
        <w:spacing w:after="0" w:line="145" w:lineRule="exact"/>
        <w:rPr>
          <w:sz w:val="20"/>
          <w:szCs w:val="20"/>
          <w:color w:val="auto"/>
        </w:rPr>
      </w:pPr>
    </w:p>
    <w:p>
      <w:pPr>
        <w:ind w:right="280" w:firstLine="644"/>
        <w:spacing w:after="0" w:line="296" w:lineRule="auto"/>
        <w:rPr>
          <w:sz w:val="20"/>
          <w:szCs w:val="20"/>
          <w:color w:val="auto"/>
        </w:rPr>
      </w:pPr>
      <w:r>
        <w:rPr>
          <w:rFonts w:ascii="Arial" w:cs="Arial" w:eastAsia="Arial" w:hAnsi="Arial"/>
          <w:sz w:val="17"/>
          <w:szCs w:val="17"/>
          <w:color w:val="auto"/>
        </w:rPr>
        <w:t>On November 5, 2021, the Company acquired certain assets and liabilities from Fusiform, Inc. (dba FactoryFour), subject to an Asset Purchase Agreement for total consideration of $6.3 million. The total consideration includes cash consideration at closing of $1.9 million, $1.9 million of Class A common stock at closing and contingent consideration of $2.5 million. FactoryFour will provide a SAAS based solution to help manufacturers in the Xometry marketplace improve lead times and make strong, data-driven decisions through real-time production tracking.</w:t>
      </w:r>
    </w:p>
    <w:p>
      <w:pPr>
        <w:spacing w:after="0" w:line="62" w:lineRule="exact"/>
        <w:rPr>
          <w:sz w:val="20"/>
          <w:szCs w:val="20"/>
          <w:color w:val="auto"/>
        </w:rPr>
      </w:pPr>
    </w:p>
    <w:p>
      <w:pPr>
        <w:ind w:right="80" w:firstLine="636"/>
        <w:spacing w:after="0" w:line="287" w:lineRule="auto"/>
        <w:rPr>
          <w:sz w:val="20"/>
          <w:szCs w:val="20"/>
          <w:color w:val="auto"/>
        </w:rPr>
      </w:pPr>
      <w:r>
        <w:rPr>
          <w:rFonts w:ascii="Arial" w:cs="Arial" w:eastAsia="Arial" w:hAnsi="Arial"/>
          <w:sz w:val="17"/>
          <w:szCs w:val="17"/>
          <w:color w:val="auto"/>
        </w:rPr>
        <w:t>The on-going COVID-19 pandemic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included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took were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357" w:lineRule="exact"/>
        <w:rPr>
          <w:sz w:val="20"/>
          <w:szCs w:val="20"/>
          <w:color w:val="auto"/>
        </w:rPr>
      </w:pPr>
    </w:p>
    <w:p>
      <w:pPr>
        <w:ind w:right="480" w:firstLine="636"/>
        <w:spacing w:after="0" w:line="293" w:lineRule="auto"/>
        <w:rPr>
          <w:sz w:val="20"/>
          <w:szCs w:val="20"/>
          <w:color w:val="auto"/>
        </w:rPr>
      </w:pPr>
      <w:r>
        <w:rPr>
          <w:rFonts w:ascii="Arial" w:cs="Arial" w:eastAsia="Arial" w:hAnsi="Arial"/>
          <w:sz w:val="18"/>
          <w:szCs w:val="18"/>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0" w:lineRule="exact"/>
        <w:rPr>
          <w:sz w:val="20"/>
          <w:szCs w:val="20"/>
          <w:color w:val="auto"/>
        </w:rPr>
      </w:pPr>
    </w:p>
    <w:p>
      <w:pPr>
        <w:ind w:right="260" w:firstLine="636"/>
        <w:spacing w:after="0" w:line="359" w:lineRule="auto"/>
        <w:rPr>
          <w:sz w:val="20"/>
          <w:szCs w:val="20"/>
          <w:color w:val="auto"/>
        </w:rPr>
      </w:pPr>
      <w:r>
        <w:rPr>
          <w:rFonts w:ascii="Arial" w:cs="Arial" w:eastAsia="Arial" w:hAnsi="Arial"/>
          <w:sz w:val="16"/>
          <w:szCs w:val="16"/>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43"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filing, we use the following key operational and business metrics to help us evaluate our business, measure our performance, identify trends affecting our business, formulate business plans and develop forecasts, and make strategic decisions: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31" w:lineRule="exact"/>
        <w:rPr>
          <w:sz w:val="20"/>
          <w:szCs w:val="20"/>
          <w:color w:val="auto"/>
        </w:rPr>
      </w:pPr>
    </w:p>
    <w:p>
      <w:pPr>
        <w:ind w:right="340" w:firstLine="636"/>
        <w:spacing w:after="0" w:line="359"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25"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26,187 as of September 30, 2021, up 61% from 16,266 as of September 30,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150495</wp:posOffset>
            </wp:positionV>
            <wp:extent cx="4757420" cy="32486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5742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31" w:lineRule="exact"/>
        <w:rPr>
          <w:sz w:val="20"/>
          <w:szCs w:val="20"/>
          <w:color w:val="auto"/>
        </w:rPr>
      </w:pPr>
    </w:p>
    <w:p>
      <w:pPr>
        <w:ind w:firstLine="636"/>
        <w:spacing w:after="0" w:line="290"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76" w:lineRule="exact"/>
        <w:rPr>
          <w:sz w:val="20"/>
          <w:szCs w:val="20"/>
          <w:color w:val="auto"/>
        </w:rPr>
      </w:pPr>
    </w:p>
    <w:p>
      <w:pPr>
        <w:ind w:right="360" w:firstLine="644"/>
        <w:spacing w:after="0" w:line="359" w:lineRule="auto"/>
        <w:rPr>
          <w:sz w:val="20"/>
          <w:szCs w:val="20"/>
          <w:color w:val="auto"/>
        </w:rPr>
      </w:pPr>
      <w:r>
        <w:rPr>
          <w:rFonts w:ascii="Arial" w:cs="Arial" w:eastAsia="Arial" w:hAnsi="Arial"/>
          <w:sz w:val="16"/>
          <w:szCs w:val="16"/>
          <w:color w:val="auto"/>
        </w:rPr>
        <w:t>For the quarter ended September 30,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113665</wp:posOffset>
            </wp:positionV>
            <wp:extent cx="4723130" cy="32658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2313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31" w:lineRule="exact"/>
        <w:rPr>
          <w:sz w:val="20"/>
          <w:szCs w:val="20"/>
          <w:color w:val="auto"/>
        </w:rPr>
      </w:pPr>
    </w:p>
    <w:p>
      <w:pPr>
        <w:ind w:right="20" w:firstLine="644"/>
        <w:spacing w:after="0" w:line="319" w:lineRule="auto"/>
        <w:rPr>
          <w:sz w:val="20"/>
          <w:szCs w:val="20"/>
          <w:color w:val="auto"/>
        </w:rPr>
      </w:pPr>
      <w:r>
        <w:rPr>
          <w:rFonts w:ascii="Arial" w:cs="Arial" w:eastAsia="Arial" w:hAnsi="Arial"/>
          <w:sz w:val="16"/>
          <w:szCs w:val="16"/>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603 as of September 30, 2021, up 67% from 361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133985</wp:posOffset>
            </wp:positionV>
            <wp:extent cx="4723130" cy="32486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2313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ind w:right="200" w:firstLine="636"/>
        <w:spacing w:after="0" w:line="275" w:lineRule="auto"/>
        <w:rPr>
          <w:sz w:val="20"/>
          <w:szCs w:val="20"/>
          <w:color w:val="auto"/>
        </w:rPr>
      </w:pPr>
      <w:r>
        <w:rPr>
          <w:rFonts w:ascii="Arial" w:cs="Arial" w:eastAsia="Arial" w:hAnsi="Arial"/>
          <w:sz w:val="18"/>
          <w:szCs w:val="18"/>
          <w:color w:val="auto"/>
        </w:rPr>
        <w:t>We define Adjusted EBITDA as net income (loss), adjusted to exclude interest expense, interest and dividend income and other expense, depreciation and amortization, stock-based compensation expense, charitable contributions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77" w:lineRule="exact"/>
        <w:rPr>
          <w:sz w:val="20"/>
          <w:szCs w:val="20"/>
          <w:color w:val="auto"/>
        </w:rPr>
      </w:pPr>
    </w:p>
    <w:p>
      <w:pPr>
        <w:ind w:firstLine="644"/>
        <w:spacing w:after="0" w:line="303" w:lineRule="auto"/>
        <w:rPr>
          <w:sz w:val="20"/>
          <w:szCs w:val="20"/>
          <w:color w:val="auto"/>
        </w:rPr>
      </w:pPr>
      <w:r>
        <w:rPr>
          <w:rFonts w:ascii="Arial" w:cs="Arial" w:eastAsia="Arial" w:hAnsi="Arial"/>
          <w:sz w:val="17"/>
          <w:szCs w:val="17"/>
          <w:color w:val="auto"/>
        </w:rPr>
        <w:t>For the three months ended September 30, 2021, Adjusted EBITDA increased to $(10.0) million, compared to Adjusted EBITDA of $(4.6) million for the same quarter in 2020. For the quarter ended September 30, 2021, Adjusted EBITDA increased to (18)% of revenue, as compared to (11)% of revenue for the same quarter in 2020, driven primarily by higher operating expenses as we continue to scale our business.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6" w:name="page27"/>
    <w:bookmarkEnd w:id="26"/>
    <w:p>
      <w:pPr>
        <w:ind w:right="340" w:firstLine="644"/>
        <w:spacing w:after="0" w:line="329" w:lineRule="auto"/>
        <w:rPr>
          <w:sz w:val="20"/>
          <w:szCs w:val="20"/>
          <w:color w:val="auto"/>
        </w:rPr>
      </w:pPr>
      <w:r>
        <w:rPr>
          <w:rFonts w:ascii="Arial" w:cs="Arial" w:eastAsia="Arial" w:hAnsi="Arial"/>
          <w:sz w:val="16"/>
          <w:szCs w:val="16"/>
          <w:color w:val="auto"/>
        </w:rPr>
        <w:t>For the nine months ended September 30, 2021, Adjusted EBITDA increased to $(27.9) million, compared to Adjusted EBITDA of $(16.9) million for the same period in 2020. For the nine months ended September 30, 2021, Adjusted EBITDA increased to (18)% of revenue, as compared to (16)% of revenue for the same period in 2020, driven primarily by higher operating expenses as we continue to scale our business.</w:t>
      </w:r>
    </w:p>
    <w:p>
      <w:pPr>
        <w:spacing w:after="0" w:line="148"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filing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6"/>
                <w:szCs w:val="16"/>
                <w:color w:val="auto"/>
              </w:rPr>
            </w:pPr>
          </w:p>
        </w:tc>
        <w:tc>
          <w:tcPr>
            <w:tcW w:w="2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6"/>
        </w:trPr>
        <w:tc>
          <w:tcPr>
            <w:tcW w:w="53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(14,711 )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(6,183 )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(37,476 )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(20,909 )</w:t>
            </w: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Addback</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Interest expense, interest and dividend income and other expenses</w:t>
            </w: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FF0FC"/>
          </w:tcPr>
          <w:p>
            <w:pPr>
              <w:spacing w:after="0"/>
              <w:rPr>
                <w:sz w:val="22"/>
                <w:szCs w:val="22"/>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r>
      <w:tr>
        <w:trPr>
          <w:trHeight w:val="26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Charitable contribution of common stock</w:t>
            </w: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r>
      <w:tr>
        <w:trPr>
          <w:trHeight w:val="27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(10,024 )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(27,905 )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(16,910 )</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543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1543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1543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1543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543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543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160" w:firstLine="636"/>
        <w:spacing w:after="0" w:line="296" w:lineRule="auto"/>
        <w:rPr>
          <w:sz w:val="20"/>
          <w:szCs w:val="20"/>
          <w:color w:val="auto"/>
        </w:rPr>
      </w:pPr>
      <w:r>
        <w:rPr>
          <w:rFonts w:ascii="Arial" w:cs="Arial" w:eastAsia="Arial" w:hAnsi="Arial"/>
          <w:sz w:val="17"/>
          <w:szCs w:val="17"/>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firstLine="636"/>
        <w:spacing w:after="0" w:line="275"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1" w:lineRule="exact"/>
        <w:rPr>
          <w:sz w:val="20"/>
          <w:szCs w:val="20"/>
          <w:color w:val="auto"/>
        </w:rPr>
      </w:pPr>
    </w:p>
    <w:p>
      <w:pPr>
        <w:ind w:right="220" w:firstLine="636"/>
        <w:spacing w:after="0" w:line="279"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60" w:firstLine="644"/>
        <w:spacing w:after="0" w:line="290" w:lineRule="auto"/>
        <w:rPr>
          <w:sz w:val="20"/>
          <w:szCs w:val="20"/>
          <w:color w:val="auto"/>
        </w:rPr>
      </w:pPr>
      <w:r>
        <w:rPr>
          <w:rFonts w:ascii="Arial" w:cs="Arial" w:eastAsia="Arial" w:hAnsi="Arial"/>
          <w:sz w:val="17"/>
          <w:szCs w:val="17"/>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120" w:firstLine="636"/>
        <w:spacing w:after="0" w:line="29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120" w:firstLine="636"/>
        <w:spacing w:after="0" w:line="272"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firstLine="636"/>
        <w:spacing w:after="0" w:line="272" w:lineRule="auto"/>
        <w:rPr>
          <w:sz w:val="20"/>
          <w:szCs w:val="20"/>
          <w:color w:val="auto"/>
        </w:rPr>
      </w:pPr>
      <w:r>
        <w:rPr>
          <w:rFonts w:ascii="Arial" w:cs="Arial" w:eastAsia="Arial" w:hAnsi="Arial"/>
          <w:sz w:val="18"/>
          <w:szCs w:val="18"/>
          <w:color w:val="auto"/>
        </w:rPr>
        <w:t>General and administrative expenses primarily consist of professional service fees, public company costs, charitable contributions and certain depreciation and amortization expense. It also includes compensation expenses, including stock-based compensation expenses, for executive, finance, legal and other administrative personnel.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jc w:val="both"/>
        <w:ind w:right="200" w:firstLine="636"/>
        <w:spacing w:after="0" w:line="303" w:lineRule="auto"/>
        <w:rPr>
          <w:sz w:val="20"/>
          <w:szCs w:val="20"/>
          <w:color w:val="auto"/>
        </w:rPr>
      </w:pPr>
      <w:r>
        <w:rPr>
          <w:rFonts w:ascii="Arial" w:cs="Arial" w:eastAsia="Arial" w:hAnsi="Arial"/>
          <w:sz w:val="17"/>
          <w:szCs w:val="17"/>
          <w:color w:val="auto"/>
        </w:rPr>
        <w:t>Interest expense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 On July 9, 2021, we repaid our $15.0 million term loan.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dividend income consists of interest on our cash and cash equivalents and dividend income from our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consist primarily of unrealized losses, losses on the extinguishment of debt and other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statement of operations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8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56,727</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42,233</w:t>
            </w:r>
          </w:p>
        </w:tc>
        <w:tc>
          <w:tcPr>
            <w:tcW w:w="2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9,828</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Operations and support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2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(14,263 )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(5,767 )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 income: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(79 )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(309 )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(786 )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(109 )</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(448 )</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(14,711 )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(6,183 )</w:t>
            </w:r>
          </w:p>
        </w:tc>
      </w:tr>
      <w:tr>
        <w:trPr>
          <w:trHeight w:val="25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Deemed dividend to preferred stockholders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(8,801 )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(14,711 )</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(14,984 )</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-1522095</wp:posOffset>
            </wp:positionV>
            <wp:extent cx="1803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-1522095</wp:posOffset>
            </wp:positionV>
            <wp:extent cx="5969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-527685</wp:posOffset>
            </wp:positionV>
            <wp:extent cx="1803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-527685</wp:posOffset>
            </wp:positionV>
            <wp:extent cx="5969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803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periods indicated:</w:t>
      </w:r>
    </w:p>
    <w:p>
      <w:pPr>
        <w:spacing w:after="0" w:line="298"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20574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r>
      <w:tr>
        <w:trPr>
          <w:trHeight w:val="256"/>
        </w:trPr>
        <w:tc>
          <w:tcPr>
            <w:tcW w:w="8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3"/>
              </w:rPr>
              <w:t>100.0 %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74.4 %</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75.7 %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25.6 %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540" w:type="dxa"/>
            <w:vAlign w:val="bottom"/>
            <w:tcBorders>
              <w:top w:val="single" w:sz="8" w:color="CFF0FC"/>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17.3 %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14.3 %</w:t>
            </w:r>
          </w:p>
        </w:tc>
      </w:tr>
      <w:tr>
        <w:trPr>
          <w:trHeight w:val="250"/>
        </w:trPr>
        <w:tc>
          <w:tcPr>
            <w:tcW w:w="8540" w:type="dxa"/>
            <w:vAlign w:val="bottom"/>
            <w:gridSpan w:val="2"/>
          </w:tcPr>
          <w:p>
            <w:pPr>
              <w:ind w:left="200"/>
              <w:spacing w:after="0"/>
              <w:rPr>
                <w:sz w:val="20"/>
                <w:szCs w:val="20"/>
                <w:color w:val="auto"/>
              </w:rPr>
            </w:pPr>
            <w:r>
              <w:rPr>
                <w:rFonts w:ascii="Arial" w:cs="Arial" w:eastAsia="Arial" w:hAnsi="Arial"/>
                <w:sz w:val="18"/>
                <w:szCs w:val="18"/>
                <w:color w:val="auto"/>
              </w:rPr>
              <w:t>Operations and support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10.2 %</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8.8 %</w:t>
            </w: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7.7 %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15.5 %</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7.8 %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50.7 %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(25.1 )%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(13.8 )%</w:t>
            </w:r>
          </w:p>
        </w:tc>
      </w:tr>
      <w:tr>
        <w:trPr>
          <w:trHeight w:val="263"/>
        </w:trPr>
        <w:tc>
          <w:tcPr>
            <w:tcW w:w="8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(expenses) income:</w:t>
            </w:r>
          </w:p>
        </w:tc>
        <w:tc>
          <w:tcPr>
            <w:tcW w:w="4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85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(0.7 )%</w:t>
            </w: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0.7 %</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(0.3 )%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(0.8 )%</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(25.9 )%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(14.8 )%</w:t>
            </w:r>
          </w:p>
        </w:tc>
      </w:tr>
      <w:tr>
        <w:trPr>
          <w:trHeight w:val="25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Deemed dividend to preferred stockholders</w:t>
            </w:r>
          </w:p>
        </w:tc>
        <w:tc>
          <w:tcPr>
            <w:tcW w:w="9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 %</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(21.0 )%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(25.9 )%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(35.8 )%</w:t>
            </w:r>
          </w:p>
        </w:tc>
      </w:tr>
      <w:tr>
        <w:trPr>
          <w:trHeight w:val="20"/>
        </w:trPr>
        <w:tc>
          <w:tcPr>
            <w:tcW w:w="7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-2516505</wp:posOffset>
            </wp:positionV>
            <wp:extent cx="3429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-2516505</wp:posOffset>
            </wp:positionV>
            <wp:extent cx="22288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-1522095</wp:posOffset>
            </wp:positionV>
            <wp:extent cx="3429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-1522095</wp:posOffset>
            </wp:positionV>
            <wp:extent cx="22288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-527685</wp:posOffset>
            </wp:positionV>
            <wp:extent cx="3429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-527685</wp:posOffset>
            </wp:positionV>
            <wp:extent cx="22288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-193675</wp:posOffset>
            </wp:positionV>
            <wp:extent cx="3429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-193675</wp:posOffset>
            </wp:positionV>
            <wp:extent cx="22288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jc w:val="both"/>
        <w:ind w:right="220" w:firstLine="644"/>
        <w:spacing w:after="0" w:line="275" w:lineRule="auto"/>
        <w:rPr>
          <w:sz w:val="20"/>
          <w:szCs w:val="20"/>
          <w:color w:val="auto"/>
        </w:rPr>
      </w:pPr>
      <w:r>
        <w:rPr>
          <w:rFonts w:ascii="Arial" w:cs="Arial" w:eastAsia="Arial" w:hAnsi="Arial"/>
          <w:sz w:val="18"/>
          <w:szCs w:val="18"/>
          <w:color w:val="auto"/>
        </w:rPr>
        <w:t>Total revenue increased $14.8 million, or 35%, from $42.0 million for the three months ended September 30, 2020 to $56.7 million for the three months ended September 30, 2021. This increase was primarily the result of a 61% increase in the number of active buyers resulting from investment in sales and marketing, as well as existing buyers increasing their spend on the platform for the three months ended September 30, 2021 as compared to the prior year period.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970" w:gutter="0" w:footer="0" w:header="0"/>
        </w:sectPr>
      </w:pPr>
    </w:p>
    <w:bookmarkStart w:id="29" w:name="page30"/>
    <w:bookmarkEnd w:id="29"/>
    <w:p>
      <w:pPr>
        <w:ind w:right="360" w:firstLine="636"/>
        <w:spacing w:after="0" w:line="293" w:lineRule="auto"/>
        <w:rPr>
          <w:sz w:val="20"/>
          <w:szCs w:val="20"/>
          <w:color w:val="auto"/>
        </w:rPr>
      </w:pPr>
      <w:r>
        <w:rPr>
          <w:rFonts w:ascii="Arial" w:cs="Arial" w:eastAsia="Arial" w:hAnsi="Arial"/>
          <w:sz w:val="18"/>
          <w:szCs w:val="18"/>
          <w:color w:val="auto"/>
        </w:rPr>
        <w:t>Total revenue from our U.S. and Europe operating segments for the three months ended September 30, 2021 and 2020, was $51.7 million and $41.1 million, for the U.S. respectively, and $5.0 million and $0.8 million, for Europe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120" w:firstLine="636"/>
        <w:spacing w:after="0" w:line="279" w:lineRule="auto"/>
        <w:rPr>
          <w:sz w:val="20"/>
          <w:szCs w:val="20"/>
          <w:color w:val="auto"/>
        </w:rPr>
      </w:pPr>
      <w:r>
        <w:rPr>
          <w:rFonts w:ascii="Arial" w:cs="Arial" w:eastAsia="Arial" w:hAnsi="Arial"/>
          <w:sz w:val="18"/>
          <w:szCs w:val="18"/>
          <w:color w:val="auto"/>
        </w:rPr>
        <w:t>Total cost of revenue increased $10.5 million, or 33%, from $31.8 million for the period ended September 30, 2020 to $42.2 million for the three months ended September 30, 2021. This increase was primarily the result of an increase in payments to sellers on our platform due to the growth in our buyer base and increased activity by existing accounts on our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31" w:lineRule="exact"/>
        <w:rPr>
          <w:sz w:val="20"/>
          <w:szCs w:val="20"/>
          <w:color w:val="auto"/>
        </w:rPr>
      </w:pPr>
    </w:p>
    <w:p>
      <w:pPr>
        <w:ind w:right="380" w:firstLine="636"/>
        <w:spacing w:after="0" w:line="324" w:lineRule="auto"/>
        <w:rPr>
          <w:sz w:val="20"/>
          <w:szCs w:val="20"/>
          <w:color w:val="auto"/>
        </w:rPr>
      </w:pPr>
      <w:r>
        <w:rPr>
          <w:rFonts w:ascii="Arial" w:cs="Arial" w:eastAsia="Arial" w:hAnsi="Arial"/>
          <w:sz w:val="17"/>
          <w:szCs w:val="17"/>
          <w:color w:val="auto"/>
        </w:rPr>
        <w:t>Gross profit increased $4.3 million, or 42%, from $10.2 million for the three months ended September 30, 2020 to $14.5 million for the three months ended September 30, 2021. The increase in gross profit was primarily due to the increase in revenue described above.</w:t>
      </w:r>
    </w:p>
    <w:p>
      <w:pPr>
        <w:spacing w:after="0" w:line="39" w:lineRule="exact"/>
        <w:rPr>
          <w:sz w:val="20"/>
          <w:szCs w:val="20"/>
          <w:color w:val="auto"/>
        </w:rPr>
      </w:pPr>
    </w:p>
    <w:p>
      <w:pPr>
        <w:ind w:right="280" w:firstLine="636"/>
        <w:spacing w:after="0" w:line="303" w:lineRule="auto"/>
        <w:rPr>
          <w:sz w:val="20"/>
          <w:szCs w:val="20"/>
          <w:color w:val="auto"/>
        </w:rPr>
      </w:pPr>
      <w:r>
        <w:rPr>
          <w:rFonts w:ascii="Arial" w:cs="Arial" w:eastAsia="Arial" w:hAnsi="Arial"/>
          <w:sz w:val="17"/>
          <w:szCs w:val="17"/>
          <w:color w:val="auto"/>
        </w:rPr>
        <w:t>Gross margin improved to 25.6% for the three months ended September 30, 2021 from 24.3% for the three months ended September 30, 2020. Our AI-driven platform pricing has become more efficient due to the increased number of orders, improving the data set and thus making our pricing decisions more accurate. Additionally, we continue to grow our active sellers resulting in a lower cost of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20" w:firstLine="636"/>
        <w:spacing w:after="0" w:line="272" w:lineRule="auto"/>
        <w:rPr>
          <w:sz w:val="20"/>
          <w:szCs w:val="20"/>
          <w:color w:val="auto"/>
        </w:rPr>
      </w:pPr>
      <w:r>
        <w:rPr>
          <w:rFonts w:ascii="Arial" w:cs="Arial" w:eastAsia="Arial" w:hAnsi="Arial"/>
          <w:sz w:val="18"/>
          <w:szCs w:val="18"/>
          <w:color w:val="auto"/>
        </w:rPr>
        <w:t>Sales and marketing expense increased $3.8 million, or 64%, from $6.0 million for the three months ended September 30, 2020 to $9.8 million for the three months ended September 30, 2021, a result of continued investment to drive revenue growth, our hiring of additional employees and increased stock based compensation expense primarily related to options granted in the second quarter of 2021, as compared to the corresponding period in the prior year. As a percent of total revenue, sales and marketing expenses increased to 17% for the three months ended September 30, 2021 from 14% for the three months ended September 30, 2020.</w:t>
      </w:r>
    </w:p>
    <w:p>
      <w:pPr>
        <w:spacing w:after="0" w:line="83" w:lineRule="exact"/>
        <w:rPr>
          <w:sz w:val="20"/>
          <w:szCs w:val="20"/>
          <w:color w:val="auto"/>
        </w:rPr>
      </w:pPr>
    </w:p>
    <w:p>
      <w:pPr>
        <w:ind w:right="220" w:firstLine="636"/>
        <w:spacing w:after="0" w:line="293" w:lineRule="auto"/>
        <w:rPr>
          <w:sz w:val="20"/>
          <w:szCs w:val="20"/>
          <w:color w:val="auto"/>
        </w:rPr>
      </w:pPr>
      <w:r>
        <w:rPr>
          <w:rFonts w:ascii="Arial" w:cs="Arial" w:eastAsia="Arial" w:hAnsi="Arial"/>
          <w:sz w:val="18"/>
          <w:szCs w:val="18"/>
          <w:color w:val="auto"/>
        </w:rPr>
        <w:t>For the three months ended September 30, 2021 and 2020, stock based compensation expense recorded in sales and marketing was $0.3 million and $46,000,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160" w:firstLine="636"/>
        <w:spacing w:after="0" w:line="272" w:lineRule="auto"/>
        <w:rPr>
          <w:sz w:val="20"/>
          <w:szCs w:val="20"/>
          <w:color w:val="auto"/>
        </w:rPr>
      </w:pPr>
      <w:r>
        <w:rPr>
          <w:rFonts w:ascii="Arial" w:cs="Arial" w:eastAsia="Arial" w:hAnsi="Arial"/>
          <w:sz w:val="18"/>
          <w:szCs w:val="18"/>
          <w:color w:val="auto"/>
        </w:rPr>
        <w:t>Operations and support increased $2.1 million, or 57%, from $3.7 million for the three months ended September 30, 2020 to $5.8 million for the three months ended September 30, 2021, primarily as a result of additional employees hired to support the growth of buyer and seller activity on our platform, and increased stock based compensation expense primarily related to options granted in the second quarter of 2021, as compared to the corresponding period in the prior year. As a percent of total revenue, operations and support expenses increased to 10% for the three months ended September 30, 2021 from 9% for the three months ended September 30, 2020.</w:t>
      </w:r>
    </w:p>
    <w:p>
      <w:pPr>
        <w:spacing w:after="0" w:line="83" w:lineRule="exact"/>
        <w:rPr>
          <w:sz w:val="20"/>
          <w:szCs w:val="20"/>
          <w:color w:val="auto"/>
        </w:rPr>
      </w:pPr>
    </w:p>
    <w:p>
      <w:pPr>
        <w:ind w:firstLine="636"/>
        <w:spacing w:after="0" w:line="293" w:lineRule="auto"/>
        <w:rPr>
          <w:sz w:val="20"/>
          <w:szCs w:val="20"/>
          <w:color w:val="auto"/>
        </w:rPr>
      </w:pPr>
      <w:r>
        <w:rPr>
          <w:rFonts w:ascii="Arial" w:cs="Arial" w:eastAsia="Arial" w:hAnsi="Arial"/>
          <w:sz w:val="18"/>
          <w:szCs w:val="18"/>
          <w:color w:val="auto"/>
        </w:rPr>
        <w:t>For the three months ended September 30, 2021 and 2020, stock based compensation expense recorded in operations and support was $0.7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200" w:firstLine="636"/>
        <w:spacing w:after="0" w:line="319" w:lineRule="auto"/>
        <w:rPr>
          <w:sz w:val="20"/>
          <w:szCs w:val="20"/>
          <w:color w:val="auto"/>
        </w:rPr>
      </w:pPr>
      <w:r>
        <w:rPr>
          <w:rFonts w:ascii="Arial" w:cs="Arial" w:eastAsia="Arial" w:hAnsi="Arial"/>
          <w:sz w:val="16"/>
          <w:szCs w:val="16"/>
          <w:color w:val="auto"/>
        </w:rPr>
        <w:t>Product development expense increased $1.4 million, or 46%, from $3.0 million for the three months ended September 30, 2020 to $4.4 million for the three months ended September 30, 2021, a result of additional employees and increased stock based compensation expense primarily related to options granted in the second quarter of 2021, as compared to the corresponding period in the prior year. As a percent of total revenue, product development expenses increased to 8% for the three months ended September 30, 2021 from 7% for the three months ended September 30, 2020.</w:t>
      </w:r>
    </w:p>
    <w:p>
      <w:pPr>
        <w:spacing w:after="0" w:line="48" w:lineRule="exact"/>
        <w:rPr>
          <w:sz w:val="20"/>
          <w:szCs w:val="20"/>
          <w:color w:val="auto"/>
        </w:rPr>
      </w:pPr>
    </w:p>
    <w:p>
      <w:pPr>
        <w:ind w:right="120" w:firstLine="636"/>
        <w:spacing w:after="0" w:line="293" w:lineRule="auto"/>
        <w:rPr>
          <w:sz w:val="20"/>
          <w:szCs w:val="20"/>
          <w:color w:val="auto"/>
        </w:rPr>
      </w:pPr>
      <w:r>
        <w:rPr>
          <w:rFonts w:ascii="Arial" w:cs="Arial" w:eastAsia="Arial" w:hAnsi="Arial"/>
          <w:sz w:val="18"/>
          <w:szCs w:val="18"/>
          <w:color w:val="auto"/>
        </w:rPr>
        <w:t>For the three months ended September 30, 2021 and 2020, stock based compensation expense recorded in product development was $0.5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120" w:firstLine="636"/>
        <w:spacing w:after="0" w:line="290" w:lineRule="auto"/>
        <w:rPr>
          <w:sz w:val="20"/>
          <w:szCs w:val="20"/>
          <w:color w:val="auto"/>
        </w:rPr>
      </w:pPr>
      <w:r>
        <w:rPr>
          <w:rFonts w:ascii="Arial" w:cs="Arial" w:eastAsia="Arial" w:hAnsi="Arial"/>
          <w:sz w:val="17"/>
          <w:szCs w:val="17"/>
          <w:color w:val="auto"/>
        </w:rPr>
        <w:t>General and administrative expense increased $5.5 million, or 167%, from $3.3 million for the three months ended September 30, 2020 to $8.8 million for the three months ended September 30, 2021, primarily as a result of an increase in compensation-related expenses, including increased stock based compensation, additional legal, accounting and financial headcount and third party expenses in preparation for becoming a public company, as well as additional overhead expenses to support the growth of our business operations. During the third quarter of 2021, the Company also made charitable contributions of $1.2 million. As a percent of total revenue, general and administrative expenses increased to 16% for the for the three months ended September 30, 2021 from 8% for the three months ended September 30, 2020.</w:t>
      </w:r>
    </w:p>
    <w:p>
      <w:pPr>
        <w:spacing w:after="0" w:line="68" w:lineRule="exact"/>
        <w:rPr>
          <w:sz w:val="20"/>
          <w:szCs w:val="20"/>
          <w:color w:val="auto"/>
        </w:rPr>
      </w:pPr>
    </w:p>
    <w:p>
      <w:pPr>
        <w:ind w:right="280" w:firstLine="644"/>
        <w:spacing w:after="0" w:line="293" w:lineRule="auto"/>
        <w:rPr>
          <w:sz w:val="20"/>
          <w:szCs w:val="20"/>
          <w:color w:val="auto"/>
        </w:rPr>
      </w:pPr>
      <w:r>
        <w:rPr>
          <w:rFonts w:ascii="Arial" w:cs="Arial" w:eastAsia="Arial" w:hAnsi="Arial"/>
          <w:sz w:val="18"/>
          <w:szCs w:val="18"/>
          <w:color w:val="auto"/>
        </w:rPr>
        <w:t>For the three months ended September 30, 2021 and 2020, stock based compensation expense recorded in general and administrative was $0.8 million and $0.1 million, respectively.</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jc w:val="both"/>
        <w:ind w:right="60" w:firstLine="636"/>
        <w:spacing w:after="0" w:line="293" w:lineRule="auto"/>
        <w:rPr>
          <w:sz w:val="20"/>
          <w:szCs w:val="20"/>
          <w:color w:val="auto"/>
        </w:rPr>
      </w:pPr>
      <w:r>
        <w:rPr>
          <w:rFonts w:ascii="Arial" w:cs="Arial" w:eastAsia="Arial" w:hAnsi="Arial"/>
          <w:sz w:val="18"/>
          <w:szCs w:val="18"/>
          <w:color w:val="auto"/>
        </w:rPr>
        <w:t>Interest expense decreased by $0.2 million, or 74%, from $0.3 million for the three months ended September 30, 2020 to $0.1 million for the three months ended September 30, 2021, as a result of repaying our term loan in July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31" w:lineRule="exact"/>
        <w:rPr>
          <w:sz w:val="20"/>
          <w:szCs w:val="20"/>
          <w:color w:val="auto"/>
        </w:rPr>
      </w:pPr>
    </w:p>
    <w:p>
      <w:pPr>
        <w:ind w:right="740" w:firstLine="636"/>
        <w:spacing w:after="0" w:line="293" w:lineRule="auto"/>
        <w:rPr>
          <w:sz w:val="20"/>
          <w:szCs w:val="20"/>
          <w:color w:val="auto"/>
        </w:rPr>
      </w:pPr>
      <w:r>
        <w:rPr>
          <w:rFonts w:ascii="Arial" w:cs="Arial" w:eastAsia="Arial" w:hAnsi="Arial"/>
          <w:sz w:val="18"/>
          <w:szCs w:val="18"/>
          <w:color w:val="auto"/>
        </w:rPr>
        <w:t>Interest and dividend income increased to $0.4 million for the three months ended September 30, 2021, due to dividend income from our marketable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jc w:val="both"/>
        <w:ind w:right="40" w:firstLine="636"/>
        <w:spacing w:after="0" w:line="279" w:lineRule="auto"/>
        <w:rPr>
          <w:sz w:val="20"/>
          <w:szCs w:val="20"/>
          <w:color w:val="auto"/>
        </w:rPr>
      </w:pPr>
      <w:r>
        <w:rPr>
          <w:rFonts w:ascii="Arial" w:cs="Arial" w:eastAsia="Arial" w:hAnsi="Arial"/>
          <w:sz w:val="18"/>
          <w:szCs w:val="18"/>
          <w:color w:val="auto"/>
        </w:rPr>
        <w:t>Other expenses increased by $0.7 million, or 621%, from $0.1 million for the three months ended September 30, 2020 to $0.8 million for the three months ended September 30, 2021, as a result of a $0.3 million loss on extinguishment of debt, $0.2 million of unrealized loss on marketable securities and $0.2 million of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31" w:lineRule="exact"/>
        <w:rPr>
          <w:sz w:val="20"/>
          <w:szCs w:val="20"/>
          <w:color w:val="auto"/>
        </w:rPr>
      </w:pPr>
    </w:p>
    <w:p>
      <w:pPr>
        <w:ind w:right="20" w:firstLine="636"/>
        <w:spacing w:after="0" w:line="279" w:lineRule="auto"/>
        <w:rPr>
          <w:sz w:val="20"/>
          <w:szCs w:val="20"/>
          <w:color w:val="auto"/>
        </w:rPr>
      </w:pPr>
      <w:r>
        <w:rPr>
          <w:rFonts w:ascii="Arial" w:cs="Arial" w:eastAsia="Arial" w:hAnsi="Arial"/>
          <w:sz w:val="18"/>
          <w:szCs w:val="18"/>
          <w:color w:val="auto"/>
        </w:rPr>
        <w:t>Total segment loss from our U.S. operating segment for the three months ended September 30, 2021 and 2020, was $12.5 million and $4.1 million, respectively. Total segment loss from our Europe operating segment for the three months ended September 30, 2021 and 2020, was $2.2 million and $2.1 million, respectively.</w:t>
      </w:r>
    </w:p>
    <w:p>
      <w:pPr>
        <w:spacing w:after="0" w:line="200" w:lineRule="exact"/>
        <w:rPr>
          <w:sz w:val="20"/>
          <w:szCs w:val="20"/>
          <w:color w:val="auto"/>
        </w:rPr>
      </w:pPr>
    </w:p>
    <w:p>
      <w:pPr>
        <w:spacing w:after="0" w:line="31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unaudited statement of operations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3"/>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40" w:type="dxa"/>
            <w:vAlign w:val="bottom"/>
            <w:gridSpan w:val="2"/>
            <w:shd w:val="clear" w:color="auto" w:fill="CFF0FC"/>
          </w:tcPr>
          <w:p>
            <w:pPr>
              <w:jc w:val="right"/>
              <w:ind w:right="80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151,238</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103,425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115,033</w:t>
            </w:r>
          </w:p>
        </w:tc>
        <w:tc>
          <w:tcPr>
            <w:tcW w:w="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36,205</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0"/>
              <w:spacing w:after="0"/>
              <w:rPr>
                <w:sz w:val="20"/>
                <w:szCs w:val="20"/>
                <w:color w:val="auto"/>
              </w:rPr>
            </w:pPr>
            <w:r>
              <w:rPr>
                <w:rFonts w:ascii="Arial" w:cs="Arial" w:eastAsia="Arial" w:hAnsi="Arial"/>
                <w:sz w:val="18"/>
                <w:szCs w:val="18"/>
                <w:color w:val="auto"/>
              </w:rPr>
              <w:t>Operations and support</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15,594</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(36,113 )</w:t>
            </w:r>
          </w:p>
        </w:tc>
        <w:tc>
          <w:tcPr>
            <w:tcW w:w="96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(19,845 )</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 income:</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(799 )</w:t>
            </w:r>
          </w:p>
        </w:tc>
        <w:tc>
          <w:tcPr>
            <w:tcW w:w="96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(939 )</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(1,021 )</w:t>
            </w:r>
          </w:p>
        </w:tc>
        <w:tc>
          <w:tcPr>
            <w:tcW w:w="96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3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(1,363 )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(1,064 )</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(37,476 )</w:t>
            </w:r>
          </w:p>
        </w:tc>
        <w:tc>
          <w:tcPr>
            <w:tcW w:w="96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(20,909 )</w:t>
            </w:r>
          </w:p>
        </w:tc>
        <w:tc>
          <w:tcPr>
            <w:tcW w:w="0" w:type="dxa"/>
            <w:vAlign w:val="bottom"/>
          </w:tcPr>
          <w:p>
            <w:pPr>
              <w:spacing w:after="0"/>
              <w:rPr>
                <w:sz w:val="1"/>
                <w:szCs w:val="1"/>
                <w:color w:val="auto"/>
              </w:rPr>
            </w:pPr>
          </w:p>
        </w:tc>
      </w:tr>
      <w:tr>
        <w:trPr>
          <w:trHeight w:val="257"/>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Deemed dividend to preferred stockholders</w:t>
            </w:r>
          </w:p>
        </w:tc>
        <w:tc>
          <w:tcPr>
            <w:tcW w:w="3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(8,801 )</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60" w:type="dxa"/>
            <w:vAlign w:val="bottom"/>
          </w:tcPr>
          <w:p>
            <w:pPr>
              <w:spacing w:after="0"/>
              <w:rPr>
                <w:sz w:val="21"/>
                <w:szCs w:val="21"/>
                <w:color w:val="auto"/>
              </w:rPr>
            </w:pP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(37,476 )</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(29,710 )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60" w:type="dxa"/>
            <w:vAlign w:val="bottom"/>
            <w:vMerge w:val="restart"/>
          </w:tcPr>
          <w:p>
            <w:pPr>
              <w:jc w:val="right"/>
              <w:ind w:right="1870"/>
              <w:spacing w:after="0"/>
              <w:rPr>
                <w:sz w:val="20"/>
                <w:szCs w:val="20"/>
                <w:color w:val="auto"/>
              </w:rPr>
            </w:pPr>
            <w:r>
              <w:rPr>
                <w:rFonts w:ascii="Arial" w:cs="Arial" w:eastAsia="Arial" w:hAnsi="Arial"/>
                <w:sz w:val="18"/>
                <w:szCs w:val="18"/>
                <w:color w:val="auto"/>
              </w:rPr>
              <w:t>28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-1967865</wp:posOffset>
            </wp:positionV>
            <wp:extent cx="1803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-1967865</wp:posOffset>
            </wp:positionV>
            <wp:extent cx="5969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-973455</wp:posOffset>
            </wp:positionV>
            <wp:extent cx="1803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-973455</wp:posOffset>
            </wp:positionV>
            <wp:extent cx="5969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-639445</wp:posOffset>
            </wp:positionV>
            <wp:extent cx="1803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-639445</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6"/>
          <w:szCs w:val="16"/>
          <w:color w:val="auto"/>
        </w:rPr>
        <w:t>The following table sets forth our unaudited statement of operations data expressed as a percentage of total revenue for the periods indicated:</w:t>
      </w:r>
    </w:p>
    <w:p>
      <w:pPr>
        <w:spacing w:after="0" w:line="32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20574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3"/>
        </w:trPr>
        <w:tc>
          <w:tcPr>
            <w:tcW w:w="8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3"/>
              </w:rPr>
              <w:t>100.0 %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76.1 %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77.0 %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23.9 %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23.0 %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5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17.4 %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15.3 %</w:t>
            </w:r>
          </w:p>
        </w:tc>
      </w:tr>
      <w:tr>
        <w:trPr>
          <w:trHeight w:val="250"/>
        </w:trPr>
        <w:tc>
          <w:tcPr>
            <w:tcW w:w="8540" w:type="dxa"/>
            <w:vAlign w:val="bottom"/>
            <w:gridSpan w:val="2"/>
          </w:tcPr>
          <w:p>
            <w:pPr>
              <w:ind w:left="200"/>
              <w:spacing w:after="0"/>
              <w:rPr>
                <w:sz w:val="20"/>
                <w:szCs w:val="20"/>
                <w:color w:val="auto"/>
              </w:rPr>
            </w:pPr>
            <w:r>
              <w:rPr>
                <w:rFonts w:ascii="Arial" w:cs="Arial" w:eastAsia="Arial" w:hAnsi="Arial"/>
                <w:sz w:val="18"/>
                <w:szCs w:val="18"/>
                <w:color w:val="auto"/>
              </w:rPr>
              <w:t>Operations and support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10.3 %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9.8 %</w:t>
            </w: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8.0 %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12.1 %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47.8 %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(23.9 )%</w:t>
            </w:r>
          </w:p>
        </w:tc>
        <w:tc>
          <w:tcPr>
            <w:tcW w:w="3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(19.2 )%</w:t>
            </w:r>
          </w:p>
        </w:tc>
      </w:tr>
      <w:tr>
        <w:trPr>
          <w:trHeight w:val="263"/>
        </w:trPr>
        <w:tc>
          <w:tcPr>
            <w:tcW w:w="8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(expenses) income:</w:t>
            </w:r>
          </w:p>
        </w:tc>
        <w:tc>
          <w:tcPr>
            <w:tcW w:w="4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85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(0.5 )%</w:t>
            </w:r>
          </w:p>
        </w:tc>
        <w:tc>
          <w:tcPr>
            <w:tcW w:w="3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(0.9 )%</w:t>
            </w:r>
          </w:p>
        </w:tc>
      </w:tr>
      <w:tr>
        <w:trPr>
          <w:trHeight w:val="263"/>
        </w:trPr>
        <w:tc>
          <w:tcPr>
            <w:tcW w:w="8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0.3 %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(0.7 )%</w:t>
            </w:r>
          </w:p>
        </w:tc>
        <w:tc>
          <w:tcPr>
            <w:tcW w:w="3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(0.3 )%</w:t>
            </w:r>
          </w:p>
        </w:tc>
      </w:tr>
      <w:tr>
        <w:trPr>
          <w:trHeight w:val="20"/>
        </w:trPr>
        <w:tc>
          <w:tcPr>
            <w:tcW w:w="7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9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(0.9 )%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(24.8 )%</w:t>
            </w:r>
          </w:p>
        </w:tc>
        <w:tc>
          <w:tcPr>
            <w:tcW w:w="3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(20.2 )%</w:t>
            </w: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Deemed dividend to preferred stockholders</w:t>
            </w:r>
          </w:p>
        </w:tc>
        <w:tc>
          <w:tcPr>
            <w:tcW w:w="900" w:type="dxa"/>
            <w:vAlign w:val="bottom"/>
            <w:shd w:val="clear" w:color="auto" w:fill="CFF0FC"/>
          </w:tcPr>
          <w:p>
            <w:pPr>
              <w:spacing w:after="0"/>
              <w:rPr>
                <w:sz w:val="22"/>
                <w:szCs w:val="22"/>
                <w:color w:val="auto"/>
              </w:rPr>
            </w:pPr>
          </w:p>
        </w:tc>
        <w:tc>
          <w:tcPr>
            <w:tcW w:w="1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(8.5 )%</w:t>
            </w:r>
          </w:p>
        </w:tc>
      </w:tr>
      <w:tr>
        <w:trPr>
          <w:trHeight w:val="20"/>
        </w:trPr>
        <w:tc>
          <w:tcPr>
            <w:tcW w:w="7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(24.8 )%</w:t>
            </w:r>
          </w:p>
        </w:tc>
        <w:tc>
          <w:tcPr>
            <w:tcW w:w="3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(28.7 )%</w:t>
            </w:r>
          </w:p>
        </w:tc>
      </w:tr>
      <w:tr>
        <w:trPr>
          <w:trHeight w:val="20"/>
        </w:trPr>
        <w:tc>
          <w:tcPr>
            <w:tcW w:w="7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-2516505</wp:posOffset>
            </wp:positionV>
            <wp:extent cx="34290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-2516505</wp:posOffset>
            </wp:positionV>
            <wp:extent cx="22288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-1522095</wp:posOffset>
            </wp:positionV>
            <wp:extent cx="34290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-1522095</wp:posOffset>
            </wp:positionV>
            <wp:extent cx="22288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-527685</wp:posOffset>
            </wp:positionV>
            <wp:extent cx="34290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-527685</wp:posOffset>
            </wp:positionV>
            <wp:extent cx="22288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-193675</wp:posOffset>
            </wp:positionV>
            <wp:extent cx="3429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-193675</wp:posOffset>
            </wp:positionV>
            <wp:extent cx="22288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140" w:firstLine="636"/>
        <w:spacing w:after="0" w:line="279" w:lineRule="auto"/>
        <w:rPr>
          <w:sz w:val="20"/>
          <w:szCs w:val="20"/>
          <w:color w:val="auto"/>
        </w:rPr>
      </w:pPr>
      <w:r>
        <w:rPr>
          <w:rFonts w:ascii="Arial" w:cs="Arial" w:eastAsia="Arial" w:hAnsi="Arial"/>
          <w:sz w:val="18"/>
          <w:szCs w:val="18"/>
          <w:color w:val="auto"/>
        </w:rPr>
        <w:t>Total revenue increased $47.8 million, or 46%, from $103.4 million for the nine months ended September 30, 2020 to $151.2 million for the nine months ended September 30, 2021. This increase was primarily the result of a 61% increase in active buyers resulting from investment in sales and marketing, as well as existing buyers increasing their spend on the platform from the prior year.</w:t>
      </w:r>
    </w:p>
    <w:p>
      <w:pPr>
        <w:spacing w:after="0" w:line="129"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Total revenue from our U.S. and Europe operating segments for the nine months ended September 30, 2021 and 2020, was $140.2 million and $101.5 million, for the U.S. respectively, and $11.0 million and $1.9 million, for Europe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60" w:firstLine="636"/>
        <w:spacing w:after="0" w:line="279" w:lineRule="auto"/>
        <w:rPr>
          <w:sz w:val="20"/>
          <w:szCs w:val="20"/>
          <w:color w:val="auto"/>
        </w:rPr>
      </w:pPr>
      <w:r>
        <w:rPr>
          <w:rFonts w:ascii="Arial" w:cs="Arial" w:eastAsia="Arial" w:hAnsi="Arial"/>
          <w:sz w:val="18"/>
          <w:szCs w:val="18"/>
          <w:color w:val="auto"/>
        </w:rPr>
        <w:t>Total cost of revenue increased $35.4 million, or 44%, from $79.6 million for the nine months ended September 30, 2020 to $115.0 million for the nine months ended September 30, 2021. This increase was primarily the result of an increase in payments to sellers on our platform due to the growth in our buyer base and increased activity by existing accounts on our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31" w:lineRule="exact"/>
        <w:rPr>
          <w:sz w:val="20"/>
          <w:szCs w:val="20"/>
          <w:color w:val="auto"/>
        </w:rPr>
      </w:pPr>
    </w:p>
    <w:p>
      <w:pPr>
        <w:ind w:right="440" w:firstLine="636"/>
        <w:spacing w:after="0" w:line="324" w:lineRule="auto"/>
        <w:rPr>
          <w:sz w:val="20"/>
          <w:szCs w:val="20"/>
          <w:color w:val="auto"/>
        </w:rPr>
      </w:pPr>
      <w:r>
        <w:rPr>
          <w:rFonts w:ascii="Arial" w:cs="Arial" w:eastAsia="Arial" w:hAnsi="Arial"/>
          <w:sz w:val="17"/>
          <w:szCs w:val="17"/>
          <w:color w:val="auto"/>
        </w:rPr>
        <w:t>Gross profit increased $12.4 million, or 52%, from $23.8 million for the nine months ended September 30, 2020 to $36.2 million for the nine months ended September 30, 2021. The increase in gross profit was due primarily to the increase in revenue described above.</w:t>
      </w:r>
    </w:p>
    <w:p>
      <w:pPr>
        <w:spacing w:after="0" w:line="39" w:lineRule="exact"/>
        <w:rPr>
          <w:sz w:val="20"/>
          <w:szCs w:val="20"/>
          <w:color w:val="auto"/>
        </w:rPr>
      </w:pPr>
    </w:p>
    <w:p>
      <w:pPr>
        <w:jc w:val="both"/>
        <w:ind w:right="100" w:firstLine="636"/>
        <w:spacing w:after="0" w:line="303" w:lineRule="auto"/>
        <w:rPr>
          <w:sz w:val="20"/>
          <w:szCs w:val="20"/>
          <w:color w:val="auto"/>
        </w:rPr>
      </w:pPr>
      <w:r>
        <w:rPr>
          <w:rFonts w:ascii="Arial" w:cs="Arial" w:eastAsia="Arial" w:hAnsi="Arial"/>
          <w:sz w:val="17"/>
          <w:szCs w:val="17"/>
          <w:color w:val="auto"/>
        </w:rPr>
        <w:t>Gross margin increased to 23.9% for the nine months ended September 30, 2021 from 23.0% for the nine months ended September 30, 2020. Our AI-driven platform pricing has become more efficient due to the increased number of orders, improving the data set and thus making our pricing decisions more accurate. Additionally, we continue to grow our active sellers resulting in a lower cost of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80" w:firstLine="644"/>
        <w:spacing w:after="0" w:line="272" w:lineRule="auto"/>
        <w:rPr>
          <w:sz w:val="20"/>
          <w:szCs w:val="20"/>
          <w:color w:val="auto"/>
        </w:rPr>
      </w:pPr>
      <w:r>
        <w:rPr>
          <w:rFonts w:ascii="Arial" w:cs="Arial" w:eastAsia="Arial" w:hAnsi="Arial"/>
          <w:sz w:val="18"/>
          <w:szCs w:val="18"/>
          <w:color w:val="auto"/>
        </w:rPr>
        <w:t>Sales and marketing expense increased $10.4 million, or 66%, from $15.8 million for the nine months ended September 30, 2020 to $26.3 million for the nine months ended September 30, 2021, a result of continued investment to drive revenue growth, additional employees and increased compensation-related expenses including stock based compensation primarily related to options granted in 2021, as compared to the corresponding period in the prior year. As a percent of total revenue, sales and marketing expenses increased to 17% for the nine months ended September 30, 2021 from 15% for the nine months ended September 30, 2020.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right="300" w:firstLine="636"/>
        <w:spacing w:after="0" w:line="293" w:lineRule="auto"/>
        <w:rPr>
          <w:sz w:val="20"/>
          <w:szCs w:val="20"/>
          <w:color w:val="auto"/>
        </w:rPr>
      </w:pPr>
      <w:r>
        <w:rPr>
          <w:rFonts w:ascii="Arial" w:cs="Arial" w:eastAsia="Arial" w:hAnsi="Arial"/>
          <w:sz w:val="18"/>
          <w:szCs w:val="18"/>
          <w:color w:val="auto"/>
        </w:rPr>
        <w:t>For the nine months ended September 30, 2021 and 2020, stock based compensation expense recorded in sales and marketing was $0.7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60" w:firstLine="636"/>
        <w:spacing w:after="0" w:line="272" w:lineRule="auto"/>
        <w:rPr>
          <w:sz w:val="20"/>
          <w:szCs w:val="20"/>
          <w:color w:val="auto"/>
        </w:rPr>
      </w:pPr>
      <w:r>
        <w:rPr>
          <w:rFonts w:ascii="Arial" w:cs="Arial" w:eastAsia="Arial" w:hAnsi="Arial"/>
          <w:sz w:val="18"/>
          <w:szCs w:val="18"/>
          <w:color w:val="auto"/>
        </w:rPr>
        <w:t>Operations and support increased $5.5 million, or 54%, from $10.1 million for the nine months ended September 30, 2020 to $15.6 million for the nine months ended September 30, 2021, primarily as a result of additional employees hired to support the growth of buyer and seller activity on our platform, and increased stock based compensation expense primarily related to options granted in 2021, as compared to the corresponding period in the prior year. As a percent of total revenue, operations and support expenses remained flat at approximately 10% for the nine months ended September 30, 2021 and 2020.</w:t>
      </w:r>
    </w:p>
    <w:p>
      <w:pPr>
        <w:spacing w:after="0" w:line="83" w:lineRule="exact"/>
        <w:rPr>
          <w:sz w:val="20"/>
          <w:szCs w:val="20"/>
          <w:color w:val="auto"/>
        </w:rPr>
      </w:pPr>
    </w:p>
    <w:p>
      <w:pPr>
        <w:ind w:right="100" w:firstLine="636"/>
        <w:spacing w:after="0" w:line="293" w:lineRule="auto"/>
        <w:rPr>
          <w:sz w:val="20"/>
          <w:szCs w:val="20"/>
          <w:color w:val="auto"/>
        </w:rPr>
      </w:pPr>
      <w:r>
        <w:rPr>
          <w:rFonts w:ascii="Arial" w:cs="Arial" w:eastAsia="Arial" w:hAnsi="Arial"/>
          <w:sz w:val="18"/>
          <w:szCs w:val="18"/>
          <w:color w:val="auto"/>
        </w:rPr>
        <w:t>For the nine months ended September 30, 2021 and 2020, stock based compensation expense recorded in operations and support was $1.4 million and $0.2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80" w:firstLine="636"/>
        <w:spacing w:after="0" w:line="296" w:lineRule="auto"/>
        <w:rPr>
          <w:sz w:val="20"/>
          <w:szCs w:val="20"/>
          <w:color w:val="auto"/>
        </w:rPr>
      </w:pPr>
      <w:r>
        <w:rPr>
          <w:rFonts w:ascii="Arial" w:cs="Arial" w:eastAsia="Arial" w:hAnsi="Arial"/>
          <w:sz w:val="17"/>
          <w:szCs w:val="17"/>
          <w:color w:val="auto"/>
        </w:rPr>
        <w:t>Product development expense increased $3.3 million, or 37%, from $8.9 million for the nine months ended September 30, 2020 to $12.1 million for the nine months ended September 30, 2021, a result of additional employees and increased stock based compensation expense primarily related to options granted in 2021, as compared to the corresponding period in the prior year. As a percent of total revenue, product development expenses decreased to 8% for the nine months ended September 30, 2021 from 9% for the nine months ended September 30, 2020.</w:t>
      </w:r>
    </w:p>
    <w:p>
      <w:pPr>
        <w:spacing w:after="0" w:line="62" w:lineRule="exact"/>
        <w:rPr>
          <w:sz w:val="20"/>
          <w:szCs w:val="20"/>
          <w:color w:val="auto"/>
        </w:rPr>
      </w:pPr>
    </w:p>
    <w:p>
      <w:pPr>
        <w:ind w:right="200" w:firstLine="636"/>
        <w:spacing w:after="0" w:line="293" w:lineRule="auto"/>
        <w:rPr>
          <w:sz w:val="20"/>
          <w:szCs w:val="20"/>
          <w:color w:val="auto"/>
        </w:rPr>
      </w:pPr>
      <w:r>
        <w:rPr>
          <w:rFonts w:ascii="Arial" w:cs="Arial" w:eastAsia="Arial" w:hAnsi="Arial"/>
          <w:sz w:val="18"/>
          <w:szCs w:val="18"/>
          <w:color w:val="auto"/>
        </w:rPr>
        <w:t>For the nine months ended September 30, 2021 and 2020, stock based compensation expense recorded in product development was $1.0 million and $0.3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General and administrative expense increased $9.6 million, or 109%, from $8.8 million for the nine months ended September 30, 2020 to $18.3 million for the nine months ended September 30, 2021, primarily as a result of an increase in compensation-related expenses, including stock based compensation, additional legal, accounting and financial headcount and third party expenses in preparation of become a public company, as well as additional overhead expenses to support the growth of our business operations. During the third quarter of 2021, the Company also made charitable contributions of $1.2 million. As a percent of total revenue, general and administrative expenses increased to 12% for the nine months ended September 30, 2021 from 9% for the nine months ended September 30, 2020.</w:t>
      </w:r>
    </w:p>
    <w:p>
      <w:pPr>
        <w:spacing w:after="0" w:line="83" w:lineRule="exact"/>
        <w:rPr>
          <w:sz w:val="20"/>
          <w:szCs w:val="20"/>
          <w:color w:val="auto"/>
        </w:rPr>
      </w:pPr>
    </w:p>
    <w:p>
      <w:pPr>
        <w:ind w:right="380" w:firstLine="636"/>
        <w:spacing w:after="0" w:line="293" w:lineRule="auto"/>
        <w:rPr>
          <w:sz w:val="20"/>
          <w:szCs w:val="20"/>
          <w:color w:val="auto"/>
        </w:rPr>
      </w:pPr>
      <w:r>
        <w:rPr>
          <w:rFonts w:ascii="Arial" w:cs="Arial" w:eastAsia="Arial" w:hAnsi="Arial"/>
          <w:sz w:val="18"/>
          <w:szCs w:val="18"/>
          <w:color w:val="auto"/>
        </w:rPr>
        <w:t>For the nine months ended September 30, 2021 and 2020, stock based compensation expense recorded in general and administrative was $1.7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ind w:right="160" w:firstLine="636"/>
        <w:spacing w:after="0" w:line="324" w:lineRule="auto"/>
        <w:rPr>
          <w:sz w:val="20"/>
          <w:szCs w:val="20"/>
          <w:color w:val="auto"/>
        </w:rPr>
      </w:pPr>
      <w:r>
        <w:rPr>
          <w:rFonts w:ascii="Arial" w:cs="Arial" w:eastAsia="Arial" w:hAnsi="Arial"/>
          <w:sz w:val="17"/>
          <w:szCs w:val="17"/>
          <w:color w:val="auto"/>
        </w:rPr>
        <w:t>Interest expense decreased by $0.1 million, or 15%, from $0.9 million for the nine months ended September 30, 2020 to $0.8 million for the nine months ended September 30, 2021, as a result of repaying our outstanding borrowings under our term loan in July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31" w:lineRule="exact"/>
        <w:rPr>
          <w:sz w:val="20"/>
          <w:szCs w:val="20"/>
          <w:color w:val="auto"/>
        </w:rPr>
      </w:pPr>
    </w:p>
    <w:p>
      <w:pPr>
        <w:jc w:val="both"/>
        <w:ind w:right="40" w:firstLine="636"/>
        <w:spacing w:after="0" w:line="279" w:lineRule="auto"/>
        <w:rPr>
          <w:sz w:val="20"/>
          <w:szCs w:val="20"/>
          <w:color w:val="auto"/>
        </w:rPr>
      </w:pPr>
      <w:r>
        <w:rPr>
          <w:rFonts w:ascii="Arial" w:cs="Arial" w:eastAsia="Arial" w:hAnsi="Arial"/>
          <w:sz w:val="18"/>
          <w:szCs w:val="18"/>
          <w:color w:val="auto"/>
        </w:rPr>
        <w:t>Interest and dividend income increased by $0.2 million, or 113%, from $0.2 million for the nine months ended September 30, 2020 to $0.5 million for the nine months ended September 30, 2021, as a result of dividend received from marketable securities in 2021, offset by lower interest income on cash and cash equivalents.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ind w:right="160" w:firstLine="636"/>
        <w:spacing w:after="0" w:line="279" w:lineRule="auto"/>
        <w:rPr>
          <w:sz w:val="20"/>
          <w:szCs w:val="20"/>
          <w:color w:val="auto"/>
        </w:rPr>
      </w:pPr>
      <w:r>
        <w:rPr>
          <w:rFonts w:ascii="Arial" w:cs="Arial" w:eastAsia="Arial" w:hAnsi="Arial"/>
          <w:sz w:val="18"/>
          <w:szCs w:val="18"/>
          <w:color w:val="auto"/>
        </w:rPr>
        <w:t>Other expenses increased by $0.7 million, or 200%, from $0.3 million for the nine months ended September 30, 2020 to $1.0 million for the nine months ended September 30, 2021, as a result of a $0.3 million loss on extinguishment of debt from the repayment of the term loan in July 2021, $0.2 million of unrealized loss on marketable securities and $0.2 million of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31" w:lineRule="exact"/>
        <w:rPr>
          <w:sz w:val="20"/>
          <w:szCs w:val="20"/>
          <w:color w:val="auto"/>
        </w:rPr>
      </w:pPr>
    </w:p>
    <w:p>
      <w:pPr>
        <w:ind w:firstLine="636"/>
        <w:spacing w:after="0" w:line="279" w:lineRule="auto"/>
        <w:rPr>
          <w:sz w:val="20"/>
          <w:szCs w:val="20"/>
          <w:color w:val="auto"/>
        </w:rPr>
      </w:pPr>
      <w:r>
        <w:rPr>
          <w:rFonts w:ascii="Arial" w:cs="Arial" w:eastAsia="Arial" w:hAnsi="Arial"/>
          <w:sz w:val="18"/>
          <w:szCs w:val="18"/>
          <w:color w:val="auto"/>
        </w:rPr>
        <w:t>Total segment loss from our U.S. operating segment for the nine months ended September 30, 2021 and 2020, was $30.2 million and $16.1 million, respectively. Total segment loss from our Europe operating segment for the nine months ended September 30, 2021 and 2020, was $7.3 million and $4.8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right="60" w:firstLine="644"/>
        <w:spacing w:after="0" w:line="292" w:lineRule="auto"/>
        <w:rPr>
          <w:sz w:val="20"/>
          <w:szCs w:val="20"/>
          <w:color w:val="auto"/>
        </w:rPr>
      </w:pPr>
      <w:r>
        <w:rPr>
          <w:rFonts w:ascii="Arial" w:cs="Arial" w:eastAsia="Arial" w:hAnsi="Arial"/>
          <w:sz w:val="17"/>
          <w:szCs w:val="17"/>
          <w:color w:val="auto"/>
        </w:rPr>
        <w:t>We have financed our operations primarily through sales of our equity securities and borrowings under our term loan facility. As of September 30, 2021, our cash and cash equivalents totaled $57.8 million, compared with $59.9 million as of December 31, 2020. We believe our existing cash and cash equivalents will be sufficient to support our working capital and capital expenditure requirements for at least the next twelve months.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66"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On July 2, 2021, we closed our planned initial public offering ("IPO"), in which we issued and sold 7,906,250 shares of our Class A common stock. The initial offering price was $44.00 per share. We received net proceeds of approximately $325.3 million from the IPO after deducting underwriting discounts and commissions of $22.6 million. The Company also incurred approximately $4.0 million of other offering costs in connection with its IPO. In August 2021, we invested approximately $266.6 million of proceeds from our IPO in marketable securities. We consider marketable securities as available for use in current operations, and therefore classify these securities as current assets on the Condensed Consolidated Balance Sheets. As of September 30, 2021, the Company held $226.7 million of marketable securities.</w:t>
      </w:r>
    </w:p>
    <w:p>
      <w:pPr>
        <w:spacing w:after="0" w:line="68" w:lineRule="exact"/>
        <w:rPr>
          <w:sz w:val="20"/>
          <w:szCs w:val="20"/>
          <w:color w:val="auto"/>
        </w:rPr>
      </w:pPr>
    </w:p>
    <w:p>
      <w:pPr>
        <w:ind w:right="20" w:firstLine="644"/>
        <w:spacing w:after="0" w:line="293"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31" w:lineRule="exact"/>
        <w:rPr>
          <w:sz w:val="20"/>
          <w:szCs w:val="20"/>
          <w:color w:val="auto"/>
        </w:rPr>
      </w:pPr>
    </w:p>
    <w:p>
      <w:pPr>
        <w:ind w:right="40" w:firstLine="644"/>
        <w:spacing w:after="0" w:line="292" w:lineRule="auto"/>
        <w:rPr>
          <w:sz w:val="20"/>
          <w:szCs w:val="20"/>
          <w:color w:val="auto"/>
        </w:rPr>
      </w:pPr>
      <w:r>
        <w:rPr>
          <w:rFonts w:ascii="Arial" w:cs="Arial" w:eastAsia="Arial" w:hAnsi="Arial"/>
          <w:sz w:val="17"/>
          <w:szCs w:val="17"/>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In connection with the debt extinguishment, the Company paid Hercules $16.2 million and recorded a loss on debt extinguishment of approximately $0.3 million.</w:t>
      </w:r>
    </w:p>
    <w:p>
      <w:pPr>
        <w:spacing w:after="0" w:line="66" w:lineRule="exact"/>
        <w:rPr>
          <w:sz w:val="20"/>
          <w:szCs w:val="20"/>
          <w:color w:val="auto"/>
        </w:rPr>
      </w:pPr>
    </w:p>
    <w:p>
      <w:pPr>
        <w:ind w:right="20" w:firstLine="734"/>
        <w:spacing w:after="0" w:line="275" w:lineRule="auto"/>
        <w:rPr>
          <w:sz w:val="20"/>
          <w:szCs w:val="20"/>
          <w:color w:val="auto"/>
        </w:rPr>
      </w:pPr>
      <w:r>
        <w:rPr>
          <w:rFonts w:ascii="Arial" w:cs="Arial" w:eastAsia="Arial" w:hAnsi="Arial"/>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 As of December 31, 2020, the Company owed $15.8 million on this term loan, including principal borrowings and accrued end of term fee.</w:t>
      </w:r>
    </w:p>
    <w:p>
      <w:pPr>
        <w:spacing w:after="0" w:line="77" w:lineRule="exact"/>
        <w:rPr>
          <w:sz w:val="20"/>
          <w:szCs w:val="20"/>
          <w:color w:val="auto"/>
        </w:rPr>
      </w:pPr>
    </w:p>
    <w:p>
      <w:pPr>
        <w:ind w:right="200" w:firstLine="644"/>
        <w:spacing w:after="0" w:line="279"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75" w:lineRule="exact"/>
        <w:rPr>
          <w:sz w:val="20"/>
          <w:szCs w:val="20"/>
          <w:color w:val="auto"/>
        </w:rPr>
      </w:pPr>
    </w:p>
    <w:p>
      <w:pPr>
        <w:ind w:right="180" w:firstLine="644"/>
        <w:spacing w:after="0" w:line="319" w:lineRule="auto"/>
        <w:rPr>
          <w:sz w:val="20"/>
          <w:szCs w:val="20"/>
          <w:color w:val="auto"/>
        </w:rPr>
      </w:pPr>
      <w:r>
        <w:rPr>
          <w:rFonts w:ascii="Arial" w:cs="Arial" w:eastAsia="Arial" w:hAnsi="Arial"/>
          <w:sz w:val="16"/>
          <w:szCs w:val="16"/>
          <w:color w:val="auto"/>
        </w:rPr>
        <w:t>The Term Loan Facility contained customary affirmative and negative covenants, including covenants that required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were in compliance with covenants at the time the term loan was repaid and as of December 31,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right="40" w:firstLine="636"/>
        <w:spacing w:after="0" w:line="293"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nine months ended September 30, 2021 and 2020.</w:t>
      </w:r>
    </w:p>
    <w:p>
      <w:pPr>
        <w:spacing w:after="0" w:line="229"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199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(37,370 )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(17,145 )</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(271,603 )</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7,972</w:t>
            </w:r>
          </w:p>
        </w:tc>
        <w:tc>
          <w:tcPr>
            <w:tcW w:w="100" w:type="dxa"/>
            <w:vAlign w:val="bottom"/>
          </w:tcPr>
          <w:p>
            <w:pPr>
              <w:spacing w:after="0"/>
              <w:rPr>
                <w:sz w:val="21"/>
                <w:szCs w:val="21"/>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306,910</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shd w:val="clear" w:color="auto" w:fill="CFF0FC"/>
          </w:tcPr>
          <w:p>
            <w:pPr>
              <w:spacing w:after="0"/>
              <w:rPr>
                <w:sz w:val="22"/>
                <w:szCs w:val="22"/>
                <w:color w:val="auto"/>
              </w:rPr>
            </w:pPr>
          </w:p>
        </w:tc>
      </w:tr>
      <w:tr>
        <w:trPr>
          <w:trHeight w:val="567"/>
        </w:trPr>
        <w:tc>
          <w:tcPr>
            <w:tcW w:w="4580" w:type="dxa"/>
            <w:vAlign w:val="bottom"/>
          </w:tcPr>
          <w:p>
            <w:pPr>
              <w:spacing w:after="0"/>
              <w:rPr>
                <w:sz w:val="24"/>
                <w:szCs w:val="24"/>
                <w:color w:val="auto"/>
              </w:rPr>
            </w:pPr>
          </w:p>
        </w:tc>
        <w:tc>
          <w:tcPr>
            <w:tcW w:w="3060" w:type="dxa"/>
            <w:vAlign w:val="bottom"/>
          </w:tcPr>
          <w:p>
            <w:pPr>
              <w:jc w:val="right"/>
              <w:ind w:right="1830"/>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For the nine months ended September 30, 2021, net cash used in operating activities was $37.4 million, primarily due to a net loss of $37.5 million adjusted for non-cash charges of $9.7 million and a net decrease in our operating assets and liabilities of $(9.6) million. The non-cash adjustments primarily relate to stock-based compensation of $4.7 million, depreciation and amortization of $2.3 million, $1.2 million of charitable contributions of common stock and $0.9 million of reduction to our right of use lease assets. The net decrease in operating assets and liabilities is primarily driven by an increase in accounts receivable of $10.6 million and prepaid expenses of $4.1 million. These decreases are partially offset by increases in accrued expenses of $3.9 million and $1.1 million of contract liabilities, primarily due to the growth of our business.</w:t>
      </w:r>
    </w:p>
    <w:p>
      <w:pPr>
        <w:spacing w:after="0" w:line="68"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For the nine months ended September 30, 2020, net cash used in operating activities was $17.1 million, primarily due to a net loss of $20.9 million adjusted for non-cash charges of $3.9 million and a net decrease in our operating assets and liabilities of $0.2 million. The non-cash adjustments primarily relate to stock-based compensation of $0.7 million, $0.8 million reduction of our right of use lease assets and depreciation and amortization of $2.3 million. The net decrease in operating assets and liabilities is primarily driven by a $4.4 million increase in accounts receivable, a $3.1 million decrease in accounts payable, a $0.7 million decrease in lease liabilities and a $0.6 million increase in inventory. These changes are partially offset by an $8.1 million increase in accrued expenses and a $1.0 million increase in contract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140" w:firstLine="644"/>
        <w:spacing w:after="0" w:line="279" w:lineRule="auto"/>
        <w:rPr>
          <w:sz w:val="20"/>
          <w:szCs w:val="20"/>
          <w:color w:val="auto"/>
        </w:rPr>
      </w:pPr>
      <w:r>
        <w:rPr>
          <w:rFonts w:ascii="Arial" w:cs="Arial" w:eastAsia="Arial" w:hAnsi="Arial"/>
          <w:sz w:val="18"/>
          <w:szCs w:val="18"/>
          <w:color w:val="auto"/>
        </w:rPr>
        <w:t>Cash used by investing activities was $271.6 million during the nine months ended September 30, 2021, primarily due to investments of $267.0 million of proceeds from the IPO in marketable securities and $4.6 million for purchases of property and equipment (which includes internal-use software development costs).</w:t>
      </w:r>
    </w:p>
    <w:p>
      <w:pPr>
        <w:spacing w:after="0" w:line="75" w:lineRule="exact"/>
        <w:rPr>
          <w:sz w:val="20"/>
          <w:szCs w:val="20"/>
          <w:color w:val="auto"/>
        </w:rPr>
      </w:pPr>
    </w:p>
    <w:p>
      <w:pPr>
        <w:ind w:right="140" w:firstLine="644"/>
        <w:spacing w:after="0" w:line="279" w:lineRule="auto"/>
        <w:rPr>
          <w:sz w:val="20"/>
          <w:szCs w:val="20"/>
          <w:color w:val="auto"/>
        </w:rPr>
      </w:pPr>
      <w:r>
        <w:rPr>
          <w:rFonts w:ascii="Arial" w:cs="Arial" w:eastAsia="Arial" w:hAnsi="Arial"/>
          <w:sz w:val="18"/>
          <w:szCs w:val="18"/>
          <w:color w:val="auto"/>
        </w:rPr>
        <w:t>Cash provided by investing activities was $8.0 million during the nine months ended September 30, 2020, primarily due to the redemption of our short terms investments which resulted in cash proceeds, net of approximately $10.9 million, offset by $2.9 million for the purchase of property and equipment (which includes internal-use software development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firstLine="636"/>
        <w:spacing w:after="0" w:line="329" w:lineRule="auto"/>
        <w:rPr>
          <w:sz w:val="20"/>
          <w:szCs w:val="20"/>
          <w:color w:val="auto"/>
        </w:rPr>
      </w:pPr>
      <w:r>
        <w:rPr>
          <w:rFonts w:ascii="Arial" w:cs="Arial" w:eastAsia="Arial" w:hAnsi="Arial"/>
          <w:sz w:val="16"/>
          <w:szCs w:val="16"/>
          <w:color w:val="auto"/>
        </w:rPr>
        <w:t>Cash provided by financing activities was $306.9 million during the nine months ended September 30, 2021, reflecting $1.8 million of proceeds from the exercise of stock options and $325.3 million of proceeds from the IPO, net of our underwriters discount. These inflows were offset by $4.0 million of other offering costs incurred in connection with our IPO and the $16.1 million repayment of our term loan with proceeds from the IPO.</w:t>
      </w:r>
    </w:p>
    <w:p>
      <w:pPr>
        <w:spacing w:after="0" w:line="40" w:lineRule="exact"/>
        <w:rPr>
          <w:sz w:val="20"/>
          <w:szCs w:val="20"/>
          <w:color w:val="auto"/>
        </w:rPr>
      </w:pPr>
    </w:p>
    <w:p>
      <w:pPr>
        <w:ind w:firstLine="636"/>
        <w:spacing w:after="0" w:line="275" w:lineRule="auto"/>
        <w:rPr>
          <w:sz w:val="20"/>
          <w:szCs w:val="20"/>
          <w:color w:val="auto"/>
        </w:rPr>
      </w:pPr>
      <w:r>
        <w:rPr>
          <w:rFonts w:ascii="Arial" w:cs="Arial" w:eastAsia="Arial" w:hAnsi="Arial"/>
          <w:sz w:val="18"/>
          <w:szCs w:val="18"/>
          <w:color w:val="auto"/>
        </w:rPr>
        <w:t>Cash provided by financing activities was $35.2 million during the nine months ended September 30, 2020, reflecting net proceeds of $39.6 million from the issuance of convertible preferred stock, $4.0 million of additional borrowings on our term loan and $4.8 million of other borrowings under the Paycheck Protection Program (“PPP”). These inflows were offset by repayment of the PPP loan on July 8, 2020 and an $8.8 million deemed dividend to preferred stockholders.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right="260" w:firstLine="644"/>
        <w:spacing w:after="0" w:line="329"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right="40" w:firstLine="644"/>
        <w:spacing w:after="0" w:line="287"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final Prospectus on Form 424(b)(4) as well as Note 2 – Basis of Presentation and Summary of Significant Accounting Policies in the notes to the condensed consolidated financial statements included in Part I, Item 1, of this Quarterly Report on Form 10-Q.</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20" w:firstLine="644"/>
        <w:spacing w:after="0" w:line="27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JOBS Act Accounting Election</w:t>
      </w:r>
    </w:p>
    <w:p>
      <w:pPr>
        <w:spacing w:after="0" w:line="135"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83"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right="160" w:firstLine="636"/>
        <w:spacing w:after="0" w:line="279"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ind w:right="100" w:firstLine="636"/>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80" w:firstLine="636"/>
        <w:spacing w:after="0" w:line="269"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580" w:firstLine="636"/>
        <w:spacing w:after="0" w:line="293"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2021 that have materially affected, or are reasonably likely to materially affect, our internal control over financial reporting.</w:t>
      </w:r>
    </w:p>
    <w:p>
      <w:pPr>
        <w:spacing w:after="0" w:line="62" w:lineRule="exact"/>
        <w:rPr>
          <w:sz w:val="20"/>
          <w:szCs w:val="20"/>
          <w:color w:val="auto"/>
        </w:rPr>
      </w:pPr>
    </w:p>
    <w:p>
      <w:pPr>
        <w:ind w:right="40" w:firstLine="636"/>
        <w:spacing w:after="0" w:line="314"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firstLine="644"/>
        <w:spacing w:after="0" w:line="296" w:lineRule="auto"/>
        <w:rPr>
          <w:sz w:val="20"/>
          <w:szCs w:val="20"/>
          <w:color w:val="auto"/>
        </w:rPr>
      </w:pPr>
      <w:r>
        <w:rPr>
          <w:rFonts w:ascii="Arial" w:cs="Arial" w:eastAsia="Arial" w:hAnsi="Arial"/>
          <w:sz w:val="17"/>
          <w:szCs w:val="17"/>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80" w:firstLine="644"/>
        <w:spacing w:after="0" w:line="230" w:lineRule="exact"/>
        <w:rPr>
          <w:sz w:val="20"/>
          <w:szCs w:val="20"/>
          <w:color w:val="auto"/>
        </w:rPr>
      </w:pPr>
      <w:r>
        <w:rPr>
          <w:rFonts w:ascii="Arial" w:cs="Arial" w:eastAsia="Arial" w:hAnsi="Arial"/>
          <w:sz w:val="18"/>
          <w:szCs w:val="18"/>
          <w:i w:val="1"/>
          <w:iCs w:val="1"/>
          <w:color w:val="auto"/>
        </w:rPr>
        <w:t>There have been no material changes to our risk factors as previously disclosed in Item 1A. contained in Part II of our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for the quarter ended June 30,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July 1, 2021 through September 30, 2021 no options were granted under our 2016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12" w:lineRule="exact"/>
        <w:rPr>
          <w:sz w:val="20"/>
          <w:szCs w:val="20"/>
          <w:color w:val="auto"/>
        </w:rPr>
      </w:pPr>
    </w:p>
    <w:p>
      <w:pPr>
        <w:ind w:firstLine="644"/>
        <w:spacing w:after="0" w:line="306" w:lineRule="auto"/>
        <w:rPr>
          <w:sz w:val="20"/>
          <w:szCs w:val="20"/>
          <w:color w:val="auto"/>
        </w:rPr>
      </w:pPr>
      <w:r>
        <w:rPr>
          <w:rFonts w:ascii="Arial" w:cs="Arial" w:eastAsia="Arial" w:hAnsi="Arial"/>
          <w:sz w:val="16"/>
          <w:szCs w:val="16"/>
          <w:color w:val="auto"/>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 We intend to use the net proceeds we received from our IPO for general corporate purposes, including working capital, operating expenses and capital expenditures. We used a portion of the net proceeds to repay our outstanding indebtedness under our Amended Loan and Security Agreement, which would have matured on May 1, 2022 and under which $15.0 million was outstanding at an annual interest rate of 8.7% as of the time it was repaid. The representatives of the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(a)Not applicable.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right="580" w:firstLine="644"/>
        <w:spacing w:after="0" w:line="324" w:lineRule="auto"/>
        <w:rPr>
          <w:sz w:val="20"/>
          <w:szCs w:val="20"/>
          <w:color w:val="auto"/>
        </w:rPr>
      </w:pPr>
      <w:r>
        <w:rPr>
          <w:rFonts w:ascii="Arial" w:cs="Arial" w:eastAsia="Arial" w:hAnsi="Arial"/>
          <w:sz w:val="17"/>
          <w:szCs w:val="17"/>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17"/>
          </w:tcPr>
          <w:p>
            <w:pPr>
              <w:ind w:left="126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9840" w:type="dxa"/>
            <w:vAlign w:val="bottom"/>
            <w:tcBorders>
              <w:bottom w:val="single" w:sz="8" w:color="0000FF"/>
            </w:tcBorders>
            <w:gridSpan w:val="15"/>
          </w:tcPr>
          <w:p>
            <w:pPr>
              <w:spacing w:after="0"/>
              <w:rPr>
                <w:rFonts w:ascii="Arial" w:cs="Arial" w:eastAsia="Arial" w:hAnsi="Arial"/>
                <w:sz w:val="18"/>
                <w:szCs w:val="18"/>
                <w:color w:val="0000FF"/>
                <w:w w:val="91"/>
              </w:rPr>
            </w:pPr>
            <w:hyperlink r:id="rId314">
              <w:r>
                <w:rPr>
                  <w:rFonts w:ascii="Arial" w:cs="Arial" w:eastAsia="Arial" w:hAnsi="Arial"/>
                  <w:sz w:val="18"/>
                  <w:szCs w:val="18"/>
                  <w:color w:val="0000FF"/>
                  <w:w w:val="91"/>
                </w:rPr>
                <w:t>Xometry, Inc. 2021 Equity Incentive Plan (incorporated herein by reference to Exhibit 10.9 to the Company’s Registration Statement on</w:t>
              </w:r>
            </w:hyperlink>
          </w:p>
        </w:tc>
        <w:tc>
          <w:tcPr>
            <w:tcW w:w="240" w:type="dxa"/>
            <w:vAlign w:val="bottom"/>
            <w:gridSpan w:val="8"/>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40" w:type="dxa"/>
            <w:vAlign w:val="bottom"/>
            <w:tcBorders>
              <w:bottom w:val="single" w:sz="8" w:color="0000FF"/>
            </w:tcBorders>
            <w:gridSpan w:val="8"/>
          </w:tcPr>
          <w:p>
            <w:pPr>
              <w:spacing w:after="0"/>
              <w:rPr>
                <w:rFonts w:ascii="Arial" w:cs="Arial" w:eastAsia="Arial" w:hAnsi="Arial"/>
                <w:sz w:val="18"/>
                <w:szCs w:val="18"/>
                <w:color w:val="0000FF"/>
                <w:w w:val="91"/>
              </w:rPr>
            </w:pPr>
            <w:hyperlink r:id="rId314">
              <w:r>
                <w:rPr>
                  <w:rFonts w:ascii="Arial" w:cs="Arial" w:eastAsia="Arial" w:hAnsi="Arial"/>
                  <w:sz w:val="18"/>
                  <w:szCs w:val="18"/>
                  <w:color w:val="0000FF"/>
                  <w:w w:val="91"/>
                </w:rPr>
                <w:t>Form S-1/A (File No. 333-256769), filed with the SEC on June 21, 2021).</w:t>
              </w:r>
            </w:hyperlink>
          </w:p>
        </w:tc>
        <w:tc>
          <w:tcPr>
            <w:tcW w:w="20" w:type="dxa"/>
            <w:vAlign w:val="bottom"/>
            <w:tcBorders>
              <w:bottom w:val="single" w:sz="8" w:color="0000EE"/>
            </w:tcBorders>
          </w:tcPr>
          <w:p>
            <w:pPr>
              <w:spacing w:after="0"/>
              <w:rPr>
                <w:sz w:val="18"/>
                <w:szCs w:val="18"/>
                <w:color w:val="auto"/>
              </w:rPr>
            </w:pPr>
          </w:p>
        </w:tc>
        <w:tc>
          <w:tcPr>
            <w:tcW w:w="4720" w:type="dxa"/>
            <w:vAlign w:val="bottom"/>
            <w:gridSpan w:val="14"/>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9760" w:type="dxa"/>
            <w:vAlign w:val="bottom"/>
            <w:tcBorders>
              <w:bottom w:val="single" w:sz="8" w:color="0000FF"/>
            </w:tcBorders>
            <w:gridSpan w:val="14"/>
          </w:tcPr>
          <w:p>
            <w:pPr>
              <w:spacing w:after="0"/>
              <w:rPr>
                <w:rFonts w:ascii="Arial" w:cs="Arial" w:eastAsia="Arial" w:hAnsi="Arial"/>
                <w:sz w:val="18"/>
                <w:szCs w:val="18"/>
                <w:color w:val="0000FF"/>
                <w:w w:val="91"/>
              </w:rPr>
            </w:pPr>
            <w:hyperlink r:id="rId315">
              <w:r>
                <w:rPr>
                  <w:rFonts w:ascii="Arial" w:cs="Arial" w:eastAsia="Arial" w:hAnsi="Arial"/>
                  <w:sz w:val="18"/>
                  <w:szCs w:val="18"/>
                  <w:color w:val="0000FF"/>
                  <w:w w:val="91"/>
                </w:rPr>
                <w:t>Forms of grant notice, stock option agreement and notice of exercise under the Xometry, Inc. 2021 Equity Incentive Plan (incorporated</w:t>
              </w:r>
            </w:hyperlink>
          </w:p>
        </w:tc>
        <w:tc>
          <w:tcPr>
            <w:tcW w:w="320" w:type="dxa"/>
            <w:vAlign w:val="bottom"/>
            <w:gridSpan w:val="9"/>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1"/>
              </w:rPr>
            </w:pPr>
            <w:hyperlink r:id="rId315">
              <w:r>
                <w:rPr>
                  <w:rFonts w:ascii="Arial" w:cs="Arial" w:eastAsia="Arial" w:hAnsi="Arial"/>
                  <w:sz w:val="18"/>
                  <w:szCs w:val="18"/>
                  <w:color w:val="0000FF"/>
                  <w:w w:val="91"/>
                </w:rPr>
                <w:t>herein by reference to Exhibit 10.10 to the Company’s Registration Statement on Form S-1/A (File No. 333-256769), filed with the SEC on</w:t>
              </w:r>
            </w:hyperlink>
          </w:p>
        </w:tc>
        <w:tc>
          <w:tcPr>
            <w:tcW w:w="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rPr>
            </w:pPr>
            <w:hyperlink r:id="rId315">
              <w:r>
                <w:rPr>
                  <w:rFonts w:ascii="Arial" w:cs="Arial" w:eastAsia="Arial" w:hAnsi="Arial"/>
                  <w:sz w:val="18"/>
                  <w:szCs w:val="18"/>
                  <w:color w:val="0000FF"/>
                </w:rPr>
                <w:t>June 25,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316">
              <w:r>
                <w:rPr>
                  <w:rFonts w:ascii="Arial" w:cs="Arial" w:eastAsia="Arial" w:hAnsi="Arial"/>
                  <w:sz w:val="18"/>
                  <w:szCs w:val="18"/>
                  <w:color w:val="0000FF"/>
                  <w:w w:val="91"/>
                </w:rPr>
                <w:t>Forms of restricted stock unit grant notice and award agreement under the Xometry, Inc. 2021 Equity Incentive Plan (incorporated herein</w:t>
              </w:r>
            </w:hyperlink>
          </w:p>
        </w:tc>
        <w:tc>
          <w:tcPr>
            <w:tcW w:w="160" w:type="dxa"/>
            <w:vAlign w:val="bottom"/>
            <w:gridSpan w:val="6"/>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316">
              <w:r>
                <w:rPr>
                  <w:rFonts w:ascii="Arial" w:cs="Arial" w:eastAsia="Arial" w:hAnsi="Arial"/>
                  <w:sz w:val="18"/>
                  <w:szCs w:val="18"/>
                  <w:color w:val="0000FF"/>
                  <w:w w:val="91"/>
                </w:rPr>
                <w:t>by reference to Exhibit 10.11 to the Company’s Registration Statement on Form S-1/A (File No. 333-256769), filed with the SEC on June</w:t>
              </w:r>
            </w:hyperlink>
          </w:p>
        </w:tc>
        <w:tc>
          <w:tcPr>
            <w:tcW w:w="100" w:type="dxa"/>
            <w:vAlign w:val="bottom"/>
            <w:gridSpan w:val="4"/>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rFonts w:ascii="Arial" w:cs="Arial" w:eastAsia="Arial" w:hAnsi="Arial"/>
                <w:sz w:val="18"/>
                <w:szCs w:val="18"/>
                <w:color w:val="0000FF"/>
              </w:rPr>
            </w:pPr>
            <w:hyperlink r:id="rId316">
              <w:r>
                <w:rPr>
                  <w:rFonts w:ascii="Arial" w:cs="Arial" w:eastAsia="Arial" w:hAnsi="Arial"/>
                  <w:sz w:val="18"/>
                  <w:szCs w:val="18"/>
                  <w:color w:val="0000FF"/>
                </w:rPr>
                <w:t>25, 2021).</w:t>
              </w:r>
            </w:hyperlink>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10000" w:type="dxa"/>
            <w:vAlign w:val="bottom"/>
            <w:tcBorders>
              <w:bottom w:val="single" w:sz="8" w:color="0000FF"/>
            </w:tcBorders>
            <w:gridSpan w:val="20"/>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Amended and Restated Employment Agreement by and between Xometry, Inc. and Randolph Altschuler, to be in effect on the completion</w:t>
              </w:r>
            </w:hyperlink>
          </w:p>
        </w:tc>
        <w:tc>
          <w:tcPr>
            <w:tcW w:w="80" w:type="dxa"/>
            <w:vAlign w:val="bottom"/>
            <w:gridSpan w:val="3"/>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tcBorders>
              <w:bottom w:val="single" w:sz="8" w:color="0000FF"/>
            </w:tcBorders>
            <w:gridSpan w:val="16"/>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of the offering (incorporated herein by reference to Exhibit 10.12 to the Company’s Registration Statement on Form S-1/A (File No. 333-</w:t>
              </w:r>
            </w:hyperlink>
          </w:p>
        </w:tc>
        <w:tc>
          <w:tcPr>
            <w:tcW w:w="180" w:type="dxa"/>
            <w:vAlign w:val="bottom"/>
            <w:gridSpan w:val="7"/>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Borders>
              <w:bottom w:val="single" w:sz="8" w:color="0000FF"/>
            </w:tcBorders>
            <w:gridSpan w:val="5"/>
          </w:tcPr>
          <w:p>
            <w:pPr>
              <w:spacing w:after="0"/>
              <w:rPr>
                <w:rFonts w:ascii="Arial" w:cs="Arial" w:eastAsia="Arial" w:hAnsi="Arial"/>
                <w:sz w:val="18"/>
                <w:szCs w:val="18"/>
                <w:color w:val="0000FF"/>
                <w:w w:val="90"/>
              </w:rPr>
            </w:pPr>
            <w:hyperlink r:id="rId317">
              <w:r>
                <w:rPr>
                  <w:rFonts w:ascii="Arial" w:cs="Arial" w:eastAsia="Arial" w:hAnsi="Arial"/>
                  <w:sz w:val="18"/>
                  <w:szCs w:val="18"/>
                  <w:color w:val="0000FF"/>
                  <w:w w:val="90"/>
                </w:rPr>
                <w:t>256769)</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 on June 25, 2021).</w:t>
              </w:r>
            </w:hyperlink>
          </w:p>
        </w:tc>
        <w:tc>
          <w:tcPr>
            <w:tcW w:w="20" w:type="dxa"/>
            <w:vAlign w:val="bottom"/>
            <w:tcBorders>
              <w:bottom w:val="single" w:sz="8" w:color="0000EE"/>
            </w:tcBorders>
          </w:tcPr>
          <w:p>
            <w:pPr>
              <w:spacing w:after="0"/>
              <w:rPr>
                <w:sz w:val="18"/>
                <w:szCs w:val="18"/>
                <w:color w:val="auto"/>
              </w:rPr>
            </w:pPr>
          </w:p>
        </w:tc>
        <w:tc>
          <w:tcPr>
            <w:tcW w:w="6660" w:type="dxa"/>
            <w:vAlign w:val="bottom"/>
            <w:gridSpan w:val="17"/>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9840" w:type="dxa"/>
            <w:vAlign w:val="bottom"/>
            <w:tcBorders>
              <w:bottom w:val="single" w:sz="8" w:color="0000FF"/>
            </w:tcBorders>
            <w:gridSpan w:val="15"/>
          </w:tcPr>
          <w:p>
            <w:pPr>
              <w:spacing w:after="0"/>
              <w:rPr>
                <w:rFonts w:ascii="Arial" w:cs="Arial" w:eastAsia="Arial" w:hAnsi="Arial"/>
                <w:sz w:val="18"/>
                <w:szCs w:val="18"/>
                <w:color w:val="0000FF"/>
                <w:w w:val="90"/>
              </w:rPr>
            </w:pPr>
            <w:hyperlink r:id="rId318">
              <w:r>
                <w:rPr>
                  <w:rFonts w:ascii="Arial" w:cs="Arial" w:eastAsia="Arial" w:hAnsi="Arial"/>
                  <w:sz w:val="18"/>
                  <w:szCs w:val="18"/>
                  <w:color w:val="0000FF"/>
                  <w:w w:val="90"/>
                </w:rPr>
                <w:t>Amended and Restated Employment Agreement by and between Xometry, Inc. and James Rallo, to be in effect on the completion of the</w:t>
              </w:r>
            </w:hyperlink>
          </w:p>
        </w:tc>
        <w:tc>
          <w:tcPr>
            <w:tcW w:w="240" w:type="dxa"/>
            <w:vAlign w:val="bottom"/>
            <w:gridSpan w:val="8"/>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bottom w:val="single" w:sz="8" w:color="0000FF"/>
            </w:tcBorders>
            <w:gridSpan w:val="10"/>
          </w:tcPr>
          <w:p>
            <w:pPr>
              <w:spacing w:after="0"/>
              <w:rPr>
                <w:rFonts w:ascii="Arial" w:cs="Arial" w:eastAsia="Arial" w:hAnsi="Arial"/>
                <w:sz w:val="18"/>
                <w:szCs w:val="18"/>
                <w:color w:val="0000FF"/>
                <w:w w:val="91"/>
              </w:rPr>
            </w:pPr>
            <w:hyperlink r:id="rId318">
              <w:r>
                <w:rPr>
                  <w:rFonts w:ascii="Arial" w:cs="Arial" w:eastAsia="Arial" w:hAnsi="Arial"/>
                  <w:sz w:val="18"/>
                  <w:szCs w:val="18"/>
                  <w:color w:val="0000FF"/>
                  <w:w w:val="91"/>
                </w:rPr>
                <w:t>offering (incorporated herein by reference to Exhibit 10.13 to the Company’s Registration Statement on Form S-1/A (File No. 333-</w:t>
              </w:r>
            </w:hyperlink>
          </w:p>
        </w:tc>
        <w:tc>
          <w:tcPr>
            <w:tcW w:w="640" w:type="dxa"/>
            <w:vAlign w:val="bottom"/>
            <w:gridSpan w:val="13"/>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Borders>
              <w:bottom w:val="single" w:sz="8" w:color="0000FF"/>
            </w:tcBorders>
            <w:gridSpan w:val="5"/>
          </w:tcPr>
          <w:p>
            <w:pPr>
              <w:spacing w:after="0"/>
              <w:rPr>
                <w:rFonts w:ascii="Arial" w:cs="Arial" w:eastAsia="Arial" w:hAnsi="Arial"/>
                <w:sz w:val="18"/>
                <w:szCs w:val="18"/>
                <w:color w:val="0000FF"/>
                <w:w w:val="90"/>
              </w:rPr>
            </w:pPr>
            <w:hyperlink r:id="rId318">
              <w:r>
                <w:rPr>
                  <w:rFonts w:ascii="Arial" w:cs="Arial" w:eastAsia="Arial" w:hAnsi="Arial"/>
                  <w:sz w:val="18"/>
                  <w:szCs w:val="18"/>
                  <w:color w:val="0000FF"/>
                  <w:w w:val="90"/>
                </w:rPr>
                <w:t>256769)</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 on June 25, 2021).</w:t>
              </w:r>
            </w:hyperlink>
          </w:p>
        </w:tc>
        <w:tc>
          <w:tcPr>
            <w:tcW w:w="20" w:type="dxa"/>
            <w:vAlign w:val="bottom"/>
            <w:tcBorders>
              <w:bottom w:val="single" w:sz="8" w:color="0000EE"/>
            </w:tcBorders>
          </w:tcPr>
          <w:p>
            <w:pPr>
              <w:spacing w:after="0"/>
              <w:rPr>
                <w:sz w:val="18"/>
                <w:szCs w:val="18"/>
                <w:color w:val="auto"/>
              </w:rPr>
            </w:pPr>
          </w:p>
        </w:tc>
        <w:tc>
          <w:tcPr>
            <w:tcW w:w="6660" w:type="dxa"/>
            <w:vAlign w:val="bottom"/>
            <w:gridSpan w:val="17"/>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0"/>
              </w:rPr>
            </w:pPr>
            <w:hyperlink r:id="rId319">
              <w:r>
                <w:rPr>
                  <w:rFonts w:ascii="Arial" w:cs="Arial" w:eastAsia="Arial" w:hAnsi="Arial"/>
                  <w:sz w:val="18"/>
                  <w:szCs w:val="18"/>
                  <w:color w:val="0000FF"/>
                  <w:w w:val="90"/>
                </w:rPr>
                <w:t>Amended and Restated Employment Agreement by and between Xometry, Inc. and Peter Goguen, to be in effect on the completion of the</w:t>
              </w:r>
            </w:hyperlink>
          </w:p>
        </w:tc>
        <w:tc>
          <w:tcPr>
            <w:tcW w:w="120" w:type="dxa"/>
            <w:vAlign w:val="bottom"/>
            <w:gridSpan w:val="5"/>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bottom w:val="single" w:sz="8" w:color="0000FF"/>
            </w:tcBorders>
            <w:gridSpan w:val="10"/>
          </w:tcPr>
          <w:p>
            <w:pPr>
              <w:spacing w:after="0"/>
              <w:rPr>
                <w:rFonts w:ascii="Arial" w:cs="Arial" w:eastAsia="Arial" w:hAnsi="Arial"/>
                <w:sz w:val="18"/>
                <w:szCs w:val="18"/>
                <w:color w:val="0000FF"/>
                <w:w w:val="91"/>
              </w:rPr>
            </w:pPr>
            <w:hyperlink r:id="rId319">
              <w:r>
                <w:rPr>
                  <w:rFonts w:ascii="Arial" w:cs="Arial" w:eastAsia="Arial" w:hAnsi="Arial"/>
                  <w:sz w:val="18"/>
                  <w:szCs w:val="18"/>
                  <w:color w:val="0000FF"/>
                  <w:w w:val="91"/>
                </w:rPr>
                <w:t>offering (incorporated herein by reference to Exhibit 10.14 to the Company’s Registration Statement on Form S-1/A (File No. 333-</w:t>
              </w:r>
            </w:hyperlink>
          </w:p>
        </w:tc>
        <w:tc>
          <w:tcPr>
            <w:tcW w:w="640" w:type="dxa"/>
            <w:vAlign w:val="bottom"/>
            <w:gridSpan w:val="13"/>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Borders>
              <w:bottom w:val="single" w:sz="8" w:color="0000FF"/>
            </w:tcBorders>
            <w:gridSpan w:val="5"/>
          </w:tcPr>
          <w:p>
            <w:pPr>
              <w:spacing w:after="0"/>
              <w:rPr>
                <w:rFonts w:ascii="Arial" w:cs="Arial" w:eastAsia="Arial" w:hAnsi="Arial"/>
                <w:sz w:val="18"/>
                <w:szCs w:val="18"/>
                <w:color w:val="0000FF"/>
                <w:w w:val="90"/>
              </w:rPr>
            </w:pPr>
            <w:hyperlink r:id="rId319">
              <w:r>
                <w:rPr>
                  <w:rFonts w:ascii="Arial" w:cs="Arial" w:eastAsia="Arial" w:hAnsi="Arial"/>
                  <w:sz w:val="18"/>
                  <w:szCs w:val="18"/>
                  <w:color w:val="0000FF"/>
                  <w:w w:val="90"/>
                </w:rPr>
                <w:t>256769)</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 on June 25, 2021).</w:t>
              </w:r>
            </w:hyperlink>
          </w:p>
        </w:tc>
        <w:tc>
          <w:tcPr>
            <w:tcW w:w="20" w:type="dxa"/>
            <w:vAlign w:val="bottom"/>
            <w:tcBorders>
              <w:bottom w:val="single" w:sz="8" w:color="0000EE"/>
            </w:tcBorders>
          </w:tcPr>
          <w:p>
            <w:pPr>
              <w:spacing w:after="0"/>
              <w:rPr>
                <w:sz w:val="18"/>
                <w:szCs w:val="18"/>
                <w:color w:val="auto"/>
              </w:rPr>
            </w:pPr>
          </w:p>
        </w:tc>
        <w:tc>
          <w:tcPr>
            <w:tcW w:w="6660" w:type="dxa"/>
            <w:vAlign w:val="bottom"/>
            <w:gridSpan w:val="17"/>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9640" w:type="dxa"/>
            <w:vAlign w:val="bottom"/>
            <w:tcBorders>
              <w:bottom w:val="single" w:sz="8" w:color="0000FF"/>
            </w:tcBorders>
            <w:gridSpan w:val="12"/>
          </w:tcPr>
          <w:p>
            <w:pPr>
              <w:spacing w:after="0"/>
              <w:rPr>
                <w:rFonts w:ascii="Arial" w:cs="Arial" w:eastAsia="Arial" w:hAnsi="Arial"/>
                <w:sz w:val="18"/>
                <w:szCs w:val="18"/>
                <w:color w:val="0000FF"/>
                <w:w w:val="91"/>
              </w:rPr>
            </w:pPr>
            <w:hyperlink r:id="rId320">
              <w:r>
                <w:rPr>
                  <w:rFonts w:ascii="Arial" w:cs="Arial" w:eastAsia="Arial" w:hAnsi="Arial"/>
                  <w:sz w:val="18"/>
                  <w:szCs w:val="18"/>
                  <w:color w:val="0000FF"/>
                  <w:w w:val="91"/>
                </w:rPr>
                <w:t>Form of Indemnification Agreement entered into by and between Xometry, Inc. and each director and executive officer (incorporated</w:t>
              </w:r>
            </w:hyperlink>
          </w:p>
        </w:tc>
        <w:tc>
          <w:tcPr>
            <w:tcW w:w="440" w:type="dxa"/>
            <w:vAlign w:val="bottom"/>
            <w:gridSpan w:val="11"/>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1"/>
              </w:rPr>
            </w:pPr>
            <w:hyperlink r:id="rId320">
              <w:r>
                <w:rPr>
                  <w:rFonts w:ascii="Arial" w:cs="Arial" w:eastAsia="Arial" w:hAnsi="Arial"/>
                  <w:sz w:val="18"/>
                  <w:szCs w:val="18"/>
                  <w:color w:val="0000FF"/>
                  <w:w w:val="91"/>
                </w:rPr>
                <w:t>herein by reference to Exhibit 10.15 to the Company’s Registration Statement on Form S-1/A (File No. 333-256769), filed with the SEC on</w:t>
              </w:r>
            </w:hyperlink>
          </w:p>
        </w:tc>
        <w:tc>
          <w:tcPr>
            <w:tcW w:w="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rPr>
            </w:pPr>
            <w:hyperlink r:id="rId320">
              <w:r>
                <w:rPr>
                  <w:rFonts w:ascii="Arial" w:cs="Arial" w:eastAsia="Arial" w:hAnsi="Arial"/>
                  <w:sz w:val="18"/>
                  <w:szCs w:val="18"/>
                  <w:color w:val="0000FF"/>
                </w:rPr>
                <w:t>June 21,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1"/>
              </w:rPr>
            </w:pPr>
            <w:hyperlink r:id="rId321">
              <w:r>
                <w:rPr>
                  <w:rFonts w:ascii="Arial" w:cs="Arial" w:eastAsia="Arial" w:hAnsi="Arial"/>
                  <w:sz w:val="18"/>
                  <w:szCs w:val="18"/>
                  <w:color w:val="0000FF"/>
                  <w:w w:val="91"/>
                </w:rPr>
                <w:t>Form of Exchange Agreement by and among Xometry, Inc., Randolph Altschuler and Laurence Zuriff (incorporated herein by reference to</w:t>
              </w:r>
            </w:hyperlink>
          </w:p>
        </w:tc>
        <w:tc>
          <w:tcPr>
            <w:tcW w:w="40" w:type="dxa"/>
            <w:vAlign w:val="bottom"/>
            <w:gridSpan w:val="2"/>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w w:val="96"/>
              </w:rPr>
            </w:pPr>
            <w:hyperlink r:id="rId321">
              <w:r>
                <w:rPr>
                  <w:rFonts w:ascii="Arial" w:cs="Arial" w:eastAsia="Arial" w:hAnsi="Arial"/>
                  <w:sz w:val="18"/>
                  <w:szCs w:val="18"/>
                  <w:color w:val="0000FF"/>
                  <w:w w:val="96"/>
                </w:rPr>
                <w:t>Exhibit 10.18 to the Company’s Registration Statement on Form S-1/A (File No. 333-256769), filed with the SEC on June 21, 2021).</w:t>
              </w:r>
            </w:hyperlink>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462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96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10"/>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Adopted Pursuant to Section 302 of the Sarbanes-Oxley Act of 2002.</w:t>
              </w:r>
            </w:hyperlink>
          </w:p>
        </w:tc>
        <w:tc>
          <w:tcPr>
            <w:tcW w:w="5100" w:type="dxa"/>
            <w:vAlign w:val="bottom"/>
            <w:gridSpan w:val="16"/>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960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80" w:type="dxa"/>
            <w:vAlign w:val="bottom"/>
            <w:gridSpan w:val="12"/>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Adopted Pursuant to Section 302 of the Sarbanes-Oxley Act of 2002.</w:t>
              </w:r>
            </w:hyperlink>
          </w:p>
        </w:tc>
        <w:tc>
          <w:tcPr>
            <w:tcW w:w="5100" w:type="dxa"/>
            <w:vAlign w:val="bottom"/>
            <w:gridSpan w:val="16"/>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2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20"/>
          </w:tcPr>
          <w:p>
            <w:pPr>
              <w:spacing w:after="0"/>
              <w:rPr>
                <w:sz w:val="18"/>
                <w:szCs w:val="18"/>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40" w:type="dxa"/>
            <w:vAlign w:val="bottom"/>
            <w:gridSpan w:val="2"/>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20"/>
          </w:tcPr>
          <w:p>
            <w:pPr>
              <w:spacing w:after="0"/>
              <w:rPr>
                <w:sz w:val="18"/>
                <w:szCs w:val="18"/>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1"/>
                <w:szCs w:val="21"/>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1"/>
                <w:szCs w:val="21"/>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1"/>
                <w:szCs w:val="21"/>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1"/>
                <w:szCs w:val="21"/>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1"/>
                <w:szCs w:val="21"/>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160" w:hanging="113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06" w:lineRule="exact"/>
        <w:rPr>
          <w:rFonts w:ascii="Arial" w:cs="Arial" w:eastAsia="Arial" w:hAnsi="Arial"/>
          <w:sz w:val="18"/>
          <w:szCs w:val="18"/>
          <w:color w:val="auto"/>
        </w:rPr>
      </w:pPr>
    </w:p>
    <w:p>
      <w:pPr>
        <w:ind w:left="780" w:hanging="77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9512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1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50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539"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XOMETRY, INC.</w:t>
      </w:r>
    </w:p>
    <w:p>
      <w:pPr>
        <w:spacing w:after="0" w:line="279"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06"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Randolph Altschuler, certify that:</w:t>
      </w:r>
    </w:p>
    <w:p>
      <w:pPr>
        <w:spacing w:after="0" w:line="239"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Rallo, certify that:</w:t>
      </w:r>
    </w:p>
    <w:p>
      <w:pPr>
        <w:spacing w:after="0" w:line="239"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740" w:hanging="479"/>
        <w:spacing w:after="0" w:line="293"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740" w:hanging="479"/>
        <w:spacing w:after="0" w:line="29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
      <w:numFmt w:val="bullet"/>
      <w:start w:val="1"/>
    </w:lvl>
    <w:lvl w:ilvl="1">
      <w:lvlJc w:val="left"/>
      <w:lvlText w:val="%2"/>
      <w:numFmt w:val="decimal"/>
      <w:start w:val="10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14" Type="http://schemas.openxmlformats.org/officeDocument/2006/relationships/hyperlink" Target="https://www.sec.gov/Archives/edgar/data/0001657573/000119312521194064/d120843dex109.htm" TargetMode="External"/><Relationship Id="rId315" Type="http://schemas.openxmlformats.org/officeDocument/2006/relationships/hyperlink" Target="https://www.sec.gov/Archives/edgar/data/0001657573/000119312521200359/d120843dex1010.htm" TargetMode="External"/><Relationship Id="rId316" Type="http://schemas.openxmlformats.org/officeDocument/2006/relationships/hyperlink" Target="https://www.sec.gov/Archives/edgar/data/0001657573/000119312521200359/d120843dex1011.htm" TargetMode="External"/><Relationship Id="rId317" Type="http://schemas.openxmlformats.org/officeDocument/2006/relationships/hyperlink" Target="https://www.sec.gov/Archives/edgar/data/0001657573/000119312521200359/d120843dex1012.htm" TargetMode="External"/><Relationship Id="rId318" Type="http://schemas.openxmlformats.org/officeDocument/2006/relationships/hyperlink" Target="https://www.sec.gov/Archives/edgar/data/0001657573/000119312521200359/d120843dex1013.htm" TargetMode="External"/><Relationship Id="rId319" Type="http://schemas.openxmlformats.org/officeDocument/2006/relationships/hyperlink" Target="https://www.sec.gov/Archives/edgar/data/0001657573/000119312521200359/d120843dex1014.htm" TargetMode="External"/><Relationship Id="rId320" Type="http://schemas.openxmlformats.org/officeDocument/2006/relationships/hyperlink" Target="https://www.sec.gov/Archives/edgar/data/0001657573/000119312521194064/d120843dex1015.htm" TargetMode="External"/><Relationship Id="rId321" Type="http://schemas.openxmlformats.org/officeDocument/2006/relationships/hyperlink" Target="https://www.sec.gov/Archives/edgar/data/0001657573/000119312521194064/d120843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2021-11-10T16:09:40Z</dcterms:created>
  <dcterms:modified xsi:type="dcterms:W3CDTF">2021-11-10T16:09:40Z</dcterms:modified>
</cp:coreProperties>
</file>