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60"/>
        <w:gridCol w:w="291"/>
        <w:gridCol w:w="921"/>
        <w:gridCol w:w="437"/>
        <w:gridCol w:w="984"/>
        <w:gridCol w:w="1139"/>
        <w:gridCol w:w="982"/>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26.6103</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131,090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23.5413</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119,027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24.5114</w:t>
            </w:r>
            <w:r>
              <w:rPr>
                <w:rFonts w:ascii="Times;serif" w:hAnsi="Times;serif"/>
                <w:color w:val="008000"/>
                <w:position w:val="7"/>
                <w:sz w:val="16"/>
                <w:sz w:val="20"/>
                <w:shd w:fill="FFFFFF" w:val="clear"/>
              </w:rPr>
              <w:t>(6)</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105,238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 that were granted in March 2024 subject to performance-based vesting conditions pertaining to 2024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$26.28 to $27.09,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$23.09 to $24.08,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$24.10 to $24.90,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4380</Characters>
  <CharactersWithSpaces>5118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