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6992620" cy="61601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6160135"/>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40"/>
            <w:col w:w="8560"/>
          </w:cols>
          <w:pgMar w:left="460" w:top="216" w:right="359" w:bottom="98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Rallo James M</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XOMETRY, INC.</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7529 STANDISH PLACE,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Xometry,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XMTR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4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06/30/2022</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7"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5"/>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797"/>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90" w:lineRule="exact"/>
        <w:rPr>
          <w:sz w:val="24"/>
          <w:szCs w:val="24"/>
          <w:color w:val="auto"/>
        </w:rPr>
      </w:pPr>
    </w:p>
    <w:p>
      <w:pPr>
        <w:sectPr>
          <w:pgSz w:w="11900" w:h="16838" w:orient="portrait"/>
          <w:cols w:equalWidth="0" w:num="3">
            <w:col w:w="3200" w:space="720"/>
            <w:col w:w="3103" w:space="720"/>
            <w:col w:w="3337"/>
          </w:cols>
          <w:pgMar w:left="460" w:top="216" w:right="359" w:bottom="987" w:gutter="0" w:footer="0" w:header="0"/>
          <w:type w:val="continuous"/>
        </w:sect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540" w:type="dxa"/>
            <w:vAlign w:val="bottom"/>
            <w:gridSpan w:val="6"/>
          </w:tcPr>
          <w:p>
            <w:pPr>
              <w:jc w:val="right"/>
              <w:ind w:right="34"/>
              <w:spacing w:after="0" w:line="148" w:lineRule="exact"/>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1"/>
          </w:tcPr>
          <w:p>
            <w:pPr>
              <w:ind w:left="440"/>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160" w:type="dxa"/>
            <w:vAlign w:val="bottom"/>
            <w:gridSpan w:val="10"/>
            <w:vMerge w:val="restart"/>
          </w:tcPr>
          <w:p>
            <w:pPr>
              <w:ind w:left="2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DERWOOD</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MD</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20855</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16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92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292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vMerge w:val="restart"/>
          </w:tcPr>
          <w:p>
            <w:pPr>
              <w:spacing w:after="0"/>
              <w:rPr>
                <w:sz w:val="6"/>
                <w:szCs w:val="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auto"/>
                <w:w w:val="97"/>
              </w:rPr>
              <w:t>Person</w:t>
            </w: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200" w:type="dxa"/>
            <w:vAlign w:val="bottom"/>
            <w:tcBorders>
              <w:bottom w:val="single" w:sz="8" w:color="2C2C2C"/>
            </w:tcBorders>
            <w:gridSpan w:val="8"/>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4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8"/>
              </w:rPr>
              <w:t>Disposed Of (D) (Instr. 3, 4 and 5)</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3"/>
          </w:tcPr>
          <w:p>
            <w:pPr>
              <w:ind w:left="54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3"/>
          </w:tcPr>
          <w:p>
            <w:pPr>
              <w:jc w:val="right"/>
              <w:ind w:right="95"/>
              <w:spacing w:after="0"/>
              <w:rPr>
                <w:sz w:val="20"/>
                <w:szCs w:val="20"/>
                <w:color w:val="auto"/>
              </w:rPr>
            </w:pPr>
            <w:r>
              <w:rPr>
                <w:rFonts w:ascii="Times New Roman" w:cs="Times New Roman" w:eastAsia="Times New Roman" w:hAnsi="Times New Roman"/>
                <w:sz w:val="17"/>
                <w:szCs w:val="17"/>
                <w:color w:val="0000FF"/>
              </w:rPr>
              <w:t>06/30/2022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4,566</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center"/>
              <w:ind w:left="11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3.65</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right"/>
              <w:ind w:right="320"/>
              <w:spacing w:after="0"/>
              <w:rPr>
                <w:sz w:val="20"/>
                <w:szCs w:val="20"/>
                <w:color w:val="auto"/>
              </w:rPr>
            </w:pPr>
            <w:r>
              <w:rPr>
                <w:rFonts w:ascii="Times New Roman" w:cs="Times New Roman" w:eastAsia="Times New Roman" w:hAnsi="Times New Roman"/>
                <w:sz w:val="17"/>
                <w:szCs w:val="17"/>
                <w:color w:val="0000FF"/>
              </w:rPr>
              <w:t>26,253</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3"/>
          </w:tcPr>
          <w:p>
            <w:pPr>
              <w:jc w:val="right"/>
              <w:ind w:right="95"/>
              <w:spacing w:after="0"/>
              <w:rPr>
                <w:sz w:val="20"/>
                <w:szCs w:val="20"/>
                <w:color w:val="auto"/>
              </w:rPr>
            </w:pPr>
            <w:r>
              <w:rPr>
                <w:rFonts w:ascii="Times New Roman" w:cs="Times New Roman" w:eastAsia="Times New Roman" w:hAnsi="Times New Roman"/>
                <w:sz w:val="17"/>
                <w:szCs w:val="17"/>
                <w:color w:val="0000FF"/>
              </w:rPr>
              <w:t>06/30/2022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5,434</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center"/>
              <w:ind w:left="11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3.65</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right"/>
              <w:ind w:right="320"/>
              <w:spacing w:after="0"/>
              <w:rPr>
                <w:sz w:val="20"/>
                <w:szCs w:val="20"/>
                <w:color w:val="auto"/>
              </w:rPr>
            </w:pPr>
            <w:r>
              <w:rPr>
                <w:rFonts w:ascii="Times New Roman" w:cs="Times New Roman" w:eastAsia="Times New Roman" w:hAnsi="Times New Roman"/>
                <w:sz w:val="17"/>
                <w:szCs w:val="17"/>
                <w:color w:val="0000FF"/>
              </w:rPr>
              <w:t>31,687</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3"/>
          </w:tcPr>
          <w:p>
            <w:pPr>
              <w:jc w:val="right"/>
              <w:ind w:right="95"/>
              <w:spacing w:after="0"/>
              <w:rPr>
                <w:sz w:val="20"/>
                <w:szCs w:val="20"/>
                <w:color w:val="auto"/>
              </w:rPr>
            </w:pPr>
            <w:r>
              <w:rPr>
                <w:rFonts w:ascii="Times New Roman" w:cs="Times New Roman" w:eastAsia="Times New Roman" w:hAnsi="Times New Roman"/>
                <w:sz w:val="17"/>
                <w:szCs w:val="17"/>
                <w:color w:val="0000FF"/>
              </w:rPr>
              <w:t>06/30/2022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3,377</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33.1421</w:t>
            </w:r>
            <w:r>
              <w:rPr>
                <w:rFonts w:ascii="Times New Roman" w:cs="Times New Roman" w:eastAsia="Times New Roman" w:hAnsi="Times New Roman"/>
                <w:sz w:val="21"/>
                <w:szCs w:val="21"/>
                <w:color w:val="008000"/>
                <w:w w:val="93"/>
                <w:vertAlign w:val="superscript"/>
              </w:rPr>
              <w:t>(3)</w:t>
            </w:r>
          </w:p>
        </w:tc>
        <w:tc>
          <w:tcPr>
            <w:tcW w:w="1220" w:type="dxa"/>
            <w:vAlign w:val="bottom"/>
            <w:tcBorders>
              <w:bottom w:val="single" w:sz="8" w:color="2C2C2C"/>
            </w:tcBorders>
            <w:gridSpan w:val="3"/>
          </w:tcPr>
          <w:p>
            <w:pPr>
              <w:jc w:val="right"/>
              <w:ind w:right="320"/>
              <w:spacing w:after="0"/>
              <w:rPr>
                <w:sz w:val="20"/>
                <w:szCs w:val="20"/>
                <w:color w:val="auto"/>
              </w:rPr>
            </w:pPr>
            <w:r>
              <w:rPr>
                <w:rFonts w:ascii="Times New Roman" w:cs="Times New Roman" w:eastAsia="Times New Roman" w:hAnsi="Times New Roman"/>
                <w:sz w:val="17"/>
                <w:szCs w:val="17"/>
                <w:color w:val="0000FF"/>
              </w:rPr>
              <w:t>28,310</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3"/>
          </w:tcPr>
          <w:p>
            <w:pPr>
              <w:jc w:val="right"/>
              <w:ind w:right="95"/>
              <w:spacing w:after="0"/>
              <w:rPr>
                <w:sz w:val="20"/>
                <w:szCs w:val="20"/>
                <w:color w:val="auto"/>
              </w:rPr>
            </w:pPr>
            <w:r>
              <w:rPr>
                <w:rFonts w:ascii="Times New Roman" w:cs="Times New Roman" w:eastAsia="Times New Roman" w:hAnsi="Times New Roman"/>
                <w:sz w:val="17"/>
                <w:szCs w:val="17"/>
                <w:color w:val="0000FF"/>
              </w:rPr>
              <w:t>06/30/2022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6,623</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33.776</w:t>
            </w:r>
            <w:r>
              <w:rPr>
                <w:rFonts w:ascii="Times New Roman" w:cs="Times New Roman" w:eastAsia="Times New Roman" w:hAnsi="Times New Roman"/>
                <w:sz w:val="21"/>
                <w:szCs w:val="21"/>
                <w:color w:val="008000"/>
                <w:w w:val="93"/>
                <w:vertAlign w:val="superscript"/>
              </w:rPr>
              <w:t>(4)</w:t>
            </w:r>
          </w:p>
        </w:tc>
        <w:tc>
          <w:tcPr>
            <w:tcW w:w="1220" w:type="dxa"/>
            <w:vAlign w:val="bottom"/>
            <w:tcBorders>
              <w:bottom w:val="single" w:sz="8" w:color="2C2C2C"/>
            </w:tcBorders>
            <w:gridSpan w:val="3"/>
          </w:tcPr>
          <w:p>
            <w:pPr>
              <w:jc w:val="right"/>
              <w:ind w:right="320"/>
              <w:spacing w:after="0"/>
              <w:rPr>
                <w:sz w:val="20"/>
                <w:szCs w:val="20"/>
                <w:color w:val="auto"/>
              </w:rPr>
            </w:pPr>
            <w:r>
              <w:rPr>
                <w:rFonts w:ascii="Times New Roman" w:cs="Times New Roman" w:eastAsia="Times New Roman" w:hAnsi="Times New Roman"/>
                <w:sz w:val="17"/>
                <w:szCs w:val="17"/>
                <w:color w:val="0000FF"/>
              </w:rPr>
              <w:t>21,687</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380" w:type="dxa"/>
            <w:vAlign w:val="bottom"/>
            <w:gridSpan w:val="9"/>
          </w:tcPr>
          <w:p>
            <w:pPr>
              <w:ind w:left="68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5,434</w:t>
            </w: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3.65</w:t>
            </w:r>
          </w:p>
        </w:tc>
        <w:tc>
          <w:tcPr>
            <w:tcW w:w="160" w:type="dxa"/>
            <w:vAlign w:val="bottom"/>
          </w:tcPr>
          <w:p>
            <w:pPr>
              <w:spacing w:after="0"/>
              <w:rPr>
                <w:sz w:val="6"/>
                <w:szCs w:val="6"/>
                <w:color w:val="auto"/>
              </w:rPr>
            </w:pPr>
          </w:p>
        </w:tc>
        <w:tc>
          <w:tcPr>
            <w:tcW w:w="1040" w:type="dxa"/>
            <w:vAlign w:val="bottom"/>
            <w:vMerge w:val="restart"/>
          </w:tcPr>
          <w:p>
            <w:pPr>
              <w:jc w:val="right"/>
              <w:ind w:right="132"/>
              <w:spacing w:after="0" w:line="143" w:lineRule="exact"/>
              <w:rPr>
                <w:sz w:val="20"/>
                <w:szCs w:val="20"/>
                <w:color w:val="auto"/>
              </w:rPr>
            </w:pPr>
            <w:r>
              <w:rPr>
                <w:rFonts w:ascii="Times New Roman" w:cs="Times New Roman" w:eastAsia="Times New Roman" w:hAnsi="Times New Roman"/>
                <w:sz w:val="13"/>
                <w:szCs w:val="13"/>
                <w:color w:val="0000FF"/>
              </w:rPr>
              <w:t>06/30/2022</w:t>
            </w: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vMerge w:val="restart"/>
          </w:tcPr>
          <w:p>
            <w:pPr>
              <w:jc w:val="right"/>
              <w:ind w:right="75"/>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5,434</w:t>
            </w:r>
          </w:p>
        </w:tc>
        <w:tc>
          <w:tcPr>
            <w:tcW w:w="800" w:type="dxa"/>
            <w:vAlign w:val="bottom"/>
            <w:vMerge w:val="continue"/>
          </w:tcPr>
          <w:p>
            <w:pPr>
              <w:spacing w:after="0"/>
              <w:rPr>
                <w:sz w:val="6"/>
                <w:szCs w:val="6"/>
                <w:color w:val="auto"/>
              </w:rPr>
            </w:pPr>
          </w:p>
        </w:tc>
        <w:tc>
          <w:tcPr>
            <w:tcW w:w="7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05/05/2030</w:t>
            </w:r>
          </w:p>
        </w:tc>
        <w:tc>
          <w:tcPr>
            <w:tcW w:w="56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w w:val="94"/>
              </w:rPr>
              <w:t>Common</w:t>
            </w: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gridSpan w:val="2"/>
            <w:vMerge w:val="restart"/>
          </w:tcPr>
          <w:p>
            <w:pPr>
              <w:jc w:val="right"/>
              <w:ind w:righ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40" w:type="dxa"/>
            <w:vAlign w:val="bottom"/>
            <w:vMerge w:val="restart"/>
          </w:tcPr>
          <w:p>
            <w:pPr>
              <w:ind w:left="200"/>
              <w:spacing w:after="0" w:line="143" w:lineRule="exact"/>
              <w:rPr>
                <w:sz w:val="20"/>
                <w:szCs w:val="20"/>
                <w:color w:val="auto"/>
              </w:rPr>
            </w:pPr>
            <w:r>
              <w:rPr>
                <w:rFonts w:ascii="Times New Roman" w:cs="Times New Roman" w:eastAsia="Times New Roman" w:hAnsi="Times New Roman"/>
                <w:sz w:val="13"/>
                <w:szCs w:val="13"/>
                <w:color w:val="0000FF"/>
                <w:w w:val="99"/>
              </w:rPr>
              <w:t>335,743</w:t>
            </w:r>
          </w:p>
        </w:tc>
        <w:tc>
          <w:tcPr>
            <w:tcW w:w="24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vMerge w:val="restart"/>
          </w:tcPr>
          <w:p>
            <w:pPr>
              <w:jc w:val="right"/>
              <w:ind w:right="34"/>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4,566</w:t>
            </w: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3.65</w:t>
            </w:r>
          </w:p>
        </w:tc>
        <w:tc>
          <w:tcPr>
            <w:tcW w:w="160" w:type="dxa"/>
            <w:vAlign w:val="bottom"/>
          </w:tcPr>
          <w:p>
            <w:pPr>
              <w:spacing w:after="0"/>
              <w:rPr>
                <w:sz w:val="6"/>
                <w:szCs w:val="6"/>
                <w:color w:val="auto"/>
              </w:rPr>
            </w:pPr>
          </w:p>
        </w:tc>
        <w:tc>
          <w:tcPr>
            <w:tcW w:w="1040" w:type="dxa"/>
            <w:vAlign w:val="bottom"/>
            <w:vMerge w:val="restart"/>
          </w:tcPr>
          <w:p>
            <w:pPr>
              <w:jc w:val="right"/>
              <w:ind w:right="132"/>
              <w:spacing w:after="0" w:line="143" w:lineRule="exact"/>
              <w:rPr>
                <w:sz w:val="20"/>
                <w:szCs w:val="20"/>
                <w:color w:val="auto"/>
              </w:rPr>
            </w:pPr>
            <w:r>
              <w:rPr>
                <w:rFonts w:ascii="Times New Roman" w:cs="Times New Roman" w:eastAsia="Times New Roman" w:hAnsi="Times New Roman"/>
                <w:sz w:val="13"/>
                <w:szCs w:val="13"/>
                <w:color w:val="0000FF"/>
              </w:rPr>
              <w:t>06/30/2022</w:t>
            </w: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vMerge w:val="restart"/>
          </w:tcPr>
          <w:p>
            <w:pPr>
              <w:jc w:val="right"/>
              <w:ind w:right="75"/>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4,566</w:t>
            </w:r>
          </w:p>
        </w:tc>
        <w:tc>
          <w:tcPr>
            <w:tcW w:w="800" w:type="dxa"/>
            <w:vAlign w:val="bottom"/>
            <w:vMerge w:val="continue"/>
          </w:tcPr>
          <w:p>
            <w:pPr>
              <w:spacing w:after="0"/>
              <w:rPr>
                <w:sz w:val="6"/>
                <w:szCs w:val="6"/>
                <w:color w:val="auto"/>
              </w:rPr>
            </w:pPr>
          </w:p>
        </w:tc>
        <w:tc>
          <w:tcPr>
            <w:tcW w:w="7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05/05/2030</w:t>
            </w:r>
          </w:p>
        </w:tc>
        <w:tc>
          <w:tcPr>
            <w:tcW w:w="56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w w:val="94"/>
              </w:rPr>
              <w:t>Common</w:t>
            </w: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gridSpan w:val="2"/>
            <w:vMerge w:val="restart"/>
          </w:tcPr>
          <w:p>
            <w:pPr>
              <w:jc w:val="right"/>
              <w:ind w:righ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40" w:type="dxa"/>
            <w:vAlign w:val="bottom"/>
            <w:vMerge w:val="restart"/>
          </w:tcPr>
          <w:p>
            <w:pPr>
              <w:ind w:left="200"/>
              <w:spacing w:after="0" w:line="143" w:lineRule="exact"/>
              <w:rPr>
                <w:sz w:val="20"/>
                <w:szCs w:val="20"/>
                <w:color w:val="auto"/>
              </w:rPr>
            </w:pPr>
            <w:r>
              <w:rPr>
                <w:rFonts w:ascii="Times New Roman" w:cs="Times New Roman" w:eastAsia="Times New Roman" w:hAnsi="Times New Roman"/>
                <w:sz w:val="13"/>
                <w:szCs w:val="13"/>
                <w:color w:val="0000FF"/>
                <w:w w:val="99"/>
              </w:rPr>
              <w:t>331,177</w:t>
            </w:r>
          </w:p>
        </w:tc>
        <w:tc>
          <w:tcPr>
            <w:tcW w:w="24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vMerge w:val="restart"/>
          </w:tcPr>
          <w:p>
            <w:pPr>
              <w:jc w:val="right"/>
              <w:ind w:right="34"/>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-2642235</wp:posOffset>
            </wp:positionV>
            <wp:extent cx="29210" cy="26473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6473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36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in this Form 4 was effected automatically pursuant to a Rule 10b5-1 trading plan adopted by the reporting person at least 30 days prior to the trading date and amended at least 14 days prior to the trading date.</w:t>
      </w:r>
    </w:p>
    <w:p>
      <w:pPr>
        <w:spacing w:after="0" w:line="16" w:lineRule="exact"/>
        <w:rPr>
          <w:rFonts w:ascii="Times New Roman" w:cs="Times New Roman" w:eastAsia="Times New Roman" w:hAnsi="Times New Roman"/>
          <w:sz w:val="13"/>
          <w:szCs w:val="13"/>
          <w:color w:val="008000"/>
        </w:rPr>
      </w:pPr>
    </w:p>
    <w:p>
      <w:pPr>
        <w:ind w:left="40" w:right="16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10b5-1 trading plan adopted by the reporting person at least 30 days prior to the trading date and amended at least 14 days prior to trading the date.</w:t>
      </w:r>
    </w:p>
    <w:p>
      <w:pPr>
        <w:spacing w:after="0" w:line="16" w:lineRule="exact"/>
        <w:rPr>
          <w:rFonts w:ascii="Times New Roman" w:cs="Times New Roman" w:eastAsia="Times New Roman" w:hAnsi="Times New Roman"/>
          <w:sz w:val="13"/>
          <w:szCs w:val="13"/>
          <w:color w:val="008000"/>
        </w:rPr>
      </w:pPr>
    </w:p>
    <w:p>
      <w:pPr>
        <w:jc w:val="both"/>
        <w:ind w:left="40" w:right="22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$32.57 to $33.55, inclusive. The reporting person undertakes to provide to Xometry, Inc., any security holder of Xometry, Inc. or the staff of the Securities and Exchange Commission, upon request, full information regarding the number of shares sold at each separate price within the ranges set forth in footnotes (3) and (4) to this Form 4.</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$33.58 to $34.00, inclusive.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One quarter (1/4) of the shares vested on April 13, 2021, and thereafter, the remainder of the shares vest in 36 monthly installments, subject to the Reporting Person's continuous service.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Kristie Scott, Attorney-in-</w:t>
            </w:r>
          </w:p>
        </w:tc>
        <w:tc>
          <w:tcPr>
            <w:tcW w:w="100" w:type="dxa"/>
            <w:vAlign w:val="bottom"/>
          </w:tcPr>
          <w:p>
            <w:pPr>
              <w:spacing w:after="0"/>
              <w:rPr>
                <w:sz w:val="17"/>
                <w:szCs w:val="17"/>
                <w:color w:val="auto"/>
              </w:rPr>
            </w:pP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5"/>
              </w:rPr>
              <w:t>07/01/2022</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78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98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52659" TargetMode="External"/><Relationship Id="rId13"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2022-07-01T16:21:48Z</dcterms:created>
  <dcterms:modified xsi:type="dcterms:W3CDTF">2022-07-01T16:21:48Z</dcterms:modified>
</cp:coreProperties>
</file>