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CRONIN BILL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Revenue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01/03/2024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6"/>
        <w:gridCol w:w="917"/>
        <w:gridCol w:w="786"/>
        <w:gridCol w:w="661"/>
        <w:gridCol w:w="294"/>
        <w:gridCol w:w="836"/>
        <w:gridCol w:w="442"/>
        <w:gridCol w:w="985"/>
        <w:gridCol w:w="1149"/>
        <w:gridCol w:w="990"/>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01/03/2024</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2,121</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35.5914</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141,618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01/03/2024</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34.5195</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141,460</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$33.20 to $34.02,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$34.51 to $34.66,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59278" TargetMode="External"/><Relationship Id="rId4" Type="http://schemas.openxmlformats.org/officeDocument/2006/relationships/hyperlink" Target="http://www.sec.gov/cgi-bin/browse-edgar?action=getcompany&amp;CIK=000165757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734</Words>
  <Characters>3946</Characters>
  <CharactersWithSpaces>4607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