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xmtr-20260630.htm"/>
        <w:bookmarkStart w:id="1" w:name="ksxmtr20260630"/>
        <w:bookmarkEnd w:id="0"/>
        <w:bookmarkEnd w:id="1"/>
        <w:r>
          <w:rPr>
            <w:rStyle w:val="InternetLink"/>
            <w:rFonts w:ascii="Times New Roman" w:hAnsi="Times New Roman"/>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 to 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001-40546</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32-0415449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6116 Executive Blvd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18"/>
              </w:rPr>
              <w:t>Suite 800</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8"/>
              </w:rPr>
              <w:t>North Bethesda, MD</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20852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(240) 335-7914</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4006"/>
        <w:gridCol w:w="146"/>
        <w:gridCol w:w="826"/>
        <w:gridCol w:w="146"/>
        <w:gridCol w:w="3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XMTR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27, 2026, the registrant had 55,848,262</w:t>
      </w:r>
      <w:r>
        <w:rPr>
          <w:rFonts w:ascii="Times New Roman" w:hAnsi="Times New Roman"/>
          <w:color w:val="000000"/>
          <w:sz w:val="20"/>
        </w:rPr>
        <w:t xml:space="preserve"> </w:t>
      </w:r>
      <w:r>
        <w:rPr>
          <w:rFonts w:ascii="Times New Roman" w:hAnsi="Times New Roman"/>
          <w:color w:val="000000"/>
          <w:sz w:val="18"/>
        </w:rPr>
        <w:t>shares of Class A common stock, $0.000001 par value per share, and 1,475,311</w:t>
      </w:r>
      <w:r>
        <w:rPr>
          <w:rFonts w:ascii="Times New Roman" w:hAnsi="Times New Roman"/>
          <w:color w:val="000000"/>
          <w:sz w:val="20"/>
        </w:rPr>
        <w:t xml:space="preserve"> </w:t>
      </w:r>
      <w:r>
        <w:rPr>
          <w:rFonts w:ascii="Times New Roman" w:hAnsi="Times New Roman"/>
          <w:color w:val="000000"/>
          <w:sz w:val="18"/>
        </w:rPr>
        <w:t>shares of Class B common stock, $0.000001 par value per share, outstanding.</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center"/>
        <w:rPr/>
      </w:pPr>
      <w:r>
        <w:rPr/>
        <w:t> </w:t>
      </w:r>
    </w:p>
    <w:p>
      <w:pPr>
        <w:pStyle w:val="TextBody"/>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f_ope">
              <w:r>
                <w:rPr>
                  <w:rStyle w:val="InternetLink"/>
                  <w:rFonts w:ascii="Times New Roman" w:hAnsi="Times New Roman"/>
                  <w:color w:val="0000FF"/>
                  <w:sz w:val="20"/>
                  <w:u w:val="single"/>
                </w:rPr>
                <w:t>Condensed Consolidated Statements of Operations and Comprehensive Loss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equity_statement_new">
              <w:r>
                <w:rPr>
                  <w:rStyle w:val="InternetLink"/>
                  <w:rFonts w:ascii="Times New Roman" w:hAnsi="Times New Roman"/>
                  <w:color w:val="0000FF"/>
                  <w:sz w:val="20"/>
                  <w:u w:val="single"/>
                </w:rPr>
                <w:t>Condensed Consolidated Statements of Changes in Stockholders’ Equity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r>
              <w:rPr>
                <w:rFonts w:ascii="Times New Roman" w:hAnsi="Times New Roman"/>
                <w:color w:val="000000"/>
                <w:sz w:val="20"/>
              </w:rPr>
              <w:t xml:space="preserve"> </w:t>
            </w:r>
            <w:r>
              <w:rPr>
                <w:rFonts w:ascii="Times New Roman" w:hAnsi="Times New Roman"/>
                <w:color w:val="0000FF"/>
                <w:sz w:val="20"/>
                <w:u w:val="single"/>
              </w:rPr>
              <w:t>(Unaudited)</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Condensed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anticipated growth of our business, including our ability to effectively manage or sustain our growth and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inflation, interest rates, recessionary factors, foreign exchange rate volatility, tariffs and other trade barriers, domestic and global geopolitical uncertainties, public health crises, supply-chain disruptions or other macroeconomic factors, which may lead to periods of global economic uncertainty;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new buyers and suppliers and successfully engage new and existing buyers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success of our sales and marketing efforts, and our ability to promote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maintain, protect and enforce our intellectual property or other proprietary rights and any costs associated therewith;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effectively manage our costs and expenses, which may be impacted by changes in tariff policies and inflationary pressures;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rates of the markets in which we compete.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5" w:name="condensed_consolidated_balance_sheets"/>
      <w:bookmarkEnd w:id="5"/>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432"/>
        <w:gridCol w:w="146"/>
        <w:gridCol w:w="196"/>
        <w:gridCol w:w="826"/>
        <w:gridCol w:w="166"/>
        <w:gridCol w:w="146"/>
        <w:gridCol w:w="223"/>
        <w:gridCol w:w="858"/>
        <w:gridCol w:w="212"/>
      </w:tblGrid>
      <w:tr>
        <w:trPr/>
        <w:tc>
          <w:tcPr>
            <w:tcW w:w="7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204,145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Accounts receivable, less allowance for credit losses of $8.6</w:t>
            </w:r>
            <w:r>
              <w:rPr>
                <w:rFonts w:ascii="Times New Roman" w:hAnsi="Times New Roman"/>
                <w:color w:val="000000"/>
                <w:sz w:val="20"/>
              </w:rPr>
              <w:t> </w:t>
            </w:r>
            <w:r>
              <w:rPr>
                <w:rFonts w:ascii="Times New Roman" w:hAnsi="Times New Roman"/>
                <w:color w:val="000000"/>
                <w:sz w:val="16"/>
              </w:rPr>
              <w:t>million and $8.0</w:t>
            </w:r>
            <w:r>
              <w:rPr>
                <w:rFonts w:ascii="Times New Roman" w:hAnsi="Times New Roman"/>
                <w:color w:val="000000"/>
                <w:sz w:val="20"/>
              </w:rPr>
              <w:t> </w:t>
            </w:r>
            <w:r>
              <w:rPr>
                <w:rFonts w:ascii="Times New Roman" w:hAnsi="Times New Roman"/>
                <w:color w:val="000000"/>
                <w:sz w:val="16"/>
              </w:rPr>
              <w:t>million as of June 30, 2026</w:t>
              <w:br/>
              <w:t>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334,644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Software development and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Investment in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263,801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703,720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payable and accrued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44,612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Convertible notes,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Convertible notes,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327,514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426,983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Commitments and contingencies</w:t>
            </w:r>
            <w:r>
              <w:rPr>
                <w:rFonts w:ascii="Times New Roman" w:hAnsi="Times New Roman"/>
                <w:color w:val="000000"/>
                <w:sz w:val="20"/>
              </w:rPr>
              <w:t> </w:t>
            </w:r>
            <w:r>
              <w:rPr>
                <w:rFonts w:ascii="Times New Roman" w:hAnsi="Times New Roman"/>
                <w:b/>
                <w:color w:val="000000"/>
                <w:sz w:val="16"/>
              </w:rPr>
              <w:t>(Note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Preferred stock, $0.000001</w:t>
            </w:r>
            <w:r>
              <w:rPr>
                <w:rFonts w:ascii="Times New Roman" w:hAnsi="Times New Roman"/>
                <w:color w:val="000000"/>
                <w:sz w:val="20"/>
              </w:rPr>
              <w:t> </w:t>
            </w:r>
            <w:r>
              <w:rPr>
                <w:rFonts w:ascii="Times New Roman" w:hAnsi="Times New Roman"/>
                <w:color w:val="000000"/>
                <w:sz w:val="16"/>
              </w:rPr>
              <w:t>par value. Authorized; 50,000,000</w:t>
            </w:r>
            <w:r>
              <w:rPr>
                <w:rFonts w:ascii="Times New Roman" w:hAnsi="Times New Roman"/>
                <w:color w:val="000000"/>
                <w:sz w:val="20"/>
              </w:rPr>
              <w:t> </w:t>
            </w:r>
            <w:r>
              <w:rPr>
                <w:rFonts w:ascii="Times New Roman" w:hAnsi="Times New Roman"/>
                <w:color w:val="000000"/>
                <w:sz w:val="16"/>
              </w:rPr>
              <w:t>shares; zero</w:t>
            </w:r>
            <w:r>
              <w:rPr>
                <w:rFonts w:ascii="Times New Roman" w:hAnsi="Times New Roman"/>
                <w:color w:val="000000"/>
                <w:sz w:val="20"/>
              </w:rPr>
              <w:t> </w:t>
            </w:r>
            <w:r>
              <w:rPr>
                <w:rFonts w:ascii="Times New Roman" w:hAnsi="Times New Roman"/>
                <w:color w:val="000000"/>
                <w:sz w:val="16"/>
              </w:rPr>
              <w:t xml:space="preserve">shares issued and outstanding as of </w:t>
              <w:br/>
              <w: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Class A common stock, $0.000001</w:t>
            </w:r>
            <w:r>
              <w:rPr>
                <w:rFonts w:ascii="Times New Roman" w:hAnsi="Times New Roman"/>
                <w:color w:val="000000"/>
                <w:sz w:val="20"/>
              </w:rPr>
              <w:t> </w:t>
            </w:r>
            <w:r>
              <w:rPr>
                <w:rFonts w:ascii="Times New Roman" w:hAnsi="Times New Roman"/>
                <w:color w:val="000000"/>
                <w:sz w:val="16"/>
              </w:rPr>
              <w:t>par value. Authorized; 750,000,000</w:t>
            </w:r>
            <w:r>
              <w:rPr>
                <w:rFonts w:ascii="Times New Roman" w:hAnsi="Times New Roman"/>
                <w:color w:val="000000"/>
                <w:sz w:val="20"/>
              </w:rPr>
              <w:t> </w:t>
            </w:r>
            <w:r>
              <w:rPr>
                <w:rFonts w:ascii="Times New Roman" w:hAnsi="Times New Roman"/>
                <w:color w:val="000000"/>
                <w:sz w:val="16"/>
              </w:rPr>
              <w:t>shares; 55,562,067</w:t>
            </w:r>
            <w:r>
              <w:rPr>
                <w:rFonts w:ascii="Times New Roman" w:hAnsi="Times New Roman"/>
                <w:color w:val="000000"/>
                <w:sz w:val="20"/>
              </w:rPr>
              <w:t> </w:t>
            </w:r>
            <w:r>
              <w:rPr>
                <w:rFonts w:ascii="Times New Roman" w:hAnsi="Times New Roman"/>
                <w:color w:val="000000"/>
                <w:sz w:val="16"/>
              </w:rPr>
              <w:t xml:space="preserve">shares and </w:t>
              <w:br/>
              <w:t>   49,842,220</w:t>
            </w:r>
            <w:r>
              <w:rPr>
                <w:rFonts w:ascii="Times New Roman" w:hAnsi="Times New Roman"/>
                <w:color w:val="000000"/>
                <w:sz w:val="20"/>
              </w:rPr>
              <w:t> </w:t>
            </w:r>
            <w:r>
              <w:rPr>
                <w:rFonts w:ascii="Times New Roman" w:hAnsi="Times New Roman"/>
                <w:color w:val="000000"/>
                <w:sz w:val="16"/>
              </w:rPr>
              <w:t>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Class B common stock, $0.000001</w:t>
            </w:r>
            <w:r>
              <w:rPr>
                <w:rFonts w:ascii="Times New Roman" w:hAnsi="Times New Roman"/>
                <w:color w:val="000000"/>
                <w:sz w:val="20"/>
              </w:rPr>
              <w:t> </w:t>
            </w:r>
            <w:r>
              <w:rPr>
                <w:rFonts w:ascii="Times New Roman" w:hAnsi="Times New Roman"/>
                <w:color w:val="000000"/>
                <w:sz w:val="16"/>
              </w:rPr>
              <w:t>par value. Authorized; 5,000,000</w:t>
            </w:r>
            <w:r>
              <w:rPr>
                <w:rFonts w:ascii="Times New Roman" w:hAnsi="Times New Roman"/>
                <w:color w:val="000000"/>
                <w:sz w:val="20"/>
              </w:rPr>
              <w:t> </w:t>
            </w:r>
            <w:r>
              <w:rPr>
                <w:rFonts w:ascii="Times New Roman" w:hAnsi="Times New Roman"/>
                <w:color w:val="000000"/>
                <w:sz w:val="16"/>
              </w:rPr>
              <w:t>shares; 1,475,311</w:t>
            </w:r>
            <w:r>
              <w:rPr>
                <w:rFonts w:ascii="Times New Roman" w:hAnsi="Times New Roman"/>
                <w:color w:val="000000"/>
                <w:sz w:val="20"/>
              </w:rPr>
              <w:t> </w:t>
            </w:r>
            <w:r>
              <w:rPr>
                <w:rFonts w:ascii="Times New Roman" w:hAnsi="Times New Roman"/>
                <w:color w:val="000000"/>
                <w:sz w:val="16"/>
              </w:rPr>
              <w:t xml:space="preserve">shares issued and </w:t>
              <w:br/>
              <w:t>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Treasury stock, at cost, 220,994</w:t>
            </w:r>
            <w:r>
              <w:rPr>
                <w:rFonts w:ascii="Times New Roman" w:hAnsi="Times New Roman"/>
                <w:color w:val="000000"/>
                <w:sz w:val="20"/>
              </w:rPr>
              <w:t> </w:t>
            </w:r>
            <w:r>
              <w:rPr>
                <w:rFonts w:ascii="Times New Roman" w:hAnsi="Times New Roman"/>
                <w:color w:val="000000"/>
                <w:sz w:val="16"/>
              </w:rPr>
              <w:t>shares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(432,016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275,601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276,737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703,720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6" w:name="condensed_consolidated_statements_of_ope"/>
      <w:bookmarkEnd w:id="6"/>
      <w:r>
        <w:rPr>
          <w:rFonts w:ascii="Times New Roman" w:hAnsi="Times New Roman"/>
          <w:color w:val="000000"/>
          <w:sz w:val="20"/>
        </w:rPr>
        <w:t xml:space="preserve">Condensed Consolidated Statements of Operations and Comprehensive Loss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4464"/>
        <w:gridCol w:w="146"/>
        <w:gridCol w:w="196"/>
        <w:gridCol w:w="916"/>
        <w:gridCol w:w="166"/>
        <w:gridCol w:w="146"/>
        <w:gridCol w:w="196"/>
        <w:gridCol w:w="916"/>
        <w:gridCol w:w="166"/>
        <w:gridCol w:w="146"/>
        <w:gridCol w:w="196"/>
        <w:gridCol w:w="916"/>
        <w:gridCol w:w="166"/>
        <w:gridCol w:w="146"/>
        <w:gridCol w:w="196"/>
        <w:gridCol w:w="916"/>
        <w:gridCol w:w="21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313,518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75,466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176,405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147,188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 of Class A and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number of shares outstanding used to compute net loss per share, basic and diluted, of Class A and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54,220,463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50,699,914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53,072,865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50,518,492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0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bookmarkStart w:id="7" w:name="equity_statement_new"/>
      <w:bookmarkEnd w:id="7"/>
      <w:r>
        <w:rPr>
          <w:rFonts w:ascii="Times New Roman" w:hAnsi="Times New Roman"/>
          <w:color w:val="000000"/>
          <w:sz w:val="20"/>
        </w:rPr>
        <w:t xml:space="preserve">Condensed Consolidated Statements of Changes in Stockholders’ Equity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Three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14571" w:type="dxa"/>
        <w:jc w:val="left"/>
        <w:tblInd w:w="0" w:type="dxa"/>
        <w:tblLayout w:type="fixed"/>
        <w:tblCellMar>
          <w:top w:w="28" w:type="dxa"/>
          <w:left w:w="28" w:type="dxa"/>
          <w:bottom w:w="28" w:type="dxa"/>
          <w:right w:w="28" w:type="dxa"/>
        </w:tblCellMar>
      </w:tblPr>
      <w:tblGrid>
        <w:gridCol w:w="1201"/>
        <w:gridCol w:w="146"/>
        <w:gridCol w:w="916"/>
        <w:gridCol w:w="166"/>
        <w:gridCol w:w="249"/>
        <w:gridCol w:w="442"/>
        <w:gridCol w:w="146"/>
        <w:gridCol w:w="146"/>
        <w:gridCol w:w="826"/>
        <w:gridCol w:w="146"/>
        <w:gridCol w:w="249"/>
        <w:gridCol w:w="442"/>
        <w:gridCol w:w="146"/>
        <w:gridCol w:w="196"/>
        <w:gridCol w:w="826"/>
        <w:gridCol w:w="166"/>
        <w:gridCol w:w="146"/>
        <w:gridCol w:w="691"/>
        <w:gridCol w:w="146"/>
        <w:gridCol w:w="196"/>
        <w:gridCol w:w="571"/>
        <w:gridCol w:w="166"/>
        <w:gridCol w:w="337"/>
        <w:gridCol w:w="879"/>
        <w:gridCol w:w="146"/>
        <w:gridCol w:w="217"/>
        <w:gridCol w:w="834"/>
        <w:gridCol w:w="166"/>
        <w:gridCol w:w="228"/>
        <w:gridCol w:w="808"/>
        <w:gridCol w:w="166"/>
        <w:gridCol w:w="332"/>
        <w:gridCol w:w="869"/>
        <w:gridCol w:w="166"/>
        <w:gridCol w:w="196"/>
        <w:gridCol w:w="691"/>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50,765,219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283,169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Siemens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underwriters'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3,044,117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related to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55,562,067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596,176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48,992,113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capped calls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49,107,080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Condensed Consolidated Statements of Changes in Stockholders’ Equity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Six months ended June 30, 2026 and 2025</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pPr>
      <w:r>
        <w:rPr/>
        <w:t> </w:t>
      </w:r>
    </w:p>
    <w:tbl>
      <w:tblPr>
        <w:tblW w:w="14591" w:type="dxa"/>
        <w:jc w:val="left"/>
        <w:tblInd w:w="0" w:type="dxa"/>
        <w:tblLayout w:type="fixed"/>
        <w:tblCellMar>
          <w:top w:w="28" w:type="dxa"/>
          <w:left w:w="28" w:type="dxa"/>
          <w:bottom w:w="28" w:type="dxa"/>
          <w:right w:w="28" w:type="dxa"/>
        </w:tblCellMar>
      </w:tblPr>
      <w:tblGrid>
        <w:gridCol w:w="1201"/>
        <w:gridCol w:w="146"/>
        <w:gridCol w:w="916"/>
        <w:gridCol w:w="166"/>
        <w:gridCol w:w="249"/>
        <w:gridCol w:w="442"/>
        <w:gridCol w:w="146"/>
        <w:gridCol w:w="146"/>
        <w:gridCol w:w="826"/>
        <w:gridCol w:w="146"/>
        <w:gridCol w:w="249"/>
        <w:gridCol w:w="442"/>
        <w:gridCol w:w="146"/>
        <w:gridCol w:w="196"/>
        <w:gridCol w:w="826"/>
        <w:gridCol w:w="166"/>
        <w:gridCol w:w="146"/>
        <w:gridCol w:w="691"/>
        <w:gridCol w:w="146"/>
        <w:gridCol w:w="196"/>
        <w:gridCol w:w="571"/>
        <w:gridCol w:w="166"/>
        <w:gridCol w:w="337"/>
        <w:gridCol w:w="879"/>
        <w:gridCol w:w="166"/>
        <w:gridCol w:w="217"/>
        <w:gridCol w:w="834"/>
        <w:gridCol w:w="166"/>
        <w:gridCol w:w="228"/>
        <w:gridCol w:w="808"/>
        <w:gridCol w:w="166"/>
        <w:gridCol w:w="332"/>
        <w:gridCol w:w="869"/>
        <w:gridCol w:w="166"/>
        <w:gridCol w:w="196"/>
        <w:gridCol w:w="691"/>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 -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49,842,220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Siemens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underwriters'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3,044,117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related to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55,562,067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596,176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48,289,274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in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Donated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capped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Comprehensive loss:</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49,107,080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1,475,311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8" w:name="fin120843_4"/>
      <w:bookmarkEnd w:id="8"/>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fin120843_5"/>
      <w:bookmarkEnd w:id="9"/>
      <w:r>
        <w:rPr>
          <w:rFonts w:ascii="Times New Roman" w:hAnsi="Times New Roman"/>
          <w:color w:val="000000"/>
          <w:sz w:val="20"/>
        </w:rPr>
        <w:t xml:space="preserve">Condensed Consolidated Statements of </w:t>
      </w:r>
      <w:bookmarkStart w:id="10" w:name="cash_flows"/>
      <w:bookmarkEnd w:id="10"/>
      <w:r>
        <w:rPr>
          <w:rFonts w:ascii="Times New Roman" w:hAnsi="Times New Roman"/>
          <w:color w:val="000000"/>
          <w:sz w:val="20"/>
        </w:rPr>
        <w:t xml:space="preserve">Cash Flows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left"/>
        <w:rPr/>
      </w:pPr>
      <w:r>
        <w:rPr/>
        <w:t> </w:t>
      </w:r>
    </w:p>
    <w:tbl>
      <w:tblPr>
        <w:tblW w:w="8519" w:type="dxa"/>
        <w:jc w:val="left"/>
        <w:tblInd w:w="0" w:type="dxa"/>
        <w:tblLayout w:type="fixed"/>
        <w:tblCellMar>
          <w:top w:w="28" w:type="dxa"/>
          <w:left w:w="28" w:type="dxa"/>
          <w:bottom w:w="28" w:type="dxa"/>
          <w:right w:w="28" w:type="dxa"/>
        </w:tblCellMar>
      </w:tblPr>
      <w:tblGrid>
        <w:gridCol w:w="5956"/>
        <w:gridCol w:w="146"/>
        <w:gridCol w:w="196"/>
        <w:gridCol w:w="751"/>
        <w:gridCol w:w="166"/>
        <w:gridCol w:w="146"/>
        <w:gridCol w:w="196"/>
        <w:gridCol w:w="75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Reduction in carrying amount of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Lease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Donation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Amortization of deferred costs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Deferred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Accounts payable and accrued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Capitalization of software development and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Distributions in excess of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Costs incurred in connection with issuance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Payments for repurchase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 of capped calls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issuance of common stock, net of underwriters'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Payment of costs related to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Proceeds from issuance of common stock under Siemens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303,981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foreign currency translation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 included in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Non-cash consideration in connection with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Non-cash costs incurred in connection with the 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Non-cash 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Non-cash costs associated with common stock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bookmarkStart w:id="11" w:name="notes_to_financial_statements"/>
      <w:bookmarkEnd w:id="11"/>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12" w:name="consolidated_financial_statements_unaudi"/>
      <w:bookmarkEnd w:id="12"/>
      <w:r>
        <w:rPr>
          <w:rFonts w:ascii="Times New Roman" w:hAnsi="Times New Roman"/>
          <w:color w:val="000000"/>
          <w:sz w:val="20"/>
        </w:rPr>
        <w:t>Notes to 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12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Organization and Description of Business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Xometry, Inc. (“Xometry”, the “Company”, “we”, or “our”) was incorporated in the State of Delaware in May 2013 and our corporate headquarters is located in North Bethesda, Maryland. Xometry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pStyle w:val="TextBody"/>
        <w:bidi w:val="0"/>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Basis of Presentation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February 24,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Condensed Consolidated Balance Sheet as of December 31, 2025,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2026 or any future period. The Company has two reportable segments which are referred to as: (1) the United States (“U.S.”) and (2) International.</w:t>
      </w:r>
    </w:p>
    <w:p>
      <w:pPr>
        <w:pStyle w:val="TextBody"/>
        <w:bidi w:val="0"/>
        <w:spacing w:before="0" w:after="200"/>
        <w:jc w:val="both"/>
        <w:rPr>
          <w:rFonts w:ascii="Times New Roman" w:hAnsi="Times New Roman"/>
          <w:sz w:val="20"/>
        </w:rPr>
      </w:pPr>
      <w:r>
        <w:rPr>
          <w:rFonts w:ascii="Times New Roman" w:hAnsi="Times New Roman"/>
          <w:i/>
          <w:color w:val="000000"/>
          <w:sz w:val="20"/>
        </w:rPr>
        <w:t>Foreign Operations and Comprehensive Loss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U.S. dollar (“USD”) is the functional currency for Xometry’s consolidated subsidiary operating in the U.S. The primary functional currency for the Company’s consolidated subsidiaries operating in Germany, United Kingdom, Turkey, China, Japan and India is the Euro, British Pound Sterling, Turkish Lira, Yuan, Yen and Indian Rupee,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Foreign currency remeasurement and transaction gains and losses are recorded in other expenses, in the Condensed Consolidated Statements of Operations and Comprehensive Loss. Gains and losses resulting from translation are included in accumulated other comprehensive income (loss), as a separate component of equity. </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Noncontrolling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income attributable to the noncontrolling interest in Net loss in our Condensed Consolidated Statements of Operations and Comprehensive Loss.</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(b)</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Use of Estimates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 and Financial Instruments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1 - Observable inputs that reflect quoted prices (unadjusted) for identical assets or liabilities in active markets.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Level 3 - Unobservable inputs reflecting the Company’s own assumptions incorporated in valuation techniques used to determine fair value. These assumptions are required to be consistent with market participant assumptions that are reasonably available.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carrying amounts of certain of the Company’s financial instruments, which include cash and cash equivalents, accounts receivable, prepaid expenses, other assets, accounts payable, accrued expenses and contract liabilities approximate their fair values due to their short maturities. The Company’s marketable securities are recorded at fair value. As of June 30, 2026 and December 31, 2025, we had no assets or liabilities that we measure on a recurring basis using Level 2 or Level 3 inputs.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Cash and cash equivalents consist of cash held in checking accounts. These investments are stated at cost, which approximates fair value.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(e)</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Marketable Securities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measures its marketable securities at fair value. The Company’s marketable securities represent our investments in a short-term money market fund. These marketable securities have maturities of three months or less. As of June 30, 2026 and December 31, 2025, the Company’s marketable securities of $494.9 million and $204.1 million, respectively, were recorded at fair value, within Level 1 of the fair value hierarchy. The fair value of the Company’s Level 1 financial instruments is based on quoted prices in active markets, and total fair value is the published market price per unit multiplied by the number of units held without consideration of transaction costs, discounts or blockage factors.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w:t>
      </w:r>
    </w:p>
    <w:p>
      <w:pPr>
        <w:pStyle w:val="TextBody"/>
        <w:bidi w:val="0"/>
        <w:jc w:val="left"/>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and current market conditions.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 </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Allowance for Credit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allowance for credit losses related to accounts receivable and changes were as follows (in thousands):</w:t>
      </w:r>
    </w:p>
    <w:tbl>
      <w:tblPr>
        <w:tblW w:w="7499" w:type="dxa"/>
        <w:jc w:val="left"/>
        <w:tblInd w:w="0" w:type="dxa"/>
        <w:tblLayout w:type="fixed"/>
        <w:tblCellMar>
          <w:top w:w="28" w:type="dxa"/>
          <w:left w:w="28" w:type="dxa"/>
          <w:bottom w:w="28" w:type="dxa"/>
          <w:right w:w="28" w:type="dxa"/>
        </w:tblCellMar>
      </w:tblPr>
      <w:tblGrid>
        <w:gridCol w:w="5146"/>
        <w:gridCol w:w="146"/>
        <w:gridCol w:w="211"/>
        <w:gridCol w:w="631"/>
        <w:gridCol w:w="166"/>
        <w:gridCol w:w="146"/>
        <w:gridCol w:w="211"/>
        <w:gridCol w:w="631"/>
        <w:gridCol w:w="21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to provision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or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period end, June 30 and December 31,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both"/>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0" w:after="200"/>
        <w:jc w:val="left"/>
        <w:rPr>
          <w:rFonts w:ascii="Times New Roman" w:hAnsi="Times New Roman"/>
          <w:sz w:val="20"/>
        </w:rPr>
      </w:pPr>
      <w:r>
        <w:rPr>
          <w:rFonts w:ascii="Times New Roman" w:hAnsi="Times New Roman"/>
          <w:b/>
          <w:i/>
          <w:color w:val="000000"/>
          <w:sz w:val="20"/>
        </w:rPr>
        <w:t>Software Development, Property and Equipment and Long-Lived Assets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Software development and 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Software development, 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Eligible internal-use software development costs are capitalized subsequent to the completion of the preliminary project stage. Such costs include internal and external direct development costs totaling $27.6 million as of June 30, 2026 and $28.5 million as of December 31, 2025.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(h)</w:t>
      </w:r>
    </w:p>
    <w:p>
      <w:pPr>
        <w:pStyle w:val="TextBody"/>
        <w:bidi w:val="0"/>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200" w:after="200"/>
        <w:jc w:val="both"/>
        <w:rPr>
          <w:rFonts w:ascii="Times New Roman" w:hAnsi="Times New Roman"/>
          <w:sz w:val="20"/>
        </w:rPr>
      </w:pPr>
      <w:r>
        <w:rPr>
          <w:rFonts w:ascii="Times New Roman" w:hAnsi="Times New Roman"/>
          <w:color w:val="000000"/>
          <w:sz w:val="20"/>
        </w:rPr>
        <w:t>Goodwill represents the excess purchase price over the estimated fair value of net assets acquired in a business combination. As of June 30, 2026 and December 31, 2025,</w:t>
      </w:r>
      <w:r>
        <w:rPr>
          <w:rFonts w:ascii="Times New Roman" w:hAnsi="Times New Roman"/>
          <w:color w:val="CC0000"/>
          <w:sz w:val="20"/>
        </w:rPr>
        <w:t xml:space="preserve"> </w:t>
      </w:r>
      <w:r>
        <w:rPr>
          <w:rFonts w:ascii="Times New Roman" w:hAnsi="Times New Roman"/>
          <w:color w:val="000000"/>
          <w:sz w:val="20"/>
        </w:rPr>
        <w:t xml:space="preserve">the Company’s goodwill is attributable to both the U.S. and International reporting units. Goodwill is not amortized. The Company tests goodwill for impairment annually in the fourth quarter, or more frequently, if events or changes in circumstances indicate that the carrying value of a reporting unit, including goodwill, might be impaired.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Revenue </w:t>
      </w:r>
    </w:p>
    <w:p>
      <w:pPr>
        <w:pStyle w:val="TextBody"/>
        <w:bidi w:val="0"/>
        <w:spacing w:before="200" w:after="200"/>
        <w:jc w:val="both"/>
        <w:rPr>
          <w:rFonts w:ascii="Times New Roman" w:hAnsi="Times New Roman"/>
          <w:sz w:val="20"/>
        </w:rPr>
      </w:pPr>
      <w:r>
        <w:rPr>
          <w:rFonts w:ascii="Times New Roman" w:hAnsi="Times New Roman"/>
          <w:color w:val="000000"/>
          <w:sz w:val="20"/>
        </w:rPr>
        <w:t xml:space="preserve">The Company derives the majority of its U.S. and International marketplace revenue from the sale of parts and assemblies fulfilled using a vast network of suppliers. The Company recognizes revenue from the sales to our customers pursuant to the Financial Accounting Standard Board’s (“FASB”) Accounting Standards Codification (“ASC”) </w:t>
      </w:r>
      <w:r>
        <w:rPr>
          <w:rFonts w:ascii="Times New Roman" w:hAnsi="Times New Roman"/>
          <w:i/>
          <w:color w:val="000000"/>
          <w:sz w:val="20"/>
        </w:rPr>
        <w:t>Topic 606, Revenue from Contracts with Customers</w:t>
      </w:r>
      <w:r>
        <w:rPr>
          <w:rFonts w:ascii="Times New Roman" w:hAnsi="Times New Roman"/>
          <w:color w:val="000000"/>
          <w:sz w:val="20"/>
        </w:rPr>
        <w:t xml:space="preserve"> (“ASC 606”).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determines that a contract exists between the Company and the customer when the customer accepts a quote and places an order. The process is governed by the Company’s standard terms and conditions or other agreed upon terms with Xometry’s buyers. Upon receiving an order through Xometry’s platform, the Company identifies the underlying performance obligation(s) necessary for revenue recognition. Using Xometry’s in-house technology, the Company determines the transaction price for the manufactured part(s) or assembly on a stand-alone basis at order initiation. The Company recognizes revenue as control is transferred to the customer, either at a point in time or over time.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Marketplace revenue is primarily recognized from sales to Xometry’s customers upon shipment, at which point control over the part(s) or assembly has transferred. The Company has elected to treat shipping and handling as a fulfillment activity and not as a separate performance obligation.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certain contracts, when we create or enhance an asset that the customer controls, marketplace revenue is recognized over time. Marketplace revenue is recognized over time using the cost-to-cost input method as this measure most accurately depicts the progress of our work and transfer of control to our customers. Changes in estimates affecting sales, costs and profits are recognized in the period in which the change becomes known using the cumulative catch-up method of accounting, resulting in the cumulative effect of changes reflected in the current period.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Company has concluded that it is the principal in the sale of part(s) and assemblies that use the Xometry marketplace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margin risk from the price the Company pays the suppliers, (iii) the Company has discretion in determining how to fulfill each order, including selecting the supplier and (iv) Xometry bears certain risk for product quality to the extent the customer is not satisfied with the final product.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Xometry also derives revenue from its services (previously referred to as “supplier services”) which includes the sale of marketing and advertising services and financial service products.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as applicable. Consideration is typically determined based on a fixed unit price for the service or product provided. For purchase orders involving multiple performance obligations, the transaction price is allocated to each performance obligation based on the relative standalone selling price, and recognized as revenue when each individual product or service is transferred to the customer.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has certain contracts with variable consideration in form of returns, refunds and allowances, which may affect the transaction price used as the basis for revenue recognition. At June 30, 2026 and December 31, 2025, the Company had a provision for estimated returns, refunds or allowances of approximately $0.5 million and $0.2 million, respectively.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Sales tax collected from customers and remitted to governmental authorities is excluded from revenue. </w:t>
      </w:r>
    </w:p>
    <w:p>
      <w:pPr>
        <w:pStyle w:val="TextBody"/>
        <w:bidi w:val="0"/>
        <w:spacing w:before="0" w:after="200"/>
        <w:jc w:val="both"/>
        <w:rPr>
          <w:rFonts w:ascii="Times New Roman" w:hAnsi="Times New Roman"/>
          <w:sz w:val="20"/>
        </w:rPr>
      </w:pPr>
      <w:r>
        <w:rPr>
          <w:rFonts w:ascii="Times New Roman" w:hAnsi="Times New Roman"/>
          <w:i/>
          <w:color w:val="000000"/>
          <w:sz w:val="20"/>
        </w:rPr>
        <w:t>Contract Liabilities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presents contract liabilities as of December 31, 2025 and June 30, 2026 (in thousands): </w:t>
      </w:r>
    </w:p>
    <w:tbl>
      <w:tblPr>
        <w:tblW w:w="4875" w:type="dxa"/>
        <w:jc w:val="left"/>
        <w:tblInd w:w="0" w:type="dxa"/>
        <w:tblLayout w:type="fixed"/>
        <w:tblCellMar>
          <w:top w:w="28" w:type="dxa"/>
          <w:left w:w="28" w:type="dxa"/>
          <w:bottom w:w="28" w:type="dxa"/>
          <w:right w:w="28" w:type="dxa"/>
        </w:tblCellMar>
      </w:tblPr>
      <w:tblGrid>
        <w:gridCol w:w="3466"/>
        <w:gridCol w:w="146"/>
        <w:gridCol w:w="211"/>
        <w:gridCol w:w="84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Rollforward of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 in advance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the six months ended June 30, 2026, the Company recognized approximately $9.5 million of revenue related to its contract liabilities as of December 31, 2025.</w:t>
      </w:r>
    </w:p>
    <w:p>
      <w:pPr>
        <w:pStyle w:val="TextBody"/>
        <w:bidi w:val="0"/>
        <w:spacing w:before="0" w:after="200"/>
        <w:jc w:val="both"/>
        <w:rPr>
          <w:rFonts w:ascii="Times New Roman" w:hAnsi="Times New Roman"/>
          <w:sz w:val="20"/>
        </w:rPr>
      </w:pPr>
      <w:r>
        <w:rPr>
          <w:rFonts w:ascii="Times New Roman" w:hAnsi="Times New Roman"/>
          <w:i/>
          <w:color w:val="000000"/>
          <w:sz w:val="20"/>
        </w:rPr>
        <w:t>Sales Contract Acquisition Costs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incremental costs to obtain a contract may include a sales commission which is generally determined on a per-order basis. For marketplace contracts, sales commissions are generally expensed as incurred. When applicable, for service contracts in excess of one year, the Company amortizes such costs on a straight-line basis over the average customer life of two years for new customers and over the renewal period for existing customers which is generally one year. Sales commissions are included in the Company’s sales and marketing expenses in the Condensed Consolidated Statements of Operations and Comprehensive Loss. For the three and six months ended June 30, 2026, the Company recognized approximately $0.8 million and $1.4 million, respectively, of amortization related to deferred sales commissions. For the three and six months ended June 30, 2025, the Company recognized approximately $0.7 million and $1.4 million, respectively, of amortization related to deferred sales commissions. As of June 30, 2026 and December 31, 2025, the Company had deferred sales contract acquisition costs of $0.4 million and $0.4 million, respectively. Deferred sales contract acquisition costs are classified in Other current assets on the Condensed Consolidated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Cost of revenue for services primarily consists of internal and external production costs and website hosting.</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(k)</w:t>
      </w:r>
    </w:p>
    <w:p>
      <w:pPr>
        <w:pStyle w:val="TextBody"/>
        <w:bidi w:val="0"/>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Lease expense is recognized on a straight-line basis over the term of the lease.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Sales and Marketing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and six months ended June 30, 2026, the Company’s advertising costs were $8.6 million and $17.4 million, respectively. For the three and six months ended June 30, 2025, the Company's advertising costs were $9.2 million and $16.0 million, respectively.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(m)</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Operations and Support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services.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w:t>
      </w:r>
    </w:p>
    <w:p>
      <w:pPr>
        <w:pStyle w:val="TextBody"/>
        <w:bidi w:val="0"/>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Product development costs which are not eligible for capitalization are expensed as incurred. These costs primarily consist of compensation expenses, including stock-based compensation to the Company’s employees performing routine improvements and maintenance on our platforms not related to a specific capitalizable project, software costs and certain depreciation and amortization expense.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w:t>
      </w:r>
    </w:p>
    <w:p>
      <w:pPr>
        <w:pStyle w:val="TextBody"/>
        <w:bidi w:val="0"/>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w:t>
      </w:r>
    </w:p>
    <w:p>
      <w:pPr>
        <w:pStyle w:val="TextBody"/>
        <w:bidi w:val="0"/>
        <w:jc w:val="left"/>
        <w:rPr/>
      </w:pPr>
      <w:r>
        <w:rPr>
          <w:rFonts w:ascii="Times New Roman" w:hAnsi="Times New Roman"/>
          <w:b/>
          <w:i/>
          <w:color w:val="000000"/>
          <w:sz w:val="20"/>
        </w:rPr>
        <w:t>Stock-Based Compensation</w:t>
      </w:r>
      <w:r>
        <w:rPr>
          <w:color w:val="00000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All stock-based compensation, including stock options, restricted stock units ("RSUs") and performance restricted stock units (“PRSUs”), are measured at the grant date fair value of the award. The fair value of the restricted stock units and PRSUs is determined using the fair value of the Company’s Class A common stock on the date of grant. The Company estimates grant date fair value of stock options using the Black-Scholes option-pricing model. The fair value of stock options, RSUs and PRSUs are recognized as compensation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expense on a straight-line basis over the requisite service period, which is typically three to four years. Forfeitures are recorded in the period in which they occur.</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Black-Scholes model considers several variables and assumptions in estimating the fair value of stock-based awards.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These variables include: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expected annual dividend yield;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expected volatility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 free interest rate;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 share value of the underlying common stock;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exercise price.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(q)</w:t>
      </w:r>
    </w:p>
    <w:p>
      <w:pPr>
        <w:pStyle w:val="TextBody"/>
        <w:bidi w:val="0"/>
        <w:jc w:val="left"/>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Recently Adopted Accounting Standards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November 2024, the FASB issued ASU No. 2024-04, Debt with Conversion and Other Options (Subtopic 470-20): Induced Conversions of Convertible Debt Instruments (“ASU 2024-04”), which clarifies the assessment of whether certain settlements of convertible debt instruments should be accounted for as an inducement conversion or extinguishment of convertible debt. The Company adopted this new standard in January 2026. The adoption of this new standard did not impact our results of operations, cash flows, and financial condition.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July 2025, the FASB issued ASU No. 2025-05, Financial Instruments—Credit Losses (Topic 326): Measurement of Credit Losses for Accounts Receivable and Contract Assets, which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Company adopted this new standard in January 2026. The adoption of this new standard did not impact our results of operations, cash flows,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Recently Issued Accounting Standards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 adoption to any or all prior periods presented in the financial statements. The Company is currently assessing the impact of ASU 2024-03 on our consolidated financial statements and related disclosures.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May 2025, the FASB issued ASU No. 2025-03, Business Combinations (Topic 805) and Consolidation (Topic 810): Determining the Accounting Acquirer in the Acquisition of a Variable Interest Entity (“ASU 2025-03”), which requires that in a business combination involving a variable interest entity (“VIE”) where equity interests are issued as consideration, the determination of the accounting acquirer should follow the general guidance under ASC 805-10-25 rather than default to the conclusion that the acquirer is primary beneficiary of the VIE. The amendments are intended to improve consistency in applying the acquisition method to business combinations. The new guidance is effective for annual reporting periods beginning after December 15, 2026, and interim periods within those annual periods. The Company is currently assessing the impact of ASU 2025-03 on our consolidated financial statements and related disclosures, including the potential impact on the accounting for any future business combinations involving VIEs.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September 2025, the FASB issued ASU No. 2025-06, Intangibles—Goodwill and Other—Internal-Use Software (Subtopic 350-40): Targeted Improvements to the Accounting for Internal-Use Software, which improves the operability of the guidance by removing all references to software development project stages so that the guidance is neutral to different software development methods. The new guidance is effective for annual periods beginning after December 15, 2027, and interim periods within those annual periods. The Company is currently assessing the impact of ASU 2025-06 on our consolidated financial statements and related disclosures.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There are currently no other accounting standards that have been issued, but not yet adopted, that are expected to have a significant impact on the Company’s consolidated financial position, results of operations or statement of cash flows upon adoption. </w:t>
      </w:r>
    </w:p>
    <w:p>
      <w:pPr>
        <w:pStyle w:val="TextBody"/>
        <w:bidi w:val="0"/>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Software Development, Property and Equipment and Long-Lived Assets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Software development and property and equipment consist of the following as of June 30, 2026 and December 31,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38"/>
        <w:gridCol w:w="146"/>
        <w:gridCol w:w="2767"/>
        <w:gridCol w:w="146"/>
        <w:gridCol w:w="211"/>
        <w:gridCol w:w="781"/>
        <w:gridCol w:w="166"/>
        <w:gridCol w:w="146"/>
        <w:gridCol w:w="232"/>
        <w:gridCol w:w="859"/>
        <w:gridCol w:w="213"/>
      </w:tblGrid>
      <w:tr>
        <w:trPr/>
        <w:tc>
          <w:tcPr>
            <w:tcW w:w="4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hardware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90,051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useful life or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development and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Depreciation and amortization expense for the three and six months ended June 30, 2026 and 2025 was as follows (in thousands): </w:t>
      </w:r>
    </w:p>
    <w:p>
      <w:pPr>
        <w:pStyle w:val="TextBody"/>
        <w:bidi w:val="0"/>
        <w:jc w:val="left"/>
        <w:rPr/>
      </w:pPr>
      <w:r>
        <w:rPr/>
        <w:t> </w:t>
      </w:r>
    </w:p>
    <w:tbl>
      <w:tblPr>
        <w:tblW w:w="8566" w:type="dxa"/>
        <w:jc w:val="left"/>
        <w:tblInd w:w="0" w:type="dxa"/>
        <w:tblLayout w:type="fixed"/>
        <w:tblCellMar>
          <w:top w:w="28" w:type="dxa"/>
          <w:left w:w="28" w:type="dxa"/>
          <w:bottom w:w="28" w:type="dxa"/>
          <w:right w:w="28" w:type="dxa"/>
        </w:tblCellMar>
      </w:tblPr>
      <w:tblGrid>
        <w:gridCol w:w="3751"/>
        <w:gridCol w:w="257"/>
        <w:gridCol w:w="697"/>
        <w:gridCol w:w="178"/>
        <w:gridCol w:w="178"/>
        <w:gridCol w:w="257"/>
        <w:gridCol w:w="697"/>
        <w:gridCol w:w="146"/>
        <w:gridCol w:w="146"/>
        <w:gridCol w:w="235"/>
        <w:gridCol w:w="637"/>
        <w:gridCol w:w="162"/>
        <w:gridCol w:w="162"/>
        <w:gridCol w:w="235"/>
        <w:gridCol w:w="637"/>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depreciation and amortization expense</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w:t>
            </w:r>
          </w:p>
        </w:tc>
        <w:tc>
          <w:tcPr>
            <w:tcW w:w="16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Disaggregated Revenue and Cost of Revenue Information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present our revenues disaggregated by line of business. Revenue from our marketplace primarily reflects the sales of parts and assemblies on our platform. Revenue from services includes the sale of digital advertising and marketing services and financial service products.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Revenue and cost of revenue is presented in the following tables for the three and six months ended June 30, 2026 and 2025, respectively (in thousands):</w:t>
      </w:r>
    </w:p>
    <w:tbl>
      <w:tblPr>
        <w:tblW w:w="6577" w:type="dxa"/>
        <w:jc w:val="left"/>
        <w:tblInd w:w="0" w:type="dxa"/>
        <w:tblLayout w:type="fixed"/>
        <w:tblCellMar>
          <w:top w:w="28" w:type="dxa"/>
          <w:left w:w="28" w:type="dxa"/>
          <w:bottom w:w="28" w:type="dxa"/>
          <w:right w:w="28" w:type="dxa"/>
        </w:tblCellMar>
      </w:tblPr>
      <w:tblGrid>
        <w:gridCol w:w="1396"/>
        <w:gridCol w:w="146"/>
        <w:gridCol w:w="211"/>
        <w:gridCol w:w="781"/>
        <w:gridCol w:w="146"/>
        <w:gridCol w:w="146"/>
        <w:gridCol w:w="211"/>
        <w:gridCol w:w="781"/>
        <w:gridCol w:w="146"/>
        <w:gridCol w:w="146"/>
        <w:gridCol w:w="211"/>
        <w:gridCol w:w="781"/>
        <w:gridCol w:w="146"/>
        <w:gridCol w:w="146"/>
        <w:gridCol w:w="211"/>
        <w:gridCol w:w="781"/>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Xometry is organized in two segments referred to as: (1) U.S. and (2) International. Xometry’s operating segments are also the Company’s reportable segments. Xometry’s reportable segments are managed separately based on geography. The Company’s U.S. revenues primarily result from the sale of parts and assemblies and the sale of advertising and marketing services. The Company’s International revenues primarily result from the sale of parts and assemblies. Xometry’s two segments are defined based on the reporting and review process used by the CODM, the Chief Executive Officer.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Segment Adjusted EBITDA excludes interest expense, interest and dividend income, other expenses, provision for income taxes, and certain other non-cash or non-recurring items impacting Net loss from time to time, principally comprised of depreciation and amortization, amortization of lease intangible, stock-based compensation, payroll tax expense related to stock-based compensation, charitable contributions of common stock, income from an unconsolidated joint venture, restructuring charges and acquisition and other adjustments not reflective of our ongoing business, such as adjustments related to purchase accounting, the revaluation of contingent consideration, transaction costs and executive severance.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CODM monitors assets of the consolidated Company, but does not use assets, by operating segment when assessing performance or making operating segment resource decisions.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reflect certain segment information for the three and six months ended June 30, 2026 and 2025 (in thousands): </w:t>
      </w:r>
    </w:p>
    <w:tbl>
      <w:tblPr>
        <w:tblW w:w="10205" w:type="dxa"/>
        <w:jc w:val="left"/>
        <w:tblInd w:w="0" w:type="dxa"/>
        <w:tblLayout w:type="fixed"/>
        <w:tblCellMar>
          <w:top w:w="28" w:type="dxa"/>
          <w:left w:w="28" w:type="dxa"/>
          <w:bottom w:w="28" w:type="dxa"/>
          <w:right w:w="28" w:type="dxa"/>
        </w:tblCellMar>
      </w:tblPr>
      <w:tblGrid>
        <w:gridCol w:w="4944"/>
        <w:gridCol w:w="146"/>
        <w:gridCol w:w="211"/>
        <w:gridCol w:w="781"/>
        <w:gridCol w:w="166"/>
        <w:gridCol w:w="146"/>
        <w:gridCol w:w="211"/>
        <w:gridCol w:w="781"/>
        <w:gridCol w:w="166"/>
        <w:gridCol w:w="146"/>
        <w:gridCol w:w="211"/>
        <w:gridCol w:w="781"/>
        <w:gridCol w:w="166"/>
        <w:gridCol w:w="146"/>
        <w:gridCol w:w="211"/>
        <w:gridCol w:w="781"/>
        <w:gridCol w:w="211"/>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Adjusted Operating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interest and dividend income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6"/>
        </w:rPr>
      </w:pPr>
      <w:r>
        <w:rPr>
          <w:rFonts w:ascii="Times New Roman" w:hAnsi="Times New Roman"/>
          <w:color w:val="000000"/>
          <w:sz w:val="16"/>
        </w:rPr>
        <w:t>(1) Amount excludes stock-based compensation and the related payroll taxes, depreciation and amortization, restructuring charges, acquisition and other costs, amortization of lease intangible, lease termination and charitable contributions of common stock.</w:t>
      </w:r>
    </w:p>
    <w:p>
      <w:pPr>
        <w:pStyle w:val="TextBody"/>
        <w:bidi w:val="0"/>
        <w:jc w:val="left"/>
        <w:rPr>
          <w:rFonts w:ascii="Times New Roman" w:hAnsi="Times New Roman"/>
          <w:color w:val="000000"/>
          <w:sz w:val="16"/>
        </w:rPr>
      </w:pPr>
      <w:r>
        <w:rPr>
          <w:rFonts w:ascii="Times New Roman" w:hAnsi="Times New Roman"/>
          <w:color w:val="000000"/>
          <w:sz w:val="16"/>
        </w:rPr>
        <w:t>(2) Addback to Segment Cost of Revenue to calculate Segment Adjusted EBITDA.</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tables reflect long-lived asset information as of June 30, 2026 and December 31, 2025 (in thousands):</w:t>
      </w:r>
    </w:p>
    <w:tbl>
      <w:tblPr>
        <w:tblW w:w="7982" w:type="dxa"/>
        <w:jc w:val="left"/>
        <w:tblInd w:w="0" w:type="dxa"/>
        <w:tblLayout w:type="fixed"/>
        <w:tblCellMar>
          <w:top w:w="28" w:type="dxa"/>
          <w:left w:w="28" w:type="dxa"/>
          <w:bottom w:w="28" w:type="dxa"/>
          <w:right w:w="28" w:type="dxa"/>
        </w:tblCellMar>
      </w:tblPr>
      <w:tblGrid>
        <w:gridCol w:w="5371"/>
        <w:gridCol w:w="146"/>
        <w:gridCol w:w="211"/>
        <w:gridCol w:w="676"/>
        <w:gridCol w:w="146"/>
        <w:gridCol w:w="146"/>
        <w:gridCol w:w="260"/>
        <w:gridCol w:w="835"/>
        <w:gridCol w:w="1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Software development and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As of June 30, 2026, there were 8,675,292 shares available for the Company to grant under the 2021 Equity Incentive Plan.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Stock Options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 summary of the status of the Company’s stock option activity and the changes during the six months ended June 30, 2026, are as follows (in millions, except share and per share amounts): </w:t>
      </w:r>
    </w:p>
    <w:tbl>
      <w:tblPr>
        <w:tblW w:w="8358" w:type="dxa"/>
        <w:jc w:val="left"/>
        <w:tblInd w:w="0" w:type="dxa"/>
        <w:tblLayout w:type="fixed"/>
        <w:tblCellMar>
          <w:top w:w="28" w:type="dxa"/>
          <w:left w:w="28" w:type="dxa"/>
          <w:bottom w:w="28" w:type="dxa"/>
          <w:right w:w="28" w:type="dxa"/>
        </w:tblCellMar>
      </w:tblPr>
      <w:tblGrid>
        <w:gridCol w:w="3061"/>
        <w:gridCol w:w="146"/>
        <w:gridCol w:w="146"/>
        <w:gridCol w:w="931"/>
        <w:gridCol w:w="166"/>
        <w:gridCol w:w="146"/>
        <w:gridCol w:w="302"/>
        <w:gridCol w:w="823"/>
        <w:gridCol w:w="146"/>
        <w:gridCol w:w="146"/>
        <w:gridCol w:w="285"/>
        <w:gridCol w:w="706"/>
        <w:gridCol w:w="146"/>
        <w:gridCol w:w="146"/>
        <w:gridCol w:w="271"/>
        <w:gridCol w:w="600"/>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No options were granted during the six months ended June 30,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At June 30, 2026, there was approximately $0.2 million of total unrecognized compensation cost related to unvested stock options. That cost is expected to be recognized over a weighted average period of approximately six months as of June 30, 2026.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currently uses authorized and unissued shares to satisfy share award exercises.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RSUs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 summary of the status of the Company’s RSU activity and the changes during the six months ended June 30, 2026 are as follows (in millions, except share and per share amounts): </w:t>
      </w:r>
    </w:p>
    <w:tbl>
      <w:tblPr>
        <w:tblW w:w="8845" w:type="dxa"/>
        <w:jc w:val="left"/>
        <w:tblInd w:w="0" w:type="dxa"/>
        <w:tblLayout w:type="fixed"/>
        <w:tblCellMar>
          <w:top w:w="28" w:type="dxa"/>
          <w:left w:w="28" w:type="dxa"/>
          <w:bottom w:w="28" w:type="dxa"/>
          <w:right w:w="28" w:type="dxa"/>
        </w:tblCellMar>
      </w:tblPr>
      <w:tblGrid>
        <w:gridCol w:w="3421"/>
        <w:gridCol w:w="146"/>
        <w:gridCol w:w="146"/>
        <w:gridCol w:w="931"/>
        <w:gridCol w:w="166"/>
        <w:gridCol w:w="146"/>
        <w:gridCol w:w="681"/>
        <w:gridCol w:w="1854"/>
        <w:gridCol w:w="146"/>
        <w:gridCol w:w="146"/>
        <w:gridCol w:w="235"/>
        <w:gridCol w:w="63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2,999,352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At June 30, 2026, there was approximately $89.4 million of total unrecognized compensation cost related to unvested restricted stock units granted under the 2021 Equity Incentive Plan. That cost is expected to be recognized over a weighted average period of approximately 2.9 years as of June 30,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PRSUs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summary of the status of the Company’s PRSU activity and the changes during the six months ended June 30, 2026 are as follows (in millions, except share and per share amounts):</w:t>
      </w:r>
    </w:p>
    <w:tbl>
      <w:tblPr>
        <w:tblW w:w="8860" w:type="dxa"/>
        <w:jc w:val="left"/>
        <w:tblInd w:w="0" w:type="dxa"/>
        <w:tblLayout w:type="fixed"/>
        <w:tblCellMar>
          <w:top w:w="28" w:type="dxa"/>
          <w:left w:w="28" w:type="dxa"/>
          <w:bottom w:w="28" w:type="dxa"/>
          <w:right w:w="28" w:type="dxa"/>
        </w:tblCellMar>
      </w:tblPr>
      <w:tblGrid>
        <w:gridCol w:w="3526"/>
        <w:gridCol w:w="146"/>
        <w:gridCol w:w="146"/>
        <w:gridCol w:w="841"/>
        <w:gridCol w:w="166"/>
        <w:gridCol w:w="146"/>
        <w:gridCol w:w="681"/>
        <w:gridCol w:w="1854"/>
        <w:gridCol w:w="146"/>
        <w:gridCol w:w="146"/>
        <w:gridCol w:w="271"/>
        <w:gridCol w:w="600"/>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At June 30, 2026, there was approximately $20.6 million of total unrecognized compensation cost related to unvested performance restricted stock units granted under the 2021 Equity Incentive Plan. That cost is expected to be recognized over a weighted average period of approximately 2.3 years as of June 30, 2026.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Total stock-based compensation cost for the three and six months ended June 30, 2026 and 2025 were as follows (in thousands): </w:t>
      </w:r>
    </w:p>
    <w:tbl>
      <w:tblPr>
        <w:tblW w:w="7885" w:type="dxa"/>
        <w:jc w:val="left"/>
        <w:tblInd w:w="0" w:type="dxa"/>
        <w:tblLayout w:type="fixed"/>
        <w:tblCellMar>
          <w:top w:w="28" w:type="dxa"/>
          <w:left w:w="28" w:type="dxa"/>
          <w:bottom w:w="28" w:type="dxa"/>
          <w:right w:w="28" w:type="dxa"/>
        </w:tblCellMar>
      </w:tblPr>
      <w:tblGrid>
        <w:gridCol w:w="2926"/>
        <w:gridCol w:w="146"/>
        <w:gridCol w:w="243"/>
        <w:gridCol w:w="781"/>
        <w:gridCol w:w="168"/>
        <w:gridCol w:w="168"/>
        <w:gridCol w:w="243"/>
        <w:gridCol w:w="659"/>
        <w:gridCol w:w="146"/>
        <w:gridCol w:w="146"/>
        <w:gridCol w:w="211"/>
        <w:gridCol w:w="677"/>
        <w:gridCol w:w="146"/>
        <w:gridCol w:w="146"/>
        <w:gridCol w:w="211"/>
        <w:gridCol w:w="677"/>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Common Stock</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Company’s amended and restated certificate of incorporation provides for two classes of common stock: Class A common stock and Class B common stock. The Company's authorized capital stock consists of 805 million shares, all with a par value of $0.000001 per share, of which:</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750,000,000</w:t>
      </w:r>
      <w:r>
        <w:rPr>
          <w:color w:val="000000"/>
        </w:rPr>
        <w:t xml:space="preserve"> </w:t>
      </w:r>
      <w:r>
        <w:rPr>
          <w:rFonts w:ascii="Times New Roman" w:hAnsi="Times New Roman"/>
          <w:color w:val="000000"/>
          <w:sz w:val="20"/>
        </w:rPr>
        <w:t>shares are designated Class A common stock;</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5,000,000</w:t>
      </w:r>
      <w:r>
        <w:rPr>
          <w:color w:val="000000"/>
        </w:rPr>
        <w:t xml:space="preserve"> </w:t>
      </w:r>
      <w:r>
        <w:rPr>
          <w:rFonts w:ascii="Times New Roman" w:hAnsi="Times New Roman"/>
          <w:color w:val="000000"/>
          <w:sz w:val="20"/>
        </w:rPr>
        <w:t xml:space="preserve">shares are designated Class B common stock; and </w:t>
      </w:r>
    </w:p>
    <w:p>
      <w:pPr>
        <w:pStyle w:val="TextBody"/>
        <w:bidi w:val="0"/>
        <w:spacing w:before="120" w:after="200"/>
        <w:jc w:val="both"/>
        <w:rPr>
          <w:color w:val="000000"/>
        </w:rPr>
      </w:pPr>
      <w:r>
        <w:rPr>
          <w:color w:val="000000"/>
        </w:rPr>
        <w:t>•</w:t>
      </w:r>
    </w:p>
    <w:p>
      <w:pPr>
        <w:pStyle w:val="TextBody"/>
        <w:bidi w:val="0"/>
        <w:spacing w:before="120" w:after="200"/>
        <w:jc w:val="both"/>
        <w:rPr/>
      </w:pPr>
      <w:r>
        <w:rPr>
          <w:rFonts w:ascii="Times New Roman" w:hAnsi="Times New Roman"/>
          <w:color w:val="000000"/>
          <w:sz w:val="20"/>
        </w:rPr>
        <w:t>50,000,000</w:t>
      </w:r>
      <w:r>
        <w:rPr>
          <w:color w:val="000000"/>
        </w:rPr>
        <w:t xml:space="preserve"> </w:t>
      </w:r>
      <w:r>
        <w:rPr>
          <w:rFonts w:ascii="Times New Roman" w:hAnsi="Times New Roman"/>
          <w:color w:val="000000"/>
          <w:sz w:val="20"/>
        </w:rPr>
        <w:t>shares are designated preferred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Except as otherwise expressly provided in the Company's amended and restated certificate of incorporation or required by applicable law, 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 Class B common stock may be converted to Class A common stock, at any time or from time to time as provided for in the certificate of incorporation.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Holders of our Class A common stock are entitled to one vote per share on any matter that is submitted to a vote of our stockholders. Holders of our Class B common stock are entitled to 20 votes per share on any matter submitted to a vote of our stockholders.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Siemens Common Stock Issuance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May 6, 2026, the Company entered into an agreement with Siemens Industry Software Inc. (“Siemens ISW”) to integrate Xometry marketplace capabilities directly into the Siemens ISW industrial software ecosystem. Under the terms of the agreement, Xometry will develop the necessary software (“Software Deliverable”) with support from Siemens ISW, and then provide the Software Deliverable to Siemens ISW at no cost through an original equipment manufacturer agreement (the “OEM Agreement”). Certain exclusivity terms apply for a period of up to seven years from the agreement effective date. Based on the planned collaboration timeline, exclusivity terms will apply for five years subsequent to the completion of the Software Deliverable.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OEM Agreement will have a base term of five years and renew for successive 1-year terms unless cancelled by either party. Each party is responsible for its own costs during the software development and commercialization phases. In connection with the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Purchase Agreement, Siemens Beteiligungen Inland GmbH purchased 1,049,759 shares of our Class A common stock for approximately $50 million.</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2026 Common Stock Issuance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June 1, 2026, the Company entered into an underwriting agreement with J.P. Morgan Securities LLC and Goldman Sachs &amp; Co. LLC, as representatives of the several underwriters named therein (collectively, the “Underwriters”), to issue and sell 2,647,059 shares of its Class A common stock at a public offering price of $85.00 per share, less underwriting discounts and commissions, pursuant to an effective shelf registration statement on Form S-3 previously filed with the SEC (the “2026 Common Stock Issuance”). The initial closing of the 2026 Common Stock Issuance occurred on June 3, 2026. In addition, the Company granted the Underwriters an option to purchase, for a period of up to 30 days, up to an additional 397,058 shares of its Class A common stock, which the Underwriters exercised in full on June 22,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connection with the 2026 Common Stock Issuance, the Company incurred total issuance costs of approximately $11.1 million, consisting of underwriting discounts and commissions of approximately $10.3 million and other direct issuance costs of approximately $0.8 million, including legal, accounting and filing fees. All direct issuance costs have been recorded as a reduction of the gross proceeds and recorded to Additional paid-in capital. After deducting total issuance costs, the Company received net proceeds of approximately $247.6 million.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intends to use the net proceeds from the 2026 Common Stock Issuance for working capital and general corporate purposes, including, but not limited to, general and administrative matters, repayment of debt, capital expenditures and acquisitions of other businesses or assets.</w:t>
      </w:r>
    </w:p>
    <w:p>
      <w:pPr>
        <w:pStyle w:val="TextBody"/>
        <w:bidi w:val="0"/>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full valuation allowance has been established against our net U.S. federal and state deferred tax assets and foreign deferred tax assets, including net operating loss carryforwards.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 had $0.4 million of income tax provision for the three months ended June 30, 2026 and $0.6 million of income tax provision for the six months ended June 30, 2026 as compared to less than $(0.1) million of (benefit) for the same periods in 2025. This estimated annual effective tax rate of (5.4)% differs from the U.S. federal statutory rate primarily due to the effects of certain permanent items, foreign tax rate differences, and increases in the valuation allowance against deferred tax assets.</w:t>
      </w:r>
    </w:p>
    <w:p>
      <w:pPr>
        <w:pStyle w:val="TextBody"/>
        <w:bidi w:val="0"/>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Net Loss Per Share Attributable to Common Stockholders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computes net loss per share of Class A common stock, Class B common stock and participating securities using the two-class method. Basic and diluted net loss per share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 used to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54,220,463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50,699,914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53,072,865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50,518,492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tbl>
      <w:tblPr>
        <w:tblW w:w="6549" w:type="dxa"/>
        <w:jc w:val="left"/>
        <w:tblInd w:w="0" w:type="dxa"/>
        <w:tblLayout w:type="fixed"/>
        <w:tblCellMar>
          <w:top w:w="28" w:type="dxa"/>
          <w:left w:w="28" w:type="dxa"/>
          <w:bottom w:w="28" w:type="dxa"/>
          <w:right w:w="28" w:type="dxa"/>
        </w:tblCellMar>
      </w:tblPr>
      <w:tblGrid>
        <w:gridCol w:w="3556"/>
        <w:gridCol w:w="146"/>
        <w:gridCol w:w="146"/>
        <w:gridCol w:w="1036"/>
        <w:gridCol w:w="146"/>
        <w:gridCol w:w="146"/>
        <w:gridCol w:w="146"/>
        <w:gridCol w:w="1036"/>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1,702,082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charitable contribution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11,351,986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11,951,652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2030 Convertible Notes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 June 2025, we issued $250.0 million aggregate principal amount of 0.75% convertible senior notes due in 2030 (the “2030 Notes”), including the exercise in full of the initial purchasers’ option to purchase up to an additional $25.0 million principal amount of the 2030 Notes, pursuant to an indenture dated June 12, 2025.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2030 Notes on each such trading day (the “2030 Sale Price Trigger”);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2030 Notes for each day of such ten consecutive trading day period was less than 98% of the product of the last reported sale price of our Class A common stock and the applicable conversion rate of the 2030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or after March 15, 2030, the 2030 Notes are convertible at any time until the close of business on the second scheduled trading day immediately preceding the maturity date.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2030 Notes as a single liability measured at its amortized cost, as no embedded features require bifurcation and recognition as derivatives.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June 30, 2026, the 2030 Sale Price Trigger was met and as a result holders may convert their 2030 Notes at any time during the three months ending September 30, 2026.</w:t>
      </w:r>
    </w:p>
    <w:p>
      <w:pPr>
        <w:pStyle w:val="TextBody"/>
        <w:bidi w:val="0"/>
        <w:spacing w:before="0" w:after="200"/>
        <w:jc w:val="both"/>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February 2022, we issued $287.5 million aggregate principal amount of 1.00% convertible senior notes due in 2027 (the “2027 Notes” and collectively with the 2030 Notes, the “Convertible Notes”) pursuant to an indenture dated February 4, 2022. The 2027 Notes were sold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2027 Notes, at our option,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if the last reported sale price of our Class A common stock for at least 20</w:t>
      </w:r>
      <w:r>
        <w:rPr>
          <w:color w:val="000000"/>
        </w:rPr>
        <w:t xml:space="preserve"> </w:t>
      </w:r>
      <w:r>
        <w:rPr>
          <w:rFonts w:ascii="Times New Roman" w:hAnsi="Times New Roman"/>
          <w:color w:val="000000"/>
          <w:sz w:val="20"/>
        </w:rPr>
        <w:t>trading days (whether or not consecutive) during the period of 30</w:t>
      </w:r>
      <w:r>
        <w:rPr>
          <w:color w:val="000000"/>
        </w:rPr>
        <w:t xml:space="preserve"> </w:t>
      </w:r>
      <w:r>
        <w:rPr>
          <w:rFonts w:ascii="Times New Roman" w:hAnsi="Times New Roman"/>
          <w:color w:val="000000"/>
          <w:sz w:val="20"/>
        </w:rPr>
        <w:t>consecutive trading days ending on the last trading day of the preceding calendar quarter is greater than or equal to 130% of the applicable conversion price of the 2027 Notes on each such trading day (the “2027 Sale Price Trigger”);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in which the trading price per $1,000</w:t>
      </w:r>
      <w:r>
        <w:rPr>
          <w:color w:val="000000"/>
        </w:rPr>
        <w:t xml:space="preserve"> </w:t>
      </w:r>
      <w:r>
        <w:rPr>
          <w:rFonts w:ascii="Times New Roman" w:hAnsi="Times New Roman"/>
          <w:color w:val="000000"/>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or after November 1, 2026, the 2027 Notes are convertible at any time until the close of business on the second scheduled trading day immediately preceding the maturity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embedded features require bifurcation and recognition as derivatives.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During the three months ended June 30, 2026, the 2027 Sale Price Trigger was met and as a result, holders may convert their 2027 Notes at any time during the three months ending September 30, 2026. </w:t>
      </w:r>
    </w:p>
    <w:p>
      <w:pPr>
        <w:pStyle w:val="TextBody"/>
        <w:bidi w:val="0"/>
        <w:jc w:val="left"/>
        <w:rPr>
          <w:rFonts w:ascii="Times New Roman" w:hAnsi="Times New Roman"/>
          <w:sz w:val="20"/>
        </w:rPr>
      </w:pPr>
      <w:r>
        <w:rPr>
          <w:rFonts w:ascii="Times New Roman" w:hAnsi="Times New Roman"/>
          <w:i/>
          <w:color w:val="000000"/>
          <w:sz w:val="20"/>
        </w:rPr>
        <w:t>Partial Repurchase of 2027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Loss.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Following this partial repurchase, approximately $85.8 million aggregate principal amount of the 2027 Notes remain outstanding on our Condensed Consolidated Balance Sheet. The original terms and conditions continue to apply to the remaining 2027 Notes, and the unamortized debt discount and issuance costs related to these notes will continue to accrete to interest expense.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outstanding principal amount and carrying value of the Convertible Notes as of the dates indicated (in thousands):</w:t>
      </w:r>
    </w:p>
    <w:tbl>
      <w:tblPr>
        <w:tblW w:w="9176" w:type="dxa"/>
        <w:jc w:val="left"/>
        <w:tblInd w:w="0" w:type="dxa"/>
        <w:tblLayout w:type="fixed"/>
        <w:tblCellMar>
          <w:top w:w="28" w:type="dxa"/>
          <w:left w:w="28" w:type="dxa"/>
          <w:bottom w:w="28" w:type="dxa"/>
          <w:right w:w="28" w:type="dxa"/>
        </w:tblCellMar>
      </w:tblPr>
      <w:tblGrid>
        <w:gridCol w:w="1051"/>
        <w:gridCol w:w="146"/>
        <w:gridCol w:w="211"/>
        <w:gridCol w:w="781"/>
        <w:gridCol w:w="146"/>
        <w:gridCol w:w="146"/>
        <w:gridCol w:w="529"/>
        <w:gridCol w:w="1586"/>
        <w:gridCol w:w="166"/>
        <w:gridCol w:w="146"/>
        <w:gridCol w:w="630"/>
        <w:gridCol w:w="1890"/>
        <w:gridCol w:w="166"/>
        <w:gridCol w:w="146"/>
        <w:gridCol w:w="265"/>
        <w:gridCol w:w="980"/>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 Issuance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annual effective interest rate for the 2027 Notes and the 2030 Notes were approximately 1.6% and 1.4%, respectively. Interest expense related to the Convertible Notes for the periods presented below was as follows (in thousands):</w:t>
      </w:r>
    </w:p>
    <w:tbl>
      <w:tblPr>
        <w:tblW w:w="7147" w:type="dxa"/>
        <w:jc w:val="left"/>
        <w:tblInd w:w="0" w:type="dxa"/>
        <w:tblLayout w:type="fixed"/>
        <w:tblCellMar>
          <w:top w:w="28" w:type="dxa"/>
          <w:left w:w="28" w:type="dxa"/>
          <w:bottom w:w="28" w:type="dxa"/>
          <w:right w:w="28" w:type="dxa"/>
        </w:tblCellMar>
      </w:tblPr>
      <w:tblGrid>
        <w:gridCol w:w="2806"/>
        <w:gridCol w:w="146"/>
        <w:gridCol w:w="211"/>
        <w:gridCol w:w="571"/>
        <w:gridCol w:w="146"/>
        <w:gridCol w:w="146"/>
        <w:gridCol w:w="211"/>
        <w:gridCol w:w="571"/>
        <w:gridCol w:w="146"/>
        <w:gridCol w:w="146"/>
        <w:gridCol w:w="211"/>
        <w:gridCol w:w="571"/>
        <w:gridCol w:w="146"/>
        <w:gridCol w:w="146"/>
        <w:gridCol w:w="211"/>
        <w:gridCol w:w="57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Coupon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Company estimates the fair value of the Convertible Notes based on quoted market prices in less active markets and is classified as Level 2 in the fair value hierarchy. The following table presents the carrying value and estimated fair value of the Convertible Notes as of the date indicated (in thousands):</w:t>
      </w:r>
    </w:p>
    <w:tbl>
      <w:tblPr>
        <w:tblW w:w="7773" w:type="dxa"/>
        <w:jc w:val="left"/>
        <w:tblInd w:w="0" w:type="dxa"/>
        <w:tblLayout w:type="fixed"/>
        <w:tblCellMar>
          <w:top w:w="28" w:type="dxa"/>
          <w:left w:w="28" w:type="dxa"/>
          <w:bottom w:w="28" w:type="dxa"/>
          <w:right w:w="28" w:type="dxa"/>
        </w:tblCellMar>
      </w:tblPr>
      <w:tblGrid>
        <w:gridCol w:w="2086"/>
        <w:gridCol w:w="146"/>
        <w:gridCol w:w="265"/>
        <w:gridCol w:w="980"/>
        <w:gridCol w:w="146"/>
        <w:gridCol w:w="146"/>
        <w:gridCol w:w="211"/>
        <w:gridCol w:w="781"/>
        <w:gridCol w:w="146"/>
        <w:gridCol w:w="146"/>
        <w:gridCol w:w="265"/>
        <w:gridCol w:w="980"/>
        <w:gridCol w:w="146"/>
        <w:gridCol w:w="146"/>
        <w:gridCol w:w="211"/>
        <w:gridCol w:w="78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2027 Notes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2030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6"/>
        </w:rPr>
        <w:t>(1) As of June 30, 2026 and December 31, 2025, the fair value of the Convertible Notes, as applicable, were measured using Level 2 inputs based on the frequency of trading on our debt at the end of the period.</w:t>
      </w:r>
      <w:r>
        <w:rPr>
          <w:rFonts w:ascii="Times New Roman" w:hAnsi="Times New Roman"/>
          <w:color w:val="000000"/>
          <w:sz w:val="20"/>
        </w:rPr>
        <w:t xml:space="preserve"> </w:t>
      </w:r>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connection with the issuance of the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Calls are not accounted for as derivatives and will not be remeasured; they will remain in stockholders’ equity until expiration or settlement.</w:t>
      </w:r>
    </w:p>
    <w:p>
      <w:pPr>
        <w:pStyle w:val="TextBody"/>
        <w:bidi w:val="0"/>
        <w:spacing w:before="0" w:after="200"/>
        <w:jc w:val="both"/>
        <w:rPr>
          <w:rFonts w:ascii="Times New Roman" w:hAnsi="Times New Roman"/>
          <w:sz w:val="20"/>
        </w:rPr>
      </w:pPr>
      <w:r>
        <w:rPr>
          <w:rFonts w:ascii="Times New Roman" w:hAnsi="Times New Roman"/>
          <w:i/>
          <w:color w:val="000000"/>
          <w:sz w:val="20"/>
        </w:rPr>
        <w:t>Purchase of Treasury Stock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pStyle w:val="TextBody"/>
        <w:bidi w:val="0"/>
        <w:spacing w:before="0" w:after="200"/>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Restructuring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During 2025, the Company initiated a restructuring action to help manage its operating expenses, improve its efficiency and align resources by reducing its workforce. During the three and six months ended June 30, 2025, the Company incurred $0.1 million and $1.6 million for employee termination costs related to the restructuring, respectively.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shows the total restructuring costs incurred during the three and six months ended June 30, 2026 and 2025 (in thousands):</w:t>
      </w:r>
    </w:p>
    <w:tbl>
      <w:tblPr>
        <w:tblW w:w="7291" w:type="dxa"/>
        <w:jc w:val="left"/>
        <w:tblInd w:w="0" w:type="dxa"/>
        <w:tblLayout w:type="fixed"/>
        <w:tblCellMar>
          <w:top w:w="28" w:type="dxa"/>
          <w:left w:w="28" w:type="dxa"/>
          <w:bottom w:w="28" w:type="dxa"/>
          <w:right w:w="28" w:type="dxa"/>
        </w:tblCellMar>
      </w:tblPr>
      <w:tblGrid>
        <w:gridCol w:w="2311"/>
        <w:gridCol w:w="146"/>
        <w:gridCol w:w="312"/>
        <w:gridCol w:w="556"/>
        <w:gridCol w:w="245"/>
        <w:gridCol w:w="216"/>
        <w:gridCol w:w="312"/>
        <w:gridCol w:w="623"/>
        <w:gridCol w:w="166"/>
        <w:gridCol w:w="146"/>
        <w:gridCol w:w="259"/>
        <w:gridCol w:w="463"/>
        <w:gridCol w:w="204"/>
        <w:gridCol w:w="179"/>
        <w:gridCol w:w="259"/>
        <w:gridCol w:w="70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Defined Contribution Plans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sponsors a defined contribution plan for qualifying employees, including a 401(k) Plan in the United States to which it makes matching contributions of 50% of participating employee contributions up to 6% of eligible income. The Company’s total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matching contribution to the 401(k) Plan was $0.9 million and $0.7 million for the three months ended June 30, 2026 and 2025, respectively, and was $1.7 million and $1.3 million for the six months ended June 30, 2026 and 2025, respectively.</w:t>
      </w:r>
    </w:p>
    <w:p>
      <w:pPr>
        <w:pStyle w:val="TextBody"/>
        <w:bidi w:val="0"/>
        <w:jc w:val="left"/>
        <w:rPr>
          <w:rFonts w:ascii="Times New Roman" w:hAnsi="Times New Roman"/>
          <w:sz w:val="20"/>
        </w:rPr>
      </w:pPr>
      <w:r>
        <w:rPr>
          <w:rFonts w:ascii="Times New Roman" w:hAnsi="Times New Roman"/>
          <w:b/>
          <w:color w:val="000000"/>
          <w:sz w:val="20"/>
        </w:rPr>
        <w:t>(11) Goodwill and Intangible Assets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summarize the Company’s intangible assets (dollars in thousands): </w:t>
      </w:r>
    </w:p>
    <w:tbl>
      <w:tblPr>
        <w:tblW w:w="7160" w:type="dxa"/>
        <w:jc w:val="left"/>
        <w:tblInd w:w="0" w:type="dxa"/>
        <w:tblLayout w:type="fixed"/>
        <w:tblCellMar>
          <w:top w:w="28" w:type="dxa"/>
          <w:left w:w="28" w:type="dxa"/>
          <w:bottom w:w="28" w:type="dxa"/>
          <w:right w:w="28" w:type="dxa"/>
        </w:tblCellMar>
      </w:tblPr>
      <w:tblGrid>
        <w:gridCol w:w="2071"/>
        <w:gridCol w:w="146"/>
        <w:gridCol w:w="332"/>
        <w:gridCol w:w="719"/>
        <w:gridCol w:w="146"/>
        <w:gridCol w:w="146"/>
        <w:gridCol w:w="211"/>
        <w:gridCol w:w="676"/>
        <w:gridCol w:w="146"/>
        <w:gridCol w:w="146"/>
        <w:gridCol w:w="250"/>
        <w:gridCol w:w="801"/>
        <w:gridCol w:w="146"/>
        <w:gridCol w:w="146"/>
        <w:gridCol w:w="211"/>
        <w:gridCol w:w="676"/>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8255" w:type="dxa"/>
        <w:jc w:val="left"/>
        <w:tblInd w:w="0" w:type="dxa"/>
        <w:tblLayout w:type="fixed"/>
        <w:tblCellMar>
          <w:top w:w="28" w:type="dxa"/>
          <w:left w:w="28" w:type="dxa"/>
          <w:bottom w:w="28" w:type="dxa"/>
          <w:right w:w="28" w:type="dxa"/>
        </w:tblCellMar>
      </w:tblPr>
      <w:tblGrid>
        <w:gridCol w:w="3166"/>
        <w:gridCol w:w="146"/>
        <w:gridCol w:w="332"/>
        <w:gridCol w:w="719"/>
        <w:gridCol w:w="146"/>
        <w:gridCol w:w="146"/>
        <w:gridCol w:w="211"/>
        <w:gridCol w:w="676"/>
        <w:gridCol w:w="146"/>
        <w:gridCol w:w="146"/>
        <w:gridCol w:w="250"/>
        <w:gridCol w:w="801"/>
        <w:gridCol w:w="146"/>
        <w:gridCol w:w="146"/>
        <w:gridCol w:w="211"/>
        <w:gridCol w:w="676"/>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Vendor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In-place Lease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Above Market Lease 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Amortization expense for the three and six months ended June 30, 2026 and 2025 was as follows (in thousands):</w:t>
      </w:r>
    </w:p>
    <w:tbl>
      <w:tblPr>
        <w:tblW w:w="7482" w:type="dxa"/>
        <w:jc w:val="left"/>
        <w:tblInd w:w="0" w:type="dxa"/>
        <w:tblLayout w:type="fixed"/>
        <w:tblCellMar>
          <w:top w:w="28" w:type="dxa"/>
          <w:left w:w="28" w:type="dxa"/>
          <w:bottom w:w="28" w:type="dxa"/>
          <w:right w:w="28" w:type="dxa"/>
        </w:tblCellMar>
      </w:tblPr>
      <w:tblGrid>
        <w:gridCol w:w="2521"/>
        <w:gridCol w:w="146"/>
        <w:gridCol w:w="307"/>
        <w:gridCol w:w="613"/>
        <w:gridCol w:w="212"/>
        <w:gridCol w:w="212"/>
        <w:gridCol w:w="307"/>
        <w:gridCol w:w="613"/>
        <w:gridCol w:w="146"/>
        <w:gridCol w:w="146"/>
        <w:gridCol w:w="235"/>
        <w:gridCol w:w="637"/>
        <w:gridCol w:w="162"/>
        <w:gridCol w:w="162"/>
        <w:gridCol w:w="235"/>
        <w:gridCol w:w="637"/>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Amortization of the lease-related intangible assets is recorded as operating lease expense in general and administrative.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June 30, 2026, estimated amortization expense for intangible assets for the remainder of 2026 and the next five years is: $1.6 million in 2026, $2.6 million in 2027, $2.6 million in 2028, $2.6 million in 2029, $2.6 million in 2030, $2.6 million in 2031 and $12.3 million thereafter.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provides a roll forward of the carrying amount of goodwill (in thousands):</w:t>
      </w:r>
    </w:p>
    <w:tbl>
      <w:tblPr>
        <w:tblW w:w="7469" w:type="dxa"/>
        <w:jc w:val="left"/>
        <w:tblInd w:w="0" w:type="dxa"/>
        <w:tblLayout w:type="fixed"/>
        <w:tblCellMar>
          <w:top w:w="28" w:type="dxa"/>
          <w:left w:w="28" w:type="dxa"/>
          <w:bottom w:w="28" w:type="dxa"/>
          <w:right w:w="28" w:type="dxa"/>
        </w:tblCellMar>
      </w:tblPr>
      <w:tblGrid>
        <w:gridCol w:w="4816"/>
        <w:gridCol w:w="146"/>
        <w:gridCol w:w="211"/>
        <w:gridCol w:w="781"/>
        <w:gridCol w:w="166"/>
        <w:gridCol w:w="146"/>
        <w:gridCol w:w="211"/>
        <w:gridCol w:w="781"/>
        <w:gridCol w:w="21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impairments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goodwill as of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goodwill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June 30, 2026 and December 31, 2025, the Company had $263.5 million and $263.8 million, respectively of goodwill. As of June 30, 2026, $258.0 million was part of the Company's U.S. operating segment and $5.5 million was part of its International operating segment. As of December 31, 2025, $258.0 million was part of the Company's U.S. operating segment and $5.8 million was part of its International operating segment.</w:t>
      </w:r>
    </w:p>
    <w:p>
      <w:pPr>
        <w:pStyle w:val="TextBody"/>
        <w:bidi w:val="0"/>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Acquisition of GoBRANDgo, LLC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July 1, 2026, the Company acquired the assets of GoBRANDgo, LLC (“GoBRANDgo”) pursuant to an Asset Purchase Agreement. The acquisition of GoBRANDgo is expected to enhance our marketing services offering through GoBRANDgo's AI and automation capabilities. The aggregate non-contingent portion of the purchase price was approximately $4.6 million and was paid in cash on the closing date. In addition, the Asset Purchase Agreement includes a contingent consideration arrangement to the former owners of GoBRANDgo of up to a maximum of $2.5 million (undiscounted) in the Company’s Class A common stock based upon the achievement of certain revenue and adjusted earnings before interest, taxes, depreciation and amortization targets. </w:t>
      </w:r>
    </w:p>
    <w:p>
      <w:pPr>
        <w:pStyle w:val="TextBody"/>
        <w:bidi w:val="0"/>
        <w:spacing w:before="0" w:after="20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both"/>
        <w:rPr>
          <w:rFonts w:ascii="Times New Roman" w:hAnsi="Times New Roman"/>
          <w:b/>
          <w:color w:val="000000"/>
          <w:sz w:val="20"/>
        </w:rPr>
      </w:pPr>
      <w:bookmarkStart w:id="13" w:name="item_2"/>
      <w:bookmarkEnd w:id="13"/>
      <w:r>
        <w:rPr>
          <w:rFonts w:ascii="Times New Roman" w:hAnsi="Times New Roman"/>
          <w:b/>
          <w:color w:val="000000"/>
          <w:sz w:val="20"/>
        </w:rPr>
        <w:t>Item 2. Management’s Discussion and Analysis of Financial Condition and Results of Operations.</w:t>
      </w:r>
    </w:p>
    <w:p>
      <w:pPr>
        <w:pStyle w:val="TextBody"/>
        <w:bidi w:val="0"/>
        <w:spacing w:before="200" w:after="200"/>
        <w:jc w:val="both"/>
        <w:rPr>
          <w:rFonts w:ascii="Times New Roman" w:hAnsi="Times New Roman"/>
          <w:sz w:val="20"/>
        </w:rPr>
      </w:pPr>
      <w:r>
        <w:rPr>
          <w:rFonts w:ascii="Times New Roman" w:hAnsi="Times New Roman"/>
          <w:i/>
          <w:color w:val="000000"/>
          <w:sz w:val="20"/>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2025. Our historical results are not necessarily indicative of the results that may be expected in the future and our current quarterly results are not necessarily indicative of the results expected for the full year or any other period.</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Xometry, Inc. (“Xometry”, the “Company”, “our”, or “we”)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Xometry operates an AI-native online marketplace that connects buyers with suppliers of manufacturing services, driving the digital transformation of one of the largest industries in the world. The platform is designed to digitize and modernize the sourcing, pricing, and execution of manufacturing work across a broad range of processes, materials and industries, enabling more efficient matching of manufacturing demand with available production capacity. We facilitate innovation by providing real-time access to global manufacturing demand and capacity. We believe these capabilities position Xometry as a preferred digital collaboration, sourcing and transaction platform for custom manufacturing, and lead to Xometry becoming an integral part of our buyer’s supply chains.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use proprietary technology to enable product designers, engineers, buyers, and supply chain professionals to instantly access the capacity of a global network of manufacturing facilities. The Company’s marketplace makes it possible for buyers to quickly receive pricing, expected lead times, and manufacturability feedback and place orders on the marketplace. The network allows us to provide high volumes of unique parts, including custom components and assemblies for our buyers, as well as larger production orders of single parts. Teamspace is a cloud-based solution within the Xometry platform that enables customers to collaborate with other users on projects and custom part orders. Workcenter, our partner operating system, gives suppliers a one-stop view into all of their Xometry and non-Xometry work. A cloud-based manufacturing execution system, Workcenter brings the job board and financial services into one, easy-to-use platform which helps our suppliers digitize their operations so they can work smarter and faster. With Workcenter, shop owners can build and manage workflows for all their projects, including those from non-Xometry customers. These technology solutions help drive our land and expand efforts by embedding Xometry further into enterprise workflows.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business benefits from a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services, including our financial services or the purchase of tools and materials.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Industrial, Medical Devices, Automotive, Consumer Goods, Defense, Government, Energy, Education and Robotics.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empower suppliers to grow their manufacturing businesses and improve machine utilization by providing access to an extensive, diverse base of buyers. We also offer suppliers supporting services to meet their unique needs. The Thomasnet digital platform connects industrial buyers with over 500,000 North American suppliers. Operating at the intersection of digital marketing, industrial sourcing, and supply chain management, Thomasnet supports manufacturers, distributors, and service providers with tools and resources to enhance visibility, drive qualified leads, and streamline procurement processes. Thomasnet offers a suite of digital marketing services including SEO, content creation, data-driven advertising, analytics and insights. These solutions help industrial companies increase online visibility and drive business growth. In addition, our services include financial service products to facilitate faster payments.</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Unfavorable conditions in the economy both in the United States and abroad may negatively affect the growth of our business and our results of operations. For example, macroeconomic events, fluctuations in inflation and interest rates, volatile market conditions, impacts from changes in trade policy,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 in our Annual Report on Form 10-K for the year ended December 31, 2025.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Restructuring</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During 2025, we initiated restructuring actions to help improve efficiency and align resources by reducing our workforce by approximately 5%. The workforce reduction focused on realigning our staffing levels to help us meet the current and future objectives of our business. For the three and six months ended June 30, 2025, we incurred $0.1 million and $1.6 million, respectively, for employee termination costs related to our restructuring. Refer to Note 10, </w:t>
      </w:r>
      <w:r>
        <w:rPr>
          <w:rFonts w:ascii="Times New Roman" w:hAnsi="Times New Roman"/>
          <w:i/>
          <w:color w:val="000000"/>
          <w:sz w:val="20"/>
        </w:rPr>
        <w:t xml:space="preserve">Commitments and Contingencies—Restructuring </w:t>
      </w:r>
      <w:r>
        <w:rPr>
          <w:rFonts w:ascii="Times New Roman" w:hAnsi="Times New Roman"/>
          <w:color w:val="000000"/>
          <w:sz w:val="20"/>
        </w:rPr>
        <w:t>for our condensed consolidated financial statements included elsewhere in this Quarterly Report on Form 10-Q.</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Acquisition of GoBRANDgo, LLC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July 1, 2026, we acquired the assets of GoBRANDgo, LLC (“GoBRANDgo”) pursuant to an Asset Purchase Agreement. The acquisition of GoBRANDgo is expected to enhance our marketing services offering through GoBRANDgo's AI and automation capabilities. The aggregate non-contingent portion of the purchase price was approximately $4.6 million and was paid in cash on the closing date. In addition, the Asset Purchase Agreement includes a contingent consideration arrangement to the former owners of GoBRANDgo of up to a maximum of $2.5 million (undiscounted) in the Company’s Class A common stock based upon the achievement of certain revenue and adjusted earnings before interest, taxes, depreciation and amortization targets.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0" w:after="20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center"/>
        <w:rPr>
          <w:rFonts w:ascii="Times New Roman" w:hAnsi="Times New Roman"/>
          <w:sz w:val="20"/>
        </w:rPr>
      </w:pPr>
      <w:r>
        <w:rPr>
          <w:rFonts w:ascii="Times New Roman" w:hAnsi="Times New Roman"/>
          <w:b/>
          <w:color w:val="000000"/>
          <w:sz w:val="20"/>
        </w:rPr>
        <w:t>Key Marketplace Operational and Business Metrics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 </w:t>
      </w:r>
    </w:p>
    <w:p>
      <w:pPr>
        <w:pStyle w:val="TextBody"/>
        <w:bidi w:val="0"/>
        <w:spacing w:before="0" w:after="200"/>
        <w:jc w:val="both"/>
        <w:rPr>
          <w:rFonts w:ascii="Times New Roman" w:hAnsi="Times New Roman"/>
          <w:sz w:val="20"/>
        </w:rPr>
      </w:pPr>
      <w:r>
        <w:rPr>
          <w:rFonts w:ascii="Times New Roman" w:hAnsi="Times New Roman"/>
          <w:b/>
          <w:i/>
          <w:color w:val="000000"/>
          <w:sz w:val="20"/>
        </w:rPr>
        <w:t>Active Buyers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define Active Buyers as the number of buyers who have made at least one purchase on our marketplace during the last twelve months. An increase or decrease in the number of Active Buyers is a key indicator of our ability to attract, retain and engage buyers on our platform.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Active Buyers has consistently grown over time. The number of Active Buyers on our platform reached 89,557 as of June 30, 2026, up 20% from 74,777 as of June 30, 2025. The key drivers of Active Buyer growth are continued account and buyer engagement and the success of our strategy to attract new buyers. </w:t>
      </w:r>
    </w:p>
    <w:p>
      <w:pPr>
        <w:pStyle w:val="TextBody"/>
        <w:bidi w:val="0"/>
        <w:spacing w:before="0" w:after="200"/>
        <w:jc w:val="center"/>
        <w:rPr/>
      </w:pPr>
      <w:r>
        <w:rPr/>
        <w:drawing>
          <wp:inline distT="0" distB="0" distL="0" distR="0">
            <wp:extent cx="3657600" cy="404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4048125"/>
                    </a:xfrm>
                    <a:prstGeom prst="rect">
                      <a:avLst/>
                    </a:prstGeom>
                  </pic:spPr>
                </pic:pic>
              </a:graphicData>
            </a:graphic>
          </wp:inline>
        </w:drawing>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sz w:val="20"/>
        </w:rPr>
      </w:pPr>
      <w:r>
        <w:rPr>
          <w:rFonts w:ascii="Times New Roman" w:hAnsi="Times New Roman"/>
          <w:b/>
          <w:i/>
          <w:color w:val="000000"/>
          <w:sz w:val="20"/>
        </w:rPr>
        <w:t>Percentage of Revenue from Existing Accounts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quarter ended June 30, 2026, 98% of our revenue was generated from existing accounts. We believe the repeat purchase activity from existing accounts reflects the underlying strength of our business and provides us with substantial revenue visibility and predictability.</w:t>
      </w:r>
    </w:p>
    <w:p>
      <w:pPr>
        <w:pStyle w:val="TextBody"/>
        <w:bidi w:val="0"/>
        <w:spacing w:before="0" w:after="200"/>
        <w:jc w:val="center"/>
        <w:rPr/>
      </w:pPr>
      <w:r>
        <w:rPr/>
        <w:drawing>
          <wp:inline distT="0" distB="0" distL="0" distR="0">
            <wp:extent cx="3657600" cy="483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4838700"/>
                    </a:xfrm>
                    <a:prstGeom prst="rect">
                      <a:avLst/>
                    </a:prstGeom>
                  </pic:spPr>
                </pic:pic>
              </a:graphicData>
            </a:graphic>
          </wp:inline>
        </w:drawing>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i/>
          <w:color w:val="000000"/>
          <w:sz w:val="20"/>
        </w:rPr>
        <w:t>Accounts with Last Twelve-Month Spend of at Least $50,000</w:t>
      </w:r>
      <w:r>
        <w:rPr>
          <w:rFonts w:ascii="Times New Roman" w:hAnsi="Times New Roman"/>
          <w:color w:val="000000"/>
          <w:sz w:val="20"/>
        </w:rPr>
        <w:t xml:space="preserve"> </w:t>
      </w:r>
    </w:p>
    <w:p>
      <w:pPr>
        <w:pStyle w:val="TextBody"/>
        <w:bidi w:val="0"/>
        <w:spacing w:before="200" w:after="200"/>
        <w:jc w:val="both"/>
        <w:rPr>
          <w:rFonts w:ascii="Times New Roman" w:hAnsi="Times New Roman"/>
          <w:sz w:val="20"/>
        </w:rPr>
      </w:pPr>
      <w:r>
        <w:rPr>
          <w:rFonts w:ascii="Times New Roman" w:hAnsi="Times New Roman"/>
          <w:color w:val="000000"/>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2,039 as of June 30, 2026, up 23%</w:t>
      </w:r>
      <w:r>
        <w:rPr>
          <w:rFonts w:ascii="Times New Roman" w:hAnsi="Times New Roman"/>
          <w:color w:val="FF0000"/>
          <w:sz w:val="20"/>
        </w:rPr>
        <w:t xml:space="preserve"> </w:t>
      </w:r>
      <w:r>
        <w:rPr>
          <w:rFonts w:ascii="Times New Roman" w:hAnsi="Times New Roman"/>
          <w:color w:val="000000"/>
          <w:sz w:val="20"/>
        </w:rPr>
        <w:t>from 1,653 as of June 30, 2025.</w:t>
      </w:r>
    </w:p>
    <w:p>
      <w:pPr>
        <w:pStyle w:val="TextBody"/>
        <w:bidi w:val="0"/>
        <w:spacing w:before="0" w:after="200"/>
        <w:jc w:val="center"/>
        <w:rPr/>
      </w:pPr>
      <w:r>
        <w:rPr/>
        <w:drawing>
          <wp:inline distT="0" distB="0" distL="0" distR="0">
            <wp:extent cx="3657600" cy="5686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5686425"/>
                    </a:xfrm>
                    <a:prstGeom prst="rect">
                      <a:avLst/>
                    </a:prstGeom>
                  </pic:spPr>
                </pic:pic>
              </a:graphicData>
            </a:graphic>
          </wp:inline>
        </w:drawing>
      </w:r>
    </w:p>
    <w:p>
      <w:pPr>
        <w:pStyle w:val="TextBody"/>
        <w:bidi w:val="0"/>
        <w:jc w:val="left"/>
        <w:rPr/>
      </w:pPr>
      <w:r>
        <w:rPr/>
        <w:t> </w:t>
      </w:r>
    </w:p>
    <w:p>
      <w:pPr>
        <w:pStyle w:val="TextBody"/>
        <w:bidi w:val="0"/>
        <w:spacing w:before="20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0" w:after="20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Adjusted EBITDA and Non-GAAP Net Income (Loss) are non-GAAP financial measures that we use, in addition to our GAAP financial measures, to evaluate our business. We have included Adjusted EBITDA and Non-GAAP Net Income (Loss) in this filing because they are key measures used by our management to evaluate our operating performance. Accordingly, we believe that Adjusted EBITDA and Non-GAAP Net Income (Loss) provide useful information to investors and others in understanding and evaluating our operating results in the same manner as our management team and board of directors. Our calculation of Adjusted EBITDA and Non-GAAP Net Income (Loss) may differ from similarly titled non-GAAP measures, if any, reported by our peer companies and therefore may not serve as an accurate basis of comparison among companies. Adjusted EBITDA and Non-GAAP Net Income (Loss) should not be considered in isolation from, or as a substitute for, financial information prepared in accordance with GAAP. </w:t>
      </w:r>
    </w:p>
    <w:p>
      <w:pPr>
        <w:pStyle w:val="TextBody"/>
        <w:bidi w:val="0"/>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define Adjusted EBITDA as net loss, adjusted for interest expense, interest and dividend income and other expenses, and certain other non-cash or non-recurring items impacting net loss from time to time, principally comprised of depreciation and amortization, amortization of lease intangible, provision for (benefit from) income taxes, stock-based compensation, payroll tax expense related to stock-based compensation, charitable contributions of common stock, income from unconsolidated joint venture, restructuring charges,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 </w:t>
      </w:r>
    </w:p>
    <w:tbl>
      <w:tblPr>
        <w:tblW w:w="10205" w:type="dxa"/>
        <w:jc w:val="left"/>
        <w:tblInd w:w="0" w:type="dxa"/>
        <w:tblLayout w:type="fixed"/>
        <w:tblCellMar>
          <w:top w:w="28" w:type="dxa"/>
          <w:left w:w="28" w:type="dxa"/>
          <w:bottom w:w="28" w:type="dxa"/>
          <w:right w:w="28" w:type="dxa"/>
        </w:tblCellMar>
      </w:tblPr>
      <w:tblGrid>
        <w:gridCol w:w="5184"/>
        <w:gridCol w:w="146"/>
        <w:gridCol w:w="211"/>
        <w:gridCol w:w="676"/>
        <w:gridCol w:w="166"/>
        <w:gridCol w:w="146"/>
        <w:gridCol w:w="211"/>
        <w:gridCol w:w="736"/>
        <w:gridCol w:w="166"/>
        <w:gridCol w:w="146"/>
        <w:gridCol w:w="211"/>
        <w:gridCol w:w="736"/>
        <w:gridCol w:w="166"/>
        <w:gridCol w:w="146"/>
        <w:gridCol w:w="211"/>
        <w:gridCol w:w="736"/>
        <w:gridCol w:w="211"/>
      </w:tblGrid>
      <w:tr>
        <w:trPr/>
        <w:tc>
          <w:tcPr>
            <w:tcW w:w="5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interest and dividend income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the three months ended June 30, 2026, Adjusted EBITDA was $14.1 million, as compared to Adjusted EBITDA of $3.9 million for the same quarter in 2025. For the three months ended June 30, 2026, Adjusted EBITDA Margin was 6.2% of revenue, as compared to 2.4% of revenue for the same quarter in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the six months ended June 30, 2026, Adjusted EBITDA was $24.6 million, as compared to Adjusted EBITDA of $4.0 million for the same period in 2025. For the six months ended June 30, 2026, Adjusted EBITDA margin was 5.7% of revenue, as compared to 1.3% of revenue for the same period in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increase in Adjusted EBITDA for each of these periods was driven primarily by increased operating efficiencies as we continue to grow our revenue and margins faster than our expenses.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Non-GAAP Net Income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define Non-GAAP Net Income (Loss), as net loss adjusted for stock-based compensation, payroll tax expense related to stock-based compensation, amortization of lease intangible, amortization of deferred costs on convertible notes, charitable contributions of common stock, lease termination, restructuring charges, loss on debt extinguishment, amortization of acquired intangible assets &amp; patents, other amortization and acquisition and other adjustments not reflective of our ongoing business, such as adjustments related to purchase accounting, the revaluation of contingent consideration, transaction costs and executive severance.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Effective January 1, 2026, we revised our definition of Non-GAAP Net Income (Loss) to exclude depreciation expense which had previously been included as an adjustment. Management believes this revised definition provides a more representative view of our core operating performance. All prior-period amounts have been recast to conform to this new definition.</w:t>
      </w:r>
    </w:p>
    <w:tbl>
      <w:tblPr>
        <w:tblW w:w="9732" w:type="dxa"/>
        <w:jc w:val="left"/>
        <w:tblInd w:w="0" w:type="dxa"/>
        <w:tblLayout w:type="fixed"/>
        <w:tblCellMar>
          <w:top w:w="28" w:type="dxa"/>
          <w:left w:w="28" w:type="dxa"/>
          <w:bottom w:w="28" w:type="dxa"/>
          <w:right w:w="28" w:type="dxa"/>
        </w:tblCellMar>
      </w:tblPr>
      <w:tblGrid>
        <w:gridCol w:w="4711"/>
        <w:gridCol w:w="146"/>
        <w:gridCol w:w="211"/>
        <w:gridCol w:w="676"/>
        <w:gridCol w:w="166"/>
        <w:gridCol w:w="146"/>
        <w:gridCol w:w="211"/>
        <w:gridCol w:w="736"/>
        <w:gridCol w:w="166"/>
        <w:gridCol w:w="146"/>
        <w:gridCol w:w="211"/>
        <w:gridCol w:w="736"/>
        <w:gridCol w:w="166"/>
        <w:gridCol w:w="146"/>
        <w:gridCol w:w="211"/>
        <w:gridCol w:w="73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Non-GAAP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expense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lease intangible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costs on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Charitable contribution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 &amp;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For the three months ended June 30, 2026, Non-GAAP net income was $9.9 million, as compared to Non-GAAP net income of $1.1 million for the same quarter in 2025. For the three months ended June 30, 2026, Non-GAAP net income was 4.3% of revenue, as compared to 0.7% of revenue for the same quarter in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2026, Non-GAAP net income was $16.8 million, as compared to Non-GAAP net loss of $(1.4) million for the same period in 2025. For the six months ended June 30, 2026, Non-GAAP net income (loss) was 3.9% of revenue, as compared to (0.5)% of revenue for the same period in 2025.</w:t>
      </w:r>
    </w:p>
    <w:p>
      <w:pPr>
        <w:pStyle w:val="TextBody"/>
        <w:bidi w:val="0"/>
        <w:spacing w:before="0" w:after="200"/>
        <w:jc w:val="center"/>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marketplace revenue is primarily comprised of sales of parts and assemblies to customers through our platform. Buyers purchase specialized CNC manufacturing, sheet metal manufacturing, 3D printing, injection molding, urethane casting, stamping, extrusions, tube cutting, tube bending and finishing services. Customer purchases range from rapid prototyping of single parts to high-volume production on our marketplace. These products are primarily manufactured by our network of suppliers.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Services revenue includes the sale of marketing and advertising services and financial service products. </w:t>
      </w:r>
    </w:p>
    <w:p>
      <w:pPr>
        <w:pStyle w:val="TextBody"/>
        <w:bidi w:val="0"/>
        <w:spacing w:before="0" w:after="200"/>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Marketplace cost of revenue primarily consists of the cost to us of the products that are manufactured or produced by us or our suppliers for delivery to buyers on our platform, internal and external production costs, shipping costs and certain internal depreciation. We expect the cost of revenue to increase in absolute dollars to the extent our revenue increases and transaction volume increases. As we grow and add suppliers to our platform, we are able to improve our pricing efficiency and we expect cost of revenue to decline as a percentage of revenue over time.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Services cost of revenue primarily consists of internal and external production costs and website hosting.</w:t>
      </w:r>
    </w:p>
    <w:p>
      <w:pPr>
        <w:pStyle w:val="TextBody"/>
        <w:bidi w:val="0"/>
        <w:spacing w:before="0" w:after="200"/>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Gross profit, or revenue less cost of revenue, is primarily affected by the growth of our revenue and the mix of our business between marketplace and services. Marketplace gross margin is our economic value driven by the spread between the price to the buyer and the cost to the supplier. The price to the buyer is primarily driven by AI through our instant quoting engine which utilizes machine learning and our proprietary data to make price predictions. The cost to the supplier is driven by an AI powered matching algorithm which finds the optimal supplier match in our network.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operating expenses consist of sales and marketing, operations and support, product development, general and administrative functions and impairment of assets.</w:t>
      </w:r>
    </w:p>
    <w:p>
      <w:pPr>
        <w:pStyle w:val="TextBody"/>
        <w:bidi w:val="0"/>
        <w:spacing w:before="0" w:after="200"/>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Sales and marketing expenses are expensed as incurred and include the costs of our digital marketing strategies, branding costs and other advertising costs, restructuring charges, certain depreciation and amortization expense, contract acquisition costs and compensation expenses, including stock-based compensation for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but decrease over time as a percentage of revenue. Sales and marketing expenses may fluctuate from period to period based on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Operations and Support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restructuring charges, certain depreciation and amortization expense and software costs used in delivering buyer and suppliers services. We expect operations and support expenses to increase in absolute dollars in the future as we grow our business but decrease over time as a percentage of revenue. Operations and support expenses may fluctuate from period to period based on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Product development costs that are not eligible for capitalization are expensed as incurred. These costs primarily consist of compensation expenses, including stock-based compensation expenses to our employees performing these functions, restructuring charges and certain depreciation and amortization expense. We expect product development expense to increase in absolute dollars in the future as we grow our business but decrease over time as a percentage of revenue. Product development expenses may fluctuate from period to period based on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General and administrative expenses primarily consist of compensation expenses, including stock-based compensation expenses, for executive, finance, legal and other administrative personnel, provision for bad debt, professional service fees, facilities cost, restructuring charges and certain depreciation and amortization expense. We expect general and administrative expenses to increase in absolute dollars in the future as we grow our business but decrease over time as a percentage of revenue. General and administrative expenses may fluctuate from period to period due to the timing of our investments, which may vary in scope and scale over future periods.</w:t>
      </w:r>
    </w:p>
    <w:p>
      <w:pPr>
        <w:pStyle w:val="TextBody"/>
        <w:bidi w:val="0"/>
        <w:spacing w:before="0" w:after="200"/>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expense consists of interest incurred on our outstanding borrowings under our outstanding convertible notes or other borrowings.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and dividend income consists of interest and dividends on our cash, cash equivalents and marketable securities.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Other Expenses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Other expenses consist primarily of realized foreign exchange gains and/or losses, non-income based taxes and other expenses. </w:t>
      </w:r>
    </w:p>
    <w:p>
      <w:pPr>
        <w:pStyle w:val="TextBody"/>
        <w:bidi w:val="0"/>
        <w:spacing w:before="0" w:after="20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Income from unconsolidated joint venture consists of our share of the joint venture’s income.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i/>
          <w:color w:val="000000"/>
          <w:sz w:val="20"/>
        </w:rPr>
      </w:pPr>
      <w:r>
        <w:rPr>
          <w:rFonts w:ascii="Times New Roman" w:hAnsi="Times New Roman"/>
          <w:i/>
          <w:color w:val="000000"/>
          <w:sz w:val="20"/>
        </w:rPr>
        <w:t>Provision for Income Taxes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Provision for income taxes primarily consists of income based taxes primarily from international operations.</w:t>
      </w:r>
    </w:p>
    <w:p>
      <w:pPr>
        <w:pStyle w:val="TextBody"/>
        <w:bidi w:val="0"/>
        <w:spacing w:before="0" w:after="20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Times New Roman" w:hAnsi="Times New Roman"/>
          <w:b/>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following table sets forth our unaudited statements of operations data for the periods indicated (in thousands): </w:t>
      </w:r>
    </w:p>
    <w:tbl>
      <w:tblPr>
        <w:tblW w:w="6824" w:type="dxa"/>
        <w:jc w:val="left"/>
        <w:tblInd w:w="0" w:type="dxa"/>
        <w:tblLayout w:type="fixed"/>
        <w:tblCellMar>
          <w:top w:w="28" w:type="dxa"/>
          <w:left w:w="28" w:type="dxa"/>
          <w:bottom w:w="28" w:type="dxa"/>
          <w:right w:w="28" w:type="dxa"/>
        </w:tblCellMar>
      </w:tblPr>
      <w:tblGrid>
        <w:gridCol w:w="4171"/>
        <w:gridCol w:w="146"/>
        <w:gridCol w:w="211"/>
        <w:gridCol w:w="781"/>
        <w:gridCol w:w="166"/>
        <w:gridCol w:w="146"/>
        <w:gridCol w:w="211"/>
        <w:gridCol w:w="781"/>
        <w:gridCol w:w="21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sets forth our unaudited statements of operations data expressed as a percentage of total revenue for the periods indicated:</w:t>
      </w:r>
    </w:p>
    <w:tbl>
      <w:tblPr>
        <w:tblW w:w="6604" w:type="dxa"/>
        <w:jc w:val="left"/>
        <w:tblInd w:w="0" w:type="dxa"/>
        <w:tblLayout w:type="fixed"/>
        <w:tblCellMar>
          <w:top w:w="28" w:type="dxa"/>
          <w:left w:w="28" w:type="dxa"/>
          <w:bottom w:w="28" w:type="dxa"/>
          <w:right w:w="28" w:type="dxa"/>
        </w:tblCellMar>
      </w:tblPr>
      <w:tblGrid>
        <w:gridCol w:w="4171"/>
        <w:gridCol w:w="146"/>
        <w:gridCol w:w="146"/>
        <w:gridCol w:w="571"/>
        <w:gridCol w:w="331"/>
        <w:gridCol w:w="146"/>
        <w:gridCol w:w="146"/>
        <w:gridCol w:w="571"/>
        <w:gridCol w:w="37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present our disaggregated revenue and cost of revenue. Revenue from our marketplace primarily reflects the sales of parts and assemblies on our platform. Revenue from services includes the sale of advertising and financial service products.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Revenue and cost of revenue is presented in the following tables for the three months ended June 30, 2026 and 2025 (in thousands):</w:t>
      </w:r>
    </w:p>
    <w:tbl>
      <w:tblPr>
        <w:tblW w:w="4259" w:type="dxa"/>
        <w:jc w:val="left"/>
        <w:tblInd w:w="0" w:type="dxa"/>
        <w:tblLayout w:type="fixed"/>
        <w:tblCellMar>
          <w:top w:w="28" w:type="dxa"/>
          <w:left w:w="28" w:type="dxa"/>
          <w:bottom w:w="28" w:type="dxa"/>
          <w:right w:w="28" w:type="dxa"/>
        </w:tblCellMar>
      </w:tblPr>
      <w:tblGrid>
        <w:gridCol w:w="1396"/>
        <w:gridCol w:w="146"/>
        <w:gridCol w:w="211"/>
        <w:gridCol w:w="781"/>
        <w:gridCol w:w="271"/>
        <w:gridCol w:w="146"/>
        <w:gridCol w:w="211"/>
        <w:gridCol w:w="781"/>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revenue increased $66.7 million, or 41%, from $162.5 million for the three months ended June 30, 2025 to $229.3 million for the three months ended June 30, 2026. This growth was a result of an increase in marketplace revenue. Marketplace revenue increased $67.1 million, or 45%, from $148.2 million for the three months ended June 30, 2025 to $215.4 million for the three months ended June 30, 2026. The increase in marketplace revenue was primarily due to increased buyer activity on the platform, particularly with respect to enterprise customers, for the three months ended June 30, 2026 as compared to the prior year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Services revenue decreased $0.4 million, or 3% from $14.3 million for the three months ended June 30, 2025 to $13.9 million for the three months ended June 30, 2026. The decrease in revenue was due to reductions in Thomas advertising and marketing services, partly offset by growth in financial services.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revenue for the three months ended June 30, 2026 and 2025 was $194.7 million and $135.7 million, respectively, for the U.S. reportable segment and $34.5 million and $26.8 million, respectively, for the International reportable segment.</w:t>
      </w:r>
    </w:p>
    <w:p>
      <w:pPr>
        <w:pStyle w:val="TextBody"/>
        <w:bidi w:val="0"/>
        <w:spacing w:before="0" w:after="200"/>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cost of revenue increased $44.8 million, or 46%, from $97.4 million for the three months ended June 30, 2025 to $142.1 million for the three months ended June 30, 2026. This increase was primarily the result of an increase in marketplace cost of revenue. Total cost of revenue from marketplace and services for the three months ended June 30, 2026 was $140.6 million and $1.5 million, respectively, as compared to $95.8 million and $1.6 million, respectively, for the three months ended June 30,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Marketplace cost of revenue was driven by order growth and increased activity on our marketplace.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cost of revenue for the three months ended June 30, 2026 and 2025 was $121.2 million and $81.0 million, respectively for the U.S. reportable segment, and $20.9 million and $16.4 million, respectively, for the International reportable segment.</w:t>
      </w:r>
    </w:p>
    <w:p>
      <w:pPr>
        <w:pStyle w:val="TextBody"/>
        <w:bidi w:val="0"/>
        <w:spacing w:before="0" w:after="200"/>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profit increased $22.0 million, or 34%, from $65.2 million for the three months ended June 30, 2025 to $87.2 million for the three months ended June 30, 2026. The increase in gross profit was primarily due to increases in revenue from marketplace as compared to the prior year period.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gross margin was 38.0% for the three months ended June 30, 2026 as compared to 40.1% for the three months ended June 30, 2025. The decrease was primarily driven by faster growth and associated mix shift to marketplace revenue which has lower gross margin than services.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Gross margin for marketplace was 34.7% for the three months ended June 30, 2026, as compared to 35.4% for the three months ended June 30,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margin for services was 89.1% for the three months ended June 30, 2026, as compared to 88.7% for the three months ended June 30, 2025. </w:t>
      </w:r>
    </w:p>
    <w:p>
      <w:pPr>
        <w:pStyle w:val="TextBody"/>
        <w:bidi w:val="0"/>
        <w:spacing w:before="0" w:after="20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Sales and marketing expense increased $3.8 million, or 13%, from $29.8 million for the three months ended June 30, 2025 to $33.6 million for the three months ended June 30, 2026, primarily due to increases in commission expenses, employee compensation and benefit costs due to increased headcount and consulting expenses. As a percent of total revenue, sales and marketing expenses decreased to 14.6% for the three months ended June 30, 2026 from 18.3% for the three months ended June 30,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Advertising expense decreased $0.6 million, from $9.2 million for the three months ended June 30, 2025 to $8.6 million for the three months ended June 30, 2026, primarily due to decreased marketplace advertising.</w:t>
      </w:r>
    </w:p>
    <w:p>
      <w:pPr>
        <w:pStyle w:val="TextBody"/>
        <w:bidi w:val="0"/>
        <w:spacing w:before="0" w:after="200"/>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Operations and support expense increased $3.7 million, or 21%, from $17.7 million for the three months ended June 30, 2025 to $21.4 million for the three months ended June 30, 2026, primarily due to increases in consulting expenses and employee compensation and benefit costs due to increased headcount. As a percent of total revenue, operations and support expenses decreased to 9.3% for the three months ended June 30, 2026 from 10.9% for the three months ended June 30, 2025. </w:t>
      </w:r>
    </w:p>
    <w:p>
      <w:pPr>
        <w:pStyle w:val="TextBody"/>
        <w:bidi w:val="0"/>
        <w:spacing w:before="0" w:after="200"/>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Product development expense increased $2.0 million, or 18%, from $11.0 million for the three months ended June 30, 2025 to $13.0 million for the three months ended June 30, 2026, primarily as a result of an increase in software costs and depreciation and amortization, offset by increases in the amount of compensation and benefits cost and stock-based compensation capitalized to software development. As a percent of total revenue, product development expenses decreased to 5.7% for the three months ended June 30, 2026, as compared to 6.8% for the three months ended June 30,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General and administrative expense increased $7.8 million, or 46%, from $16.9 million for the three months ended June 30, 2025 to $24.7 million for the three months ended June 30, 2026, primarily driven by increases in stock-based compensation, the costs of charitable contributions of Class A common stock and reserves for bad debt. As a percent of total revenue, general and administrative expenses increased to 10.8% for the three months ended June 30, 2026 from 10.4% for the three months ended June 30, 2025. </w:t>
      </w:r>
    </w:p>
    <w:p>
      <w:pPr>
        <w:pStyle w:val="TextBody"/>
        <w:bidi w:val="0"/>
        <w:spacing w:before="0" w:after="200"/>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expense remained flat at approximately $1.2 million for the three months ended June 30, 2026 and 2025.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and dividend income increased $0.4 million, or 19%, from $2.2 million for the three months ended June 30, 2025 to $2.6 million for the three months ended June 30, 2026. The increase was primarily due to higher investment in the money market account.</w:t>
      </w:r>
    </w:p>
    <w:p>
      <w:pPr>
        <w:pStyle w:val="TextBody"/>
        <w:bidi w:val="0"/>
        <w:spacing w:before="0" w:after="200"/>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Other expenses decreased by $16.4 million, from $17.4 million for the three months ended June 30, 2025 to $1.0 million for the three months ended June 30, 2026. The decrease was due to a $16.4 million loss on debt extinguishment recognized in connection with the partial repurchase of the 2027 Notes in the second quarter of 2025. </w:t>
      </w:r>
    </w:p>
    <w:p>
      <w:pPr>
        <w:pStyle w:val="TextBody"/>
        <w:bidi w:val="0"/>
        <w:spacing w:before="0" w:after="20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Income from unconsolidated joint venture remained flat at approximately $0.2 million for the three months ended June 30, 2026 and 2025. </w:t>
      </w:r>
    </w:p>
    <w:p>
      <w:pPr>
        <w:pStyle w:val="TextBody"/>
        <w:bidi w:val="0"/>
        <w:spacing w:before="0" w:after="200"/>
        <w:jc w:val="left"/>
        <w:rPr>
          <w:rFonts w:ascii="Times New Roman" w:hAnsi="Times New Roman"/>
          <w:sz w:val="20"/>
        </w:rPr>
      </w:pPr>
      <w:r>
        <w:rPr>
          <w:rFonts w:ascii="Times New Roman" w:hAnsi="Times New Roman"/>
          <w:b/>
          <w:i/>
          <w:color w:val="000000"/>
          <w:sz w:val="20"/>
        </w:rPr>
        <w:t>Additional Segment Considerations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Segment Adjusted EBITDA from our U.S. reportable segment for the three months ended June 30, 2026 and 2025 was $17.5 million and $6.9 million, respectively. Segment Adjusted EBITDA from our International reportable segment for the three months ended June 30, 2026 and 2025 was $(3.3) million and $(2.9) million,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center"/>
        <w:rPr>
          <w:rFonts w:ascii="Times New Roman" w:hAnsi="Times New Roman"/>
          <w:sz w:val="20"/>
        </w:rPr>
      </w:pPr>
      <w:r>
        <w:rPr>
          <w:rFonts w:ascii="Times New Roman" w:hAnsi="Times New Roman"/>
          <w:b/>
          <w:color w:val="000000"/>
          <w:sz w:val="20"/>
        </w:rPr>
        <w:t>Comparison of the Six Months Ended June 30, 2026 and 2025</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sets forth our unaudited statements of operations data for the periods indicated (in thousands):</w:t>
      </w:r>
    </w:p>
    <w:tbl>
      <w:tblPr>
        <w:tblW w:w="6539" w:type="dxa"/>
        <w:jc w:val="left"/>
        <w:tblInd w:w="0" w:type="dxa"/>
        <w:tblLayout w:type="fixed"/>
        <w:tblCellMar>
          <w:top w:w="28" w:type="dxa"/>
          <w:left w:w="28" w:type="dxa"/>
          <w:bottom w:w="28" w:type="dxa"/>
          <w:right w:w="28" w:type="dxa"/>
        </w:tblCellMar>
      </w:tblPr>
      <w:tblGrid>
        <w:gridCol w:w="3886"/>
        <w:gridCol w:w="146"/>
        <w:gridCol w:w="211"/>
        <w:gridCol w:w="781"/>
        <w:gridCol w:w="166"/>
        <w:gridCol w:w="146"/>
        <w:gridCol w:w="211"/>
        <w:gridCol w:w="781"/>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147,188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sets forth our unaudited statements of operations data expressed as a percentage of total revenue for the periods indicated:</w:t>
      </w:r>
    </w:p>
    <w:tbl>
      <w:tblPr>
        <w:tblW w:w="6319" w:type="dxa"/>
        <w:jc w:val="left"/>
        <w:tblInd w:w="0" w:type="dxa"/>
        <w:tblLayout w:type="fixed"/>
        <w:tblCellMar>
          <w:top w:w="28" w:type="dxa"/>
          <w:left w:w="28" w:type="dxa"/>
          <w:bottom w:w="28" w:type="dxa"/>
          <w:right w:w="28" w:type="dxa"/>
        </w:tblCellMar>
      </w:tblPr>
      <w:tblGrid>
        <w:gridCol w:w="3886"/>
        <w:gridCol w:w="146"/>
        <w:gridCol w:w="146"/>
        <w:gridCol w:w="571"/>
        <w:gridCol w:w="331"/>
        <w:gridCol w:w="146"/>
        <w:gridCol w:w="146"/>
        <w:gridCol w:w="571"/>
        <w:gridCol w:w="37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Operations and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from unconsolidated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(Provision)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following tables present our disaggregated revenue and cost of revenue. Revenue from our marketplace primarily reflects the sales of parts and assemblies on our platform. Revenue from services includes the sale of advertising and financial service products.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Revenue and cost of revenue is presented in the following tables for the six months ended June 30, 2026 and 2025 (in thousands):</w:t>
      </w:r>
    </w:p>
    <w:tbl>
      <w:tblPr>
        <w:tblW w:w="4259" w:type="dxa"/>
        <w:jc w:val="left"/>
        <w:tblInd w:w="0" w:type="dxa"/>
        <w:tblLayout w:type="fixed"/>
        <w:tblCellMar>
          <w:top w:w="28" w:type="dxa"/>
          <w:left w:w="28" w:type="dxa"/>
          <w:bottom w:w="28" w:type="dxa"/>
          <w:right w:w="28" w:type="dxa"/>
        </w:tblCellMar>
      </w:tblPr>
      <w:tblGrid>
        <w:gridCol w:w="1396"/>
        <w:gridCol w:w="146"/>
        <w:gridCol w:w="211"/>
        <w:gridCol w:w="781"/>
        <w:gridCol w:w="271"/>
        <w:gridCol w:w="146"/>
        <w:gridCol w:w="211"/>
        <w:gridCol w:w="781"/>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revenue increased $120.9 million, or 39%, from $313.5 million for the six months ended June 30, 2025 to $434.4 million for the six months ended June 30, 2026. This growth was a result of an increase in marketplace revenue. Marketplace revenue increased $122.1 million, or 43%, from $284.6 million for the six months ended June 30, 2025 to $406.7 million for the six months ended June 30, 2026. The increase in marketplace revenue was primarily due to increased buyer activity on the platform, particularly with respect to enterprise customers, for the six months ended June 30, 2026 as compared to the prior year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Services revenue decreased $1.2 million, or 4% from $28.9 million for the six months ended June 30, 2025 to $27.7 million for the six months ended June 30, 2026. The decrease in revenue was due to reductions in Thomas advertising and marketing services, partly offset by growth in financial services.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revenue for the six months ended June 30, 2026 and 2025 was $367.0 million and $263.6 million, respectively, for the U.S. reportable segment and $67.5 million and $50.0 million, respectively, for the International reportable segment.</w:t>
      </w:r>
    </w:p>
    <w:p>
      <w:pPr>
        <w:pStyle w:val="TextBody"/>
        <w:bidi w:val="0"/>
        <w:spacing w:before="0" w:after="200"/>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cost of revenue increased $76.8 million, or 40%, from $192.0 million for the six months ended June 30, 2025 to $268.8 million for the six months ended June 30, 2026. This increase was primarily the result of an increase in marketplace cost of revenue. Total cost of revenue from marketplace and services for the six months ended June 30, 2026 was $265.5 million and $3.3 million, respectively, as compared to $188.8 million and $3.2 million, respectively, for the six months ended June 30,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Marketplace cost of revenue was driven by order growth and increased activity on our marketplace.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Total cost of revenue for the six months ended June 30, 2026 and 2025 was $227.3 million and $160.9 million, respectively for the U.S. reportable segment, and $41.5 million and $31.1 million, respectively, for the International reportable segment.</w:t>
      </w:r>
    </w:p>
    <w:p>
      <w:pPr>
        <w:pStyle w:val="TextBody"/>
        <w:bidi w:val="0"/>
        <w:spacing w:before="0" w:after="200"/>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profit increased $44.1 million, or 36%, from $121.5 million for the six months ended June 30, 2025 to $165.6 million for the six months ended June 30, 2026. The increase in gross profit was primarily due to increases in revenue from marketplace and improved marketplace gross margins as compared to the prior year period.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Total gross margin was 38.1% for the six months ended June 30, 2026 as compared to 38.8% for the six months ended June 30, 2025. The decrease was primarily driven by primarily driven by faster growth and associated mix shift to marketplace revenue which has lower gross margin than services.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margin for marketplace was 34.7% for the six months ended June 30, 2026, as compared to 33.7% for the six months ended June 30, 2025. The improvement was due largely to our AI-driven platform and expanding network of active suppliers which optimizes pricing to buyers and suppliers.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Gross margin for our services was 88.1% for the six months ended June 30, 2026, as compared to 88.9% for the six months ended June 30, 2025. </w:t>
      </w:r>
    </w:p>
    <w:p>
      <w:pPr>
        <w:pStyle w:val="TextBody"/>
        <w:bidi w:val="0"/>
        <w:spacing w:before="0" w:after="20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Sales and marketing expense increased $9.3 million, or 17%, from $56.2 million for the six months ended June 30, 2025 to $65.6 million for the six months ended June 30, 2026, primarily due to increases in commission expense, employee compensation and benefit costs due to increased headcount, consulting expenses and marketing and advertising spend. As a percent of total revenue, sales and marketing expenses decreased to 15.1% for the six months ended June 30, 2026 from 17.9% for the six months ended June 30,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Advertising expense increased $1.4 million, from $16.0 million for the six months ended June 30, 2025 to $17.4 million for the six months ended June 30, 2026 primarily due to increased services advertising.</w:t>
      </w:r>
    </w:p>
    <w:p>
      <w:pPr>
        <w:pStyle w:val="TextBody"/>
        <w:bidi w:val="0"/>
        <w:spacing w:before="0" w:after="200"/>
        <w:jc w:val="left"/>
        <w:rPr>
          <w:rFonts w:ascii="Times New Roman" w:hAnsi="Times New Roman"/>
          <w:sz w:val="20"/>
        </w:rPr>
      </w:pPr>
      <w:r>
        <w:rPr>
          <w:rFonts w:ascii="Times New Roman" w:hAnsi="Times New Roman"/>
          <w:i/>
          <w:color w:val="000000"/>
          <w:sz w:val="20"/>
        </w:rPr>
        <w:t>Operations and Support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Operations and support expense increased $6.2 million, or 18%, from $34.8 million for the six months ended June 30, 2025 to $41.1 million for the six months ended June 30, 2026, primarily due to increases in consulting expenses and employee compensation and benefit costs due to increased headcount. These increases were offset by a reduction in restructuring costs. As a percent of total revenue, operations and support expenses decreased to 9.5% for the six months ended June 30, 2026 from 11.1% for the six months ended June 30, 2025. </w:t>
      </w:r>
    </w:p>
    <w:p>
      <w:pPr>
        <w:pStyle w:val="TextBody"/>
        <w:bidi w:val="0"/>
        <w:spacing w:before="0" w:after="200"/>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Product development expense increased $2.2 million, or 10%, from $22.2 million for the six months ended June 30, 2025 to $24.4 million for the six months ended June 30, 2026, primarily as a result of an increase in software costs, depreciation and amortization expense, and increased consulting costs, offset by increases in the amount of compensation and benefits cost and stock-based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compensation capitalized to software development. As a percent of total revenue, product development expenses decreased to 5.6% for the six months ended June 30, 2026 as compared to 7.1% for the six months ended June 30, 2025. </w:t>
      </w:r>
    </w:p>
    <w:p>
      <w:pPr>
        <w:pStyle w:val="TextBody"/>
        <w:bidi w:val="0"/>
        <w:spacing w:before="0" w:after="200"/>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General and administrative expense increased $11.4 million, or 34%, from $34.0 million for the six months ended June 30, 2025 to $45.4 million for the six months ended June 30, 2026, primarily driven by increases in stock-based compensation, the costs of charitable contributions of Class A common stock, reserves for bad debt and higher employee compensation and benefit costs due to increased headcount. As a percent of total revenue, general and administrative expenses decreased to 10.4% for the six months ended June 30, 2026 from 10.8% for the six months ended June 30, 2025. </w:t>
      </w:r>
    </w:p>
    <w:p>
      <w:pPr>
        <w:pStyle w:val="TextBody"/>
        <w:bidi w:val="0"/>
        <w:spacing w:before="0" w:after="200"/>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Interest expense increased $0.1 million, or 6% from $2.4 million for the six months ended June 30, 2025 to $2.5 million for the six months ended June 30, 2026.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Interest and Dividend Income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Interest and dividend income decreased $0.1 million, or 2%, from $4.5 million for the six months ended June 30, 2025 to $4.4 million for the six months ended June 30, 2026. The decrease was primarily due to lower investment in the money market account as the Company funds ongoing operations.</w:t>
      </w:r>
    </w:p>
    <w:p>
      <w:pPr>
        <w:pStyle w:val="TextBody"/>
        <w:bidi w:val="0"/>
        <w:spacing w:before="0" w:after="200"/>
        <w:jc w:val="left"/>
        <w:rPr>
          <w:rFonts w:ascii="Times New Roman" w:hAnsi="Times New Roman"/>
          <w:sz w:val="20"/>
        </w:rPr>
      </w:pPr>
      <w:r>
        <w:rPr>
          <w:rFonts w:ascii="Times New Roman" w:hAnsi="Times New Roman"/>
          <w:i/>
          <w:color w:val="000000"/>
          <w:sz w:val="20"/>
        </w:rPr>
        <w:t>Other Expenses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Other expenses decreased by $16.8 million, from $18.2 million for the six months ended June 30, 2025 to $1.5 million for the six months ended June 30, 2026. The decrease was primarily due to a $16.4 million loss on debt extinguishment recognized in connection with the partial repurchase of the 2027 Notes in the second quarter of 2025. </w:t>
      </w:r>
    </w:p>
    <w:p>
      <w:pPr>
        <w:pStyle w:val="TextBody"/>
        <w:bidi w:val="0"/>
        <w:spacing w:before="0" w:after="200"/>
        <w:jc w:val="left"/>
        <w:rPr>
          <w:rFonts w:ascii="Times New Roman" w:hAnsi="Times New Roman"/>
          <w:sz w:val="20"/>
        </w:rPr>
      </w:pPr>
      <w:r>
        <w:rPr>
          <w:rFonts w:ascii="Times New Roman" w:hAnsi="Times New Roman"/>
          <w:i/>
          <w:color w:val="000000"/>
          <w:sz w:val="20"/>
        </w:rPr>
        <w:t>Income from Unconsolidated Joint Venture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Income from unconsolidated joint venture increased $0.1 million from $0.3 million for the six months ended June 30, 2025 to $0.4 million for the six months ended June 30, 2026. </w:t>
      </w:r>
    </w:p>
    <w:p>
      <w:pPr>
        <w:pStyle w:val="TextBody"/>
        <w:bidi w:val="0"/>
        <w:spacing w:before="0" w:after="200"/>
        <w:jc w:val="left"/>
        <w:rPr>
          <w:rFonts w:ascii="Times New Roman" w:hAnsi="Times New Roman"/>
          <w:sz w:val="20"/>
        </w:rPr>
      </w:pPr>
      <w:r>
        <w:rPr>
          <w:rFonts w:ascii="Times New Roman" w:hAnsi="Times New Roman"/>
          <w:b/>
          <w:i/>
          <w:color w:val="000000"/>
          <w:sz w:val="20"/>
        </w:rPr>
        <w:t>Additional Segment Considerations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Segment Adjusted EBITDA from our U.S. reportable segment for the six months ended June 30, 2026 and 2025 was $30.8 million and $9.9 million, respectively. Segment Adjusted EBITDA from our International reportable segment for the six months ended June 30, 2026 and 2025 was $(6.1) million and $(5.9) million,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financed our operations primarily through sales of our equity securities and borrowings under our convertible notes. As of June 30, 2026, our cash and cash equivalents and marketable securities totaled $516.7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Our capital expenditures consist primarily of internal-use software costs, manufacturing equipment, computers and peripheral equipment, furniture and fixtures and leasehold improvements and patents.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Siemens Common Stock Issuance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May 6, 2026, we entered into an agreement with Siemens Industry Software Inc. (“Siemens ISW”) to integrate Xometry marketplace capabilities directly into the Siemens ISW industrial software ecosystem. Under the terms of the agreement, Xometry will develop the necessary software (“Software Deliverable”) with support from Siemens ISW, and then provide the Software Deliverable to Siemens ISW at no cost through an original equipment manufacturer agreement (the “OEM Agreement”). Certain exclusivity terms apply for a period of up to seven years from the agreement effective date. Based on the planned collaboration timeline, exclusivity terms will apply for five years subsequent to the completion of the Software Deliverable.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OEM Agreement will have a base term of five years and renew for successive 1-year terms unless cancelled by either party. Each party is responsible for its own costs during the software development and commercialization phases. In connection with the Stock Purchase Agreement, Siemens Beteiligungen Inland GmbH purchased 1,049,759 shares of our Class A common stock for approximately $50 million.</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2026 Common Stock Issuance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June 1, 2026, we entered into an underwriting agreement with J.P. Morgan Securities LLC and Goldman Sachs &amp; Co. LLC, as representatives of the several underwriters named therein (collectively, the “Underwriters”), to issue and sell 2,647,059 shares of our Class A common stock at a public offering price of $85.00 per share, less underwriting discounts and commissions, pursuant to an effective shelf registration statement on Form S-3 previously filed with the SEC (the “2026 Common Stock Issuance”). The initial closing of the 2026 Common Stock Issuance occurred on June 3, 2026. In addition, we granted the Underwriters an option to purchase, for a period of up to 30 days, up to an additional 397,058 shares of our Class A common stock, which the Underwriters exercised in full on June 22, 2026. After deducting total issuance costs, we received net proceeds of approximately $247.6 million.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intend to use the net proceeds from the 2026 Common Stock Issuance working capital and general corporate purposes, including, but not limited to, general and administrative matters, repayment of debt, capital expenditures and acquisitions of other businesses or assets.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Convertible Notes due 2030</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In June 2025, we issued $250.0 million aggregate principal amount of 2030 Notes pursuant to an indenture dated June 12, 2025, including the exercise in full of the initial purchasers’ option to purchase up to an additional $25.0 million principal amount of the 2030 Notes. The 2030 Notes were sold in a private offering to qualified institutional buyers pursuant to Rule 144A under the Securities Act. The net proceeds from the issuance of the 2030 Notes were $241.4 million, net of debt issuance costs. The debt issuance costs are amortized to interest expense using the effective interest rate method.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2030 Notes are general unsecured obligations and bear regular interest at 0.75% per annum, payable semiannually in arrears on June 15 and December 15 of each year, beginning on December 15, 2025. The 2030 Notes will mature on June 15, 2030 unless earlier repurchased, redeemed, or converted in accordance with their terms prior to such date.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2030 Notes are convertible into cash, shares of our Class A common stock, or a combination of cash and shares of our Class A common stock, at our election, at an initial conversion rate of 21.2495 shares of Class A common stock per $1,000 principal amount of 2030 Notes, which is equivalent to an initial conversion price of approximately $47.06 per share of our Class A common stock. The conversion rate is subject to customary adjustments for certain events as described in the indenture governing the 2030 Notes. In addition, following certain corporate events that occur prior to the maturity date of the 2030 Notes or if we deliver a notice of redemption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respect of the 2030 Notes, we will, under certain circumstances, increase the conversion rate of the 2030 Notes for a holder who elects to convert its 2030 Notes in connection with such a corporate event or convert its 2030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2030 Notes, at our option, on or after June 20, 2028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2030 Notes to be redeemed, plus accrued and unpaid interest, if any, to, but excluding, the redemption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2030 Notes may convert all or a portion of their 2030 Notes at their option prior to the close of business on the business day immediately preceding March 15, 2030,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2030 Notes on each such trading day (the “2030 Sale Price Trigger”);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five business day period after any ten consecutive trading day period in which the trading price per $1,000 principal amount of the 2030 Notes for each day of such ten consecutive trading day period was less than 98% of the product of the last reported sale price of our Class A common stock and the applicable conversion rate of the 2030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second scheduled trading day immediately preceding the redemption date, in which case we may be required to increase the conversion rate for the 2030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or after March 15, 2030, the 2030 Notes are convertible at any time until the close of business on the second scheduled trading day immediately preceding the maturity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2030 Notes), subject to certain conditions and limited exceptions, holders of the 2030 Notes may require us to repurchase for cash all or a portion of the 2030 Notes at a price equal to 100% of the principal amount of the 2030 Notes to be repurchased, plus accrued and unpaid interest, if any, to, but excluding, the fundamental change repurchase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2030 Notes as a single liability measured at its amortized cost, as no embedded features require bifurcation and recognition as derivatives.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June 30, 2026, the 2030 Sale Price Trigger was met and as a result, holders may convert their 2030 Notes at any time during the three months ending September 30,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June 30, 2026, the 2030 Notes have a carrying value of approximately $243.2 million with an effective annual interest rate of 1.4%.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from time to time, repurchase our convertible senior notes using cash on hand, either on the open market or in privately negotiated transactions.</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Convertible Notes due 2027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redeem for cash all or any portion of the 2027 Notes, at our option,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 (the “2027 Sale Price Trigger”);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the occurrence of specified corporate events.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On or after November 1, 2026, the 2027 Notes are convertible at any time until the close of business on the second scheduled trading day immediately preceding the maturity date.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accounted for the issuance of the 2027 Notes as a single liability measured at its amortized cost, as no embedded features require bifurcation and recognition as derivatives.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three months ended June 30, 2026, the 2027 Sale Price Trigger was met and as a result, holders may convert their 2027 Notes at any time during the three months ending September 30,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of June 30, 2026, the 2027 Notes have a carrying value of approximately $85.5 million with an effective annual interest rate of 1.6%.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from time to time, repurchase our convertible senior notes using cash on hand, either on the open market or in privately negotiated transactions.</w:t>
      </w:r>
    </w:p>
    <w:p>
      <w:pPr>
        <w:pStyle w:val="TextBody"/>
        <w:bidi w:val="0"/>
        <w:jc w:val="both"/>
        <w:rPr>
          <w:rFonts w:ascii="Times New Roman" w:hAnsi="Times New Roman"/>
          <w:sz w:val="20"/>
        </w:rPr>
      </w:pPr>
      <w:r>
        <w:rPr>
          <w:rFonts w:ascii="Times New Roman" w:hAnsi="Times New Roman"/>
          <w:b/>
          <w:i/>
          <w:color w:val="000000"/>
          <w:sz w:val="20"/>
        </w:rPr>
        <w:t>Partial Repurchase of 2027 Notes</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used a portion of the net proceeds from the issuance of the 2030 Notes to repurchase approximately $201.7 million in aggregate principal amount of outstanding 2027 Notes. The total cash paid in connection with this repurchase was approximately $216.7 million, which included approximately $0.7 million to pay the accrued interest through the settlement date and an approximate $14.3 million premium. The repurchase resulted in a $16.4 million loss on debt extinguishment, which included the write-off of $2.1 million of deferred costs related to the 2027 Notes. The loss on debt extinguishment was recorded within Other expenses in the Condensed Consolidated Statements of Operations and Comprehensive Loss.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Following this partial repurchase, approximately $85.8 million aggregate principal amount of the 2027 Notes remain outstanding on our Condensed Consolidated Balance Sheet. The original terms and conditions continue to apply to the remaining 2027 Notes, and the unamortized debt discount and issuance costs related to these notes will continue to be deferred and accreted.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Capped Call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issuance of 2030 Notes, we entered into capped call transactions (the “Capped Calls”) with respect to its Class A common shares with certain financial institutions. The Capped Calls are expected to reduce the potential dilution to our Class A common stock upon any conversion of the 2030 Notes and/or offset any cash payments we are required to make in excess of the principal amount of the converted 2030 Notes, as the case may be, with such reduction and/or offset subject to a cap based on a cap price initially equal to $63.35 per share and which is subject to certain adjustments under the terms of the Capped Calls.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used approximately $17.5 million of the net proceeds from the 2030 Notes to pay the cost of the Capped Calls. These instruments are classified as equity and recorded as a reduction of additional paid-in capital in the Condensed Consolidated Statements of Changes in Stockholders’ Equity. The Capped Call are not accounted for as derivatives and will not be remeasured; they will remain in stockholders’ equity until expiration or settlement.</w:t>
      </w:r>
    </w:p>
    <w:p>
      <w:pPr>
        <w:pStyle w:val="TextBody"/>
        <w:bidi w:val="0"/>
        <w:spacing w:before="200" w:after="200"/>
        <w:jc w:val="both"/>
        <w:rPr>
          <w:rFonts w:ascii="Times New Roman" w:hAnsi="Times New Roman"/>
          <w:sz w:val="20"/>
        </w:rPr>
      </w:pPr>
      <w:r>
        <w:rPr>
          <w:rFonts w:ascii="Times New Roman" w:hAnsi="Times New Roman"/>
          <w:b/>
          <w:i/>
          <w:color w:val="000000"/>
          <w:sz w:val="20"/>
        </w:rPr>
        <w:t>Purchase of Treasury Stock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conjunction with the 2030 Notes issuance, we purchased 220,994 shares of our Class A common stock in privately negotiated transactions at an average price of $36.20 per share on June 9, 2025. The $8.1 million of treasury stock repurchase costs was funded using a portion of the proceeds of the 2030 Notes and was recorded as a reduction to stockholders’ equity in the Condensed Consolidated Statements of Changes in Stockholders’ Equity.</w:t>
      </w:r>
    </w:p>
    <w:p>
      <w:pPr>
        <w:pStyle w:val="TextBody"/>
        <w:bidi w:val="0"/>
        <w:spacing w:before="0" w:after="20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following table presents a summary of our cash flows from operating, investing, and financing activities for the six months ended June 30, 2026 and 2025. </w:t>
      </w:r>
    </w:p>
    <w:tbl>
      <w:tblPr>
        <w:tblW w:w="6779" w:type="dxa"/>
        <w:jc w:val="left"/>
        <w:tblInd w:w="0" w:type="dxa"/>
        <w:tblLayout w:type="fixed"/>
        <w:tblCellMar>
          <w:top w:w="28" w:type="dxa"/>
          <w:left w:w="28" w:type="dxa"/>
          <w:bottom w:w="28" w:type="dxa"/>
          <w:right w:w="28" w:type="dxa"/>
        </w:tblCellMar>
      </w:tblPr>
      <w:tblGrid>
        <w:gridCol w:w="4216"/>
        <w:gridCol w:w="146"/>
        <w:gridCol w:w="211"/>
        <w:gridCol w:w="841"/>
        <w:gridCol w:w="166"/>
        <w:gridCol w:w="146"/>
        <w:gridCol w:w="211"/>
        <w:gridCol w:w="631"/>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2026, net cash provided by operating activities was $17.5 million, primarily due to a net loss of $10.6 million adjusted for non-cash charges of $35.3 million and a net $(7.2) million adjustment from changes in operating assets and liabilities. The non-cash charges primarily relate to stock-based compensation of $19.7 million and depreciation and amortization of $10.8 million. The net decrease in operating assets and liabilities is primarily driven by the changes in accounts receivable of $33.3 million due to increased sales and an increase in other assets of $6.4 million, offset by changes in accounts payable and accrued cost of revenue of $25.7 million due to the timing of payments and sales growth, and changes in other accrued expenses of $5.5 million.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2025, net cash used in operating activities was $4.1 million, primarily due to a net loss of $(41.5) million adjusted for non-cash charges of $44.5 million and a net decrease in our operating assets and liabilities of $(7.1) million. The non-cash adjustments primarily relate to a loss on debt extinguishment of $16.4 million, stock-based compensation of $15.2 million, depreciation and amortization of $8.7 million and a $2.2 million of reduction to our right of use lease assets. The net decrease in operating assets and liabilities is primarily driven by the changes in accounts receivable of $13.5 million due to increased sales and a reduction in lease liabilities of $3.2 million, offset by changes in accounts payable and accrued cost of revenue of $6.4 million due to timing of payments and growth, changes in contract liabilities of $2.1 million and changes in other accrued expenses of $2.0 million.</w:t>
      </w:r>
    </w:p>
    <w:p>
      <w:pPr>
        <w:pStyle w:val="TextBody"/>
        <w:bidi w:val="0"/>
        <w:spacing w:before="0" w:after="200"/>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the six months ended June 30, 2026, net cash used in investing activities was $314.7 million, primarily due to the purchase of marketable securities of $326.8 million and the capitalization of internal-use software development costs and purchases of property and equipment of $24.0 million offset by the sale of marketable securities of $36.0 million.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2025, net cash used in investing activities was $3.8 million, primarily due to capitalization of internal-use software development costs and the purchase of property and equipment of $12.5 million and the purchase of marketable securities of $4.4 million offset by the sale of marketable securities of $13.0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2026, net cash provided by financing activities was $304.0 million, primarily due to net proceeds from the 2026 Common Stock Issuance of $248.1 million, proceeds from the issuance of common stock under the Siemens agreement of $50.0 million and proceeds from the exercise of stock options of $5.9 million.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six months ended June 30, 2025, net cash provided by financing activities was $2.0 million, primarily resulting from $242.2 million in net proceeds from the issuance of the 2030 Notes (net of issuance costs) and approximately $1.4 million from the exercise of stock options largely offset by outflows of $216.0 million to repurchase a portion of the 2027 Notes, approximately $17.5 million to purchase capped calls and approximately $8.1 million to purchase treasury stock.</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Annual Report on Form 10-K for the year ended December 31, 2025 as well as Note 2,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in the notes to the condensed consolidated financial statements included in Part I, Item 1, of this Quarterly Report on Form 10-Q. There have been no material changes to our critical accounting policies and accounting estimates as compared to those disclosed in our Annual Report on Form 10-K for the year ended December 31, 2025.</w:t>
      </w:r>
    </w:p>
    <w:p>
      <w:pPr>
        <w:pStyle w:val="TextBody"/>
        <w:bidi w:val="0"/>
        <w:spacing w:before="0" w:after="200"/>
        <w:jc w:val="center"/>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For a description of our recently adopted accounting pronouncements and recently issued accounting standards not yet adopted, see Note 2,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in the notes to the condensed consolidated financial statements included in Part I, Item 1, of this Quarterly Report on Form 10-Q.</w:t>
      </w:r>
    </w:p>
    <w:p>
      <w:pPr>
        <w:pStyle w:val="TextBody"/>
        <w:bidi w:val="0"/>
        <w:spacing w:before="0" w:after="200"/>
        <w:jc w:val="left"/>
        <w:rPr>
          <w:rFonts w:ascii="Times New Roman" w:hAnsi="Times New Roman"/>
          <w:b/>
          <w:color w:val="000000"/>
          <w:sz w:val="20"/>
        </w:rPr>
      </w:pPr>
      <w:bookmarkStart w:id="14" w:name="i_item3"/>
      <w:bookmarkEnd w:id="14"/>
      <w:r>
        <w:rPr>
          <w:rFonts w:ascii="Times New Roman" w:hAnsi="Times New Roman"/>
          <w:b/>
          <w:color w:val="000000"/>
          <w:sz w:val="20"/>
        </w:rPr>
        <w:t>Item 3. Quantitative and Qualitative Disclosures About Market Risk.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 </w:t>
      </w:r>
    </w:p>
    <w:p>
      <w:pPr>
        <w:pStyle w:val="TextBody"/>
        <w:bidi w:val="0"/>
        <w:spacing w:before="0" w:after="200"/>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generated approximately 16% of our revenues for the six months ended June 30, 2026, of which the majority was generated in Euros. If the average exchange rate of Euros changed unfavorably by 10%, our revenues for the six months ended June 30, 2026 would have decreased by 1.2%. During the six months ended June 30, 2026, our revenues were impacted as the average exchange rate experienced fluctuations of 6.6% during the six months ending June 30, 2026 and June 30, 2025. This fluctuation caused a 0.7% increase in International revenue.</w:t>
      </w:r>
    </w:p>
    <w:p>
      <w:pPr>
        <w:pStyle w:val="TextBody"/>
        <w:bidi w:val="0"/>
        <w:spacing w:before="0" w:after="200"/>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00"/>
        <w:jc w:val="left"/>
        <w:rPr>
          <w:rFonts w:ascii="Times New Roman" w:hAnsi="Times New Roman"/>
          <w:b/>
          <w:color w:val="000000"/>
          <w:sz w:val="20"/>
        </w:rPr>
      </w:pPr>
      <w:bookmarkStart w:id="15" w:name="i_item4"/>
      <w:bookmarkEnd w:id="15"/>
      <w:r>
        <w:rPr>
          <w:rFonts w:ascii="Times New Roman" w:hAnsi="Times New Roman"/>
          <w:b/>
          <w:color w:val="000000"/>
          <w:sz w:val="20"/>
        </w:rPr>
        <w:t>Item 4. Controls and Procedures.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Pursuant to Rules 13a-15(e) and 15d-15(e) under the Exchange Act, our management, with the participation of our Chief Executive Officer and Chief Financial Officer, performed an evaluation of the effectiveness of our disclosure controls and procedures as of June 30, 2026. Based on such evaluation, our Chief Executive Officer and Chief Financial Officer concluded that our disclosure controls and procedures were effective at a reasonable assurance level as of June 30, 2026.</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There were no changes to our internal control over financial reporting identified in connection with the evaluation required by Rule 13a-15(d) and 15d-15(d) of the Exchange Act that occurred during the quarter ended June 30, 2026, that have materially affected, or are reasonably likely to materially affect, our internal control over financial reporting.</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16" w:name="part_ii"/>
      <w:bookmarkEnd w:id="16"/>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7" w:name="ii_item1"/>
      <w:bookmarkEnd w:id="17"/>
      <w:r>
        <w:rPr>
          <w:rFonts w:ascii="Times New Roman" w:hAnsi="Times New Roman"/>
          <w:b/>
          <w:color w:val="000000"/>
          <w:sz w:val="20"/>
        </w:rPr>
        <w:t>Item 1. Legal Proceedings.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 the period ended June 30, 2026, there were no material legal proceedings brought against us nor were there any material developments to any ongoing legal proceedings which constituted reportable events.</w:t>
      </w:r>
    </w:p>
    <w:p>
      <w:pPr>
        <w:pStyle w:val="TextBody"/>
        <w:bidi w:val="0"/>
        <w:jc w:val="left"/>
        <w:rPr>
          <w:rFonts w:ascii="Times New Roman" w:hAnsi="Times New Roman"/>
          <w:b/>
          <w:color w:val="000000"/>
          <w:sz w:val="20"/>
        </w:rPr>
      </w:pPr>
      <w:bookmarkStart w:id="18" w:name="ii_item1a"/>
      <w:bookmarkEnd w:id="18"/>
      <w:r>
        <w:rPr>
          <w:rFonts w:ascii="Times New Roman" w:hAnsi="Times New Roman"/>
          <w:b/>
          <w:color w:val="000000"/>
          <w:sz w:val="20"/>
        </w:rPr>
        <w:t>Item 1A. Risk Factors.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Investing in our Class A common stock involves a high degree of risk. You should carefully consider the risks and uncertainties described in our Annual Report on Form 10</w:t>
        <w:noBreakHyphen/>
        <w:t>K for the year ended December 31, 2025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There have been no material changes to our risk factors as previously disclosed in Item 1A. contained in Part I of our Annual Report on Form 10-K for the year ended December 31, 2025.</w:t>
      </w:r>
    </w:p>
    <w:p>
      <w:pPr>
        <w:pStyle w:val="TextBody"/>
        <w:bidi w:val="0"/>
        <w:jc w:val="left"/>
        <w:rPr>
          <w:rFonts w:ascii="Times New Roman" w:hAnsi="Times New Roman"/>
          <w:b/>
          <w:color w:val="000000"/>
          <w:sz w:val="20"/>
        </w:rPr>
      </w:pPr>
      <w:bookmarkStart w:id="19" w:name="ii_item2"/>
      <w:bookmarkEnd w:id="19"/>
      <w:r>
        <w:rPr>
          <w:rFonts w:ascii="Times New Roman" w:hAnsi="Times New Roman"/>
          <w:b/>
          <w:color w:val="000000"/>
          <w:sz w:val="20"/>
        </w:rPr>
        <w:t>Item 2. Unregistered Sales of Equity Securities and Use of Proceeds.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rFonts w:ascii="Times New Roman" w:hAnsi="Times New Roman"/>
          <w:b/>
          <w:color w:val="000000"/>
          <w:sz w:val="20"/>
        </w:rPr>
      </w:pPr>
      <w:bookmarkStart w:id="20" w:name="ii_item3"/>
      <w:bookmarkEnd w:id="20"/>
      <w:r>
        <w:rPr>
          <w:rFonts w:ascii="Times New Roman" w:hAnsi="Times New Roman"/>
          <w:b/>
          <w:color w:val="000000"/>
          <w:sz w:val="20"/>
        </w:rPr>
        <w:t>Item 3. Defaults Upon Senior Securities.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rFonts w:ascii="Times New Roman" w:hAnsi="Times New Roman"/>
          <w:b/>
          <w:color w:val="000000"/>
          <w:sz w:val="20"/>
        </w:rPr>
      </w:pPr>
      <w:bookmarkStart w:id="21" w:name="ii_item4"/>
      <w:bookmarkEnd w:id="21"/>
      <w:r>
        <w:rPr>
          <w:rFonts w:ascii="Times New Roman" w:hAnsi="Times New Roman"/>
          <w:b/>
          <w:color w:val="000000"/>
          <w:sz w:val="20"/>
        </w:rPr>
        <w:t>Item 4. Mine Safety Disclosures.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200" w:after="283"/>
        <w:jc w:val="left"/>
        <w:rPr>
          <w:rFonts w:ascii="Times New Roman" w:hAnsi="Times New Roman"/>
          <w:b/>
          <w:color w:val="000000"/>
          <w:sz w:val="20"/>
        </w:rPr>
      </w:pPr>
      <w:bookmarkStart w:id="22" w:name="ii_item5"/>
      <w:bookmarkEnd w:id="22"/>
      <w:r>
        <w:rPr>
          <w:rFonts w:ascii="Times New Roman" w:hAnsi="Times New Roman"/>
          <w:b/>
          <w:color w:val="000000"/>
          <w:sz w:val="20"/>
        </w:rPr>
        <w:t>Item 5.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our last fiscal quarter, our directors and officers (as defined in Rule 16a-1(f) under the Securities Exchange Act of 1934, as amended) adopted or terminated the contracts, instructions or written plans for the purchase or sale of the Company's securities, as set forth in the table below.</w:t>
      </w:r>
    </w:p>
    <w:tbl>
      <w:tblPr>
        <w:tblW w:w="10205" w:type="dxa"/>
        <w:jc w:val="left"/>
        <w:tblInd w:w="0" w:type="dxa"/>
        <w:tblLayout w:type="fixed"/>
        <w:tblCellMar>
          <w:top w:w="28" w:type="dxa"/>
          <w:left w:w="28" w:type="dxa"/>
          <w:bottom w:w="28" w:type="dxa"/>
          <w:right w:w="28" w:type="dxa"/>
        </w:tblCellMar>
      </w:tblPr>
      <w:tblGrid>
        <w:gridCol w:w="1204"/>
        <w:gridCol w:w="1100"/>
        <w:gridCol w:w="1496"/>
        <w:gridCol w:w="691"/>
        <w:gridCol w:w="307"/>
        <w:gridCol w:w="730"/>
        <w:gridCol w:w="146"/>
        <w:gridCol w:w="232"/>
        <w:gridCol w:w="1241"/>
        <w:gridCol w:w="146"/>
        <w:gridCol w:w="477"/>
        <w:gridCol w:w="1132"/>
        <w:gridCol w:w="146"/>
        <w:gridCol w:w="1157"/>
      </w:tblGrid>
      <w:tr>
        <w:trPr/>
        <w:tc>
          <w:tcPr>
            <w:tcW w:w="120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r>
      <w:tr>
        <w:trPr/>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Adoption / Termination Date</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Class A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Class A Common Stock to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Sanjeev Singh Sahni</w:t>
              <w:br/>
            </w:r>
            <w:r>
              <w:rPr>
                <w:rFonts w:ascii="Times New Roman" w:hAnsi="Times New Roman"/>
                <w:i/>
                <w:color w:val="000000"/>
                <w:sz w:val="20"/>
              </w:rPr>
              <w:t>Chief Executive Officer</w:t>
            </w:r>
            <w:r>
              <w:rPr>
                <w:rFonts w:ascii="Times New Roman" w:hAnsi="Times New Roman"/>
                <w:i/>
                <w:color w:val="000000"/>
                <w:sz w:val="13"/>
              </w:rPr>
              <w:t>(1)</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Terminated</w:t>
            </w:r>
            <w:r>
              <w:rPr>
                <w:rFonts w:ascii="Times New Roman" w:hAnsi="Times New Roman"/>
                <w:color w:val="000000"/>
                <w:sz w:val="13"/>
              </w:rPr>
              <w:t>(2)</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5/14/2026</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5/14/2026</w:t>
            </w:r>
          </w:p>
        </w:tc>
      </w:tr>
      <w:tr>
        <w:trPr/>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Sanjeev Singh Sahni</w:t>
              <w:br/>
            </w:r>
            <w:r>
              <w:rPr>
                <w:rFonts w:ascii="Times New Roman" w:hAnsi="Times New Roman"/>
                <w:i/>
                <w:color w:val="000000"/>
                <w:sz w:val="20"/>
              </w:rPr>
              <w:t>Chief Executive Officer</w:t>
            </w:r>
            <w:r>
              <w:rPr>
                <w:rFonts w:ascii="Times New Roman" w:hAnsi="Times New Roman"/>
                <w:i/>
                <w:color w:val="000000"/>
                <w:sz w:val="13"/>
              </w:rPr>
              <w:t>(1)</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Adopted</w:t>
            </w:r>
            <w:r>
              <w:rPr>
                <w:rFonts w:ascii="Times New Roman" w:hAnsi="Times New Roman"/>
                <w:color w:val="000000"/>
                <w:sz w:val="13"/>
              </w:rPr>
              <w:t>(2)</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5/18/2026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10/31/2027</w:t>
            </w:r>
          </w:p>
        </w:tc>
      </w:tr>
      <w:tr>
        <w:trPr/>
        <w:tc>
          <w:tcPr>
            <w:tcW w:w="1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Emily Rollins</w:t>
              <w:br/>
            </w:r>
            <w:r>
              <w:rPr>
                <w:rFonts w:ascii="Times New Roman" w:hAnsi="Times New Roman"/>
                <w:i/>
                <w:color w:val="000000"/>
                <w:sz w:val="20"/>
              </w:rPr>
              <w:t>Director</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Adopted</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5/20/2026</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12/31/2027</w:t>
            </w:r>
          </w:p>
        </w:tc>
      </w:tr>
      <w:tr>
        <w:trPr/>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Spouse of Director/Former CEO</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Adopted</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5/21/2026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9/1/2027</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Contract, instruction or written plan intended to satisfy the affirmative defense conditions of Rule 10b5-1(c) under the Exchange Act.</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"Non-Rule 10b5-1 trading arrangement" as defined in Item 408(c) of Regulation S-K under the Exchange Act.</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 Prior to July 1, 2026, Mr. Singh Sahni served as President of the Company.</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 Represents modification, as described in Rule 10b5-1(c)(1)(iv) under the Exchange Act, of a written plan adopted on August 7, 2025 that was intended to satisfy the affirmative defense conditions of Rule 10b5-1(c) under the Exchange Act.</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3" w:name="ii_item6"/>
      <w:bookmarkEnd w:id="23"/>
      <w:r>
        <w:rPr>
          <w:rFonts w:ascii="Times New Roman" w:hAnsi="Times New Roman"/>
          <w:b/>
          <w:color w:val="000000"/>
          <w:sz w:val="20"/>
        </w:rPr>
        <w:t>Item 6. Exhibits.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The documents listed in the Exhibit Index of this Quarterly Report on Form 10-Q are herein incorporated by reference or are filed with this Quarterly Report on Form 10-Q, in each case as indicated therein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776"/>
        <w:gridCol w:w="146"/>
        <w:gridCol w:w="9283"/>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3" w:type="dxa"/>
            <w:tcBorders/>
            <w:vAlign w:val="center"/>
          </w:tcPr>
          <w:p>
            <w:pPr>
              <w:pStyle w:val="TableContents"/>
              <w:bidi w:val="0"/>
              <w:spacing w:before="0" w:after="283"/>
              <w:jc w:val="left"/>
              <w:rPr>
                <w:sz w:val="4"/>
                <w:szCs w:val="4"/>
              </w:rPr>
            </w:pPr>
            <w:r>
              <w:rPr>
                <w:sz w:val="4"/>
                <w:szCs w:val="4"/>
              </w:rPr>
            </w:r>
          </w:p>
        </w:tc>
      </w:tr>
      <w:tr>
        <w:trPr/>
        <w:tc>
          <w:tcPr>
            <w:tcW w:w="77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Xometry, Inc., (incorporated herein by reference to Exhibit 3.2 to the Company’s Current Report on Form 8-K (File No. 001-40546), filed with the SEC on July 2, 2021).</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10_1.htm">
              <w:r>
                <w:rPr>
                  <w:rStyle w:val="InternetLink"/>
                  <w:rFonts w:ascii="Times New Roman" w:hAnsi="Times New Roman"/>
                  <w:color w:val="0000FF"/>
                  <w:sz w:val="20"/>
                  <w:u w:val="single"/>
                </w:rPr>
                <w:t>Second Amendment to Employment Agreement by and between Xometry, Inc. and Randolph Altschuler.</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10_2.htm">
              <w:r>
                <w:rPr>
                  <w:rStyle w:val="InternetLink"/>
                  <w:rFonts w:ascii="Times New Roman" w:hAnsi="Times New Roman"/>
                  <w:color w:val="0000FF"/>
                  <w:sz w:val="20"/>
                  <w:u w:val="single"/>
                </w:rPr>
                <w:t>Amendment to Employment Agreement by and between Xometry, Inc. and Sanjeev Singh Sahni.</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both"/>
        <w:rPr>
          <w:rFonts w:ascii="Times New Roman" w:hAnsi="Times New Roman"/>
          <w:color w:val="000000"/>
          <w:sz w:val="20"/>
        </w:rPr>
      </w:pPr>
      <w:r>
        <w:rPr>
          <w:rFonts w:ascii="Times New Roman" w:hAnsi="Times New Roman"/>
          <w:color w:val="000000"/>
          <w:sz w:val="20"/>
        </w:rPr>
        <w:t>+ Management contract or compensatory plan, contract or arrangement.</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XOMETRY,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Sanjeev Singh Sahni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Sanjeev Singh Sahni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xmtr-ex10_1.htm"/>
      <w:bookmarkStart w:id="26" w:name="ksxmtrex10_1"/>
      <w:bookmarkEnd w:id="25"/>
      <w:bookmarkEnd w:id="26"/>
      <w:r>
        <w:rPr>
          <w:rFonts w:ascii="Times New Roman" w:hAnsi="Times New Roman"/>
          <w:b/>
          <w:color w:val="000000"/>
          <w:sz w:val="20"/>
        </w:rPr>
        <w:t>Exhibit 10.1</w:t>
      </w:r>
      <w:r>
        <w:br w:type="page"/>
      </w:r>
    </w:p>
    <w:p>
      <w:pPr>
        <w:pStyle w:val="TextBody"/>
        <w:bidi w:val="0"/>
        <w:jc w:val="right"/>
        <w:rPr/>
      </w:pPr>
      <w:r>
        <w:rPr/>
        <w:t> </w:t>
      </w:r>
    </w:p>
    <w:p>
      <w:pPr>
        <w:pStyle w:val="TextBody"/>
        <w:bidi w:val="0"/>
        <w:jc w:val="left"/>
        <w:rPr/>
      </w:pPr>
      <w:r>
        <w:rPr/>
        <w:t> </w:t>
      </w:r>
    </w:p>
    <w:p>
      <w:pPr>
        <w:pStyle w:val="TextBody"/>
        <w:bidi w:val="0"/>
        <w:spacing w:before="81" w:after="283"/>
        <w:jc w:val="center"/>
        <w:rPr>
          <w:rFonts w:ascii="Times New Roman" w:hAnsi="Times New Roman"/>
          <w:b/>
          <w:color w:val="000000"/>
          <w:sz w:val="22"/>
        </w:rPr>
      </w:pPr>
      <w:r>
        <w:rPr>
          <w:rFonts w:ascii="Times New Roman" w:hAnsi="Times New Roman"/>
          <w:b/>
          <w:color w:val="000000"/>
          <w:sz w:val="22"/>
        </w:rPr>
        <w:t>SECOND AMENDMENT TO EMPLOYMENT AGREEMENT</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THIS SECOND AMENDMENT TO THE AMENDED AND RESTATED EMPLOYMENT AGREEMENT </w:t>
      </w:r>
      <w:r>
        <w:rPr>
          <w:rFonts w:ascii="Times New Roman" w:hAnsi="Times New Roman"/>
          <w:color w:val="000000"/>
          <w:sz w:val="22"/>
        </w:rPr>
        <w:t>(this “</w:t>
      </w:r>
      <w:r>
        <w:rPr>
          <w:rFonts w:ascii="Times New Roman" w:hAnsi="Times New Roman"/>
          <w:b/>
          <w:i/>
          <w:color w:val="000000"/>
          <w:sz w:val="22"/>
        </w:rPr>
        <w:t>Second Amendment</w:t>
      </w:r>
      <w:r>
        <w:rPr>
          <w:rFonts w:ascii="Times New Roman" w:hAnsi="Times New Roman"/>
          <w:color w:val="000000"/>
          <w:sz w:val="20"/>
        </w:rPr>
        <w:t>”</w:t>
      </w:r>
      <w:r>
        <w:rPr>
          <w:rFonts w:ascii="Times New Roman" w:hAnsi="Times New Roman"/>
          <w:color w:val="000000"/>
          <w:sz w:val="22"/>
        </w:rPr>
        <w:t>) is entered into as of July 1,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by and between Xometry,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Randolph Altschuler (“</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(collectively referred to as the “</w:t>
      </w:r>
      <w:r>
        <w:rPr>
          <w:rFonts w:ascii="Times New Roman" w:hAnsi="Times New Roman"/>
          <w:b/>
          <w:i/>
          <w:color w:val="000000"/>
          <w:sz w:val="22"/>
        </w:rPr>
        <w:t>Parties</w:t>
      </w:r>
      <w:r>
        <w:rPr>
          <w:rFonts w:ascii="Times New Roman" w:hAnsi="Times New Roman"/>
          <w:color w:val="000000"/>
          <w:sz w:val="20"/>
        </w:rPr>
        <w:t xml:space="preserve">” </w:t>
      </w:r>
      <w:r>
        <w:rPr>
          <w:rFonts w:ascii="Times New Roman" w:hAnsi="Times New Roman"/>
          <w:color w:val="000000"/>
          <w:sz w:val="22"/>
        </w:rPr>
        <w:t>or individually referred to as a “</w:t>
      </w:r>
      <w:r>
        <w:rPr>
          <w:rFonts w:ascii="Times New Roman" w:hAnsi="Times New Roman"/>
          <w:b/>
          <w:i/>
          <w:color w:val="000000"/>
          <w:sz w:val="22"/>
        </w:rPr>
        <w:t>Party</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and Executive previously entered into that certain Amended and Restated Employment Agreement, effective as of July 2, 2021 (the “</w:t>
      </w:r>
      <w:r>
        <w:rPr>
          <w:rFonts w:ascii="Times New Roman" w:hAnsi="Times New Roman"/>
          <w:b/>
          <w:i/>
          <w:color w:val="000000"/>
          <w:sz w:val="22"/>
        </w:rPr>
        <w:t>Employment Agreement</w:t>
      </w:r>
      <w:r>
        <w:rPr>
          <w:rFonts w:ascii="Times New Roman" w:hAnsi="Times New Roman"/>
          <w:color w:val="000000"/>
          <w:sz w:val="20"/>
        </w:rPr>
        <w:t>”</w:t>
      </w:r>
      <w:r>
        <w:rPr>
          <w:rFonts w:ascii="Times New Roman" w:hAnsi="Times New Roman"/>
          <w:color w:val="000000"/>
          <w:sz w:val="22"/>
        </w:rPr>
        <w:t>), and the Amendment to the Employment Agreement, effective as of June 14, 2024 (the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WHEREAS, </w:t>
      </w:r>
      <w:r>
        <w:rPr>
          <w:rFonts w:ascii="Times New Roman" w:hAnsi="Times New Roman"/>
          <w:color w:val="000000"/>
          <w:sz w:val="22"/>
        </w:rPr>
        <w:t>the Company desires for the Executive to serve as the Executive Chair of the Company Board of Directors, pursuant to the terms of this Second Amendment, and</w:t>
      </w:r>
    </w:p>
    <w:p>
      <w:pPr>
        <w:pStyle w:val="TextBody"/>
        <w:bidi w:val="0"/>
        <w:spacing w:before="0" w:after="240"/>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wish to amend the Employment Agreement as set forth herein.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NOW, THEREFORE, in consideration of the premises and mutual covenants herein and for other good and valuable consideration, the Parties agree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left"/>
        <w:rPr/>
      </w:pPr>
      <w:r>
        <w:rPr>
          <w:rFonts w:ascii="Times New Roman" w:hAnsi="Times New Roman"/>
          <w:color w:val="000000"/>
          <w:sz w:val="22"/>
          <w:u w:val="single"/>
        </w:rPr>
        <w:t>Amendments to Employment Agreement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anything to the contrary in the Employment Agreement, and notwithstanding anything to the contrary in the Amendment, Sections 1.2, 1.3, 2.1, and 2.2 of the Employment Agreement shall be struck and replaced with the following:</w:t>
      </w:r>
    </w:p>
    <w:p>
      <w:pPr>
        <w:pStyle w:val="TextBody"/>
        <w:bidi w:val="0"/>
        <w:spacing w:before="0" w:after="240"/>
        <w:jc w:val="both"/>
        <w:rPr>
          <w:rFonts w:ascii="Times New Roman" w:hAnsi="Times New Roman"/>
          <w:sz w:val="20"/>
        </w:rPr>
      </w:pPr>
      <w:r>
        <w:rPr>
          <w:rFonts w:ascii="Times New Roman" w:hAnsi="Times New Roman"/>
          <w:b/>
          <w:color w:val="000000"/>
          <w:sz w:val="22"/>
        </w:rPr>
        <w:t>Section 1.2</w:t>
      </w:r>
      <w:r>
        <w:rPr>
          <w:rFonts w:ascii="Times New Roman" w:hAnsi="Times New Roman"/>
          <w:color w:val="000000"/>
          <w:sz w:val="20"/>
        </w:rPr>
        <w:t xml:space="preserve"> </w:t>
      </w:r>
      <w:r>
        <w:rPr>
          <w:rFonts w:ascii="Times New Roman" w:hAnsi="Times New Roman"/>
          <w:b/>
          <w:color w:val="000000"/>
          <w:sz w:val="22"/>
        </w:rPr>
        <w:t xml:space="preserve">Position. </w:t>
      </w:r>
      <w:r>
        <w:rPr>
          <w:rFonts w:ascii="Times New Roman" w:hAnsi="Times New Roman"/>
          <w:color w:val="000000"/>
          <w:sz w:val="22"/>
        </w:rPr>
        <w:t xml:space="preserve">Subject to the terms set forth herein, the Company agrees to continue to employ Executive and to transition him into the position of the Executive Chair of the Company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as of the Effective Date, and Executive hereby accepts suchcontinued employment. During the term of Executive’s employment with the Company, Executive will devote Executive’s best efforts and substantially all of Executive’s business time and attention to the business of the Company. For the avoidance of doubt, Executive shall cease to serve as the Chief Executive Officer of the Company as of the Effective Date.</w:t>
      </w:r>
    </w:p>
    <w:p>
      <w:pPr>
        <w:pStyle w:val="TextBody"/>
        <w:bidi w:val="0"/>
        <w:spacing w:before="0" w:after="240"/>
        <w:jc w:val="left"/>
        <w:rPr>
          <w:rFonts w:ascii="Times New Roman" w:hAnsi="Times New Roman"/>
          <w:sz w:val="20"/>
        </w:rPr>
      </w:pPr>
      <w:r>
        <w:rPr>
          <w:rFonts w:ascii="Times New Roman" w:hAnsi="Times New Roman"/>
          <w:b/>
          <w:color w:val="000000"/>
          <w:sz w:val="22"/>
        </w:rPr>
        <w:t>Section 1.3</w:t>
      </w:r>
      <w:r>
        <w:rPr>
          <w:rFonts w:ascii="Times New Roman" w:hAnsi="Times New Roman"/>
          <w:color w:val="000000"/>
          <w:sz w:val="20"/>
        </w:rPr>
        <w:t xml:space="preserve"> </w:t>
      </w:r>
      <w:r>
        <w:rPr>
          <w:rFonts w:ascii="Times New Roman" w:hAnsi="Times New Roman"/>
          <w:b/>
          <w:color w:val="000000"/>
          <w:sz w:val="22"/>
        </w:rPr>
        <w:t>Duties</w:t>
      </w:r>
      <w:r>
        <w:rPr>
          <w:rFonts w:ascii="Times New Roman" w:hAnsi="Times New Roman"/>
          <w:color w:val="000000"/>
          <w:sz w:val="22"/>
        </w:rPr>
        <w:t>. Executive will report to the Board performing such duties as are normally associated with Executive’s then-current position and such duties as are assigned to Executive from time to time, subject to the oversight and direction of the Board.In his capacity as Executive Chair, Executive will serve on the Board. In the event that Executive's employment terminates for any reason, Executive shall be deemed to have resigned from the Board effective as of the date of such termination of employment, unless otherwise requested by the Board. Executive shall perform Executive’s duties under this Agreement principally out of the Company’s office in the Rockville, Maryland area or such other location as assigned.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Section 2.1</w:t>
      </w:r>
      <w:r>
        <w:rPr>
          <w:rFonts w:ascii="Times New Roman" w:hAnsi="Times New Roman"/>
          <w:color w:val="000000"/>
          <w:sz w:val="20"/>
        </w:rPr>
        <w:t xml:space="preserve"> </w:t>
      </w:r>
      <w:r>
        <w:rPr>
          <w:rFonts w:ascii="Times New Roman" w:hAnsi="Times New Roman"/>
          <w:b/>
          <w:color w:val="000000"/>
          <w:sz w:val="22"/>
        </w:rPr>
        <w:t>Salary</w:t>
      </w:r>
      <w:r>
        <w:rPr>
          <w:rFonts w:ascii="Times New Roman" w:hAnsi="Times New Roman"/>
          <w:color w:val="000000"/>
          <w:sz w:val="22"/>
        </w:rPr>
        <w:t>. Commencing on the Effective Date, Executive shall receive for Executive’s services to be rendered hereunder an initial annualized base salary of $400,000, subject to review and adjustment from time to time by the Company in its sole discretion (“</w:t>
      </w:r>
      <w:r>
        <w:rPr>
          <w:rFonts w:ascii="Times New Roman" w:hAnsi="Times New Roman"/>
          <w:b/>
          <w:i/>
          <w:color w:val="000000"/>
          <w:sz w:val="22"/>
        </w:rPr>
        <w:t>Base Salary</w:t>
      </w:r>
      <w:r>
        <w:rPr>
          <w:rFonts w:ascii="Times New Roman" w:hAnsi="Times New Roman"/>
          <w:color w:val="000000"/>
          <w:sz w:val="20"/>
        </w:rPr>
        <w:t>”</w:t>
      </w:r>
      <w:r>
        <w:rPr>
          <w:rFonts w:ascii="Times New Roman" w:hAnsi="Times New Roman"/>
          <w:color w:val="000000"/>
          <w:sz w:val="22"/>
        </w:rPr>
        <w:t>). The Base Salary is payable subject to standard federal and state payroll withholding requirements in accordance with the Company’s standard payroll practices.</w:t>
      </w:r>
    </w:p>
    <w:p>
      <w:pPr>
        <w:pStyle w:val="TextBody"/>
        <w:bidi w:val="0"/>
        <w:spacing w:before="0" w:after="240"/>
        <w:jc w:val="left"/>
        <w:rPr>
          <w:rFonts w:ascii="Times New Roman" w:hAnsi="Times New Roman"/>
          <w:sz w:val="20"/>
        </w:rPr>
      </w:pPr>
      <w:r>
        <w:rPr>
          <w:rFonts w:ascii="Times New Roman" w:hAnsi="Times New Roman"/>
          <w:b/>
          <w:color w:val="000000"/>
          <w:sz w:val="22"/>
        </w:rPr>
        <w:t>Section 2.2</w:t>
      </w:r>
      <w:r>
        <w:rPr>
          <w:rFonts w:ascii="Times New Roman" w:hAnsi="Times New Roman"/>
          <w:color w:val="000000"/>
          <w:sz w:val="20"/>
        </w:rPr>
        <w:t xml:space="preserve"> </w:t>
      </w:r>
      <w:r>
        <w:rPr>
          <w:rFonts w:ascii="Times New Roman" w:hAnsi="Times New Roman"/>
          <w:b/>
          <w:color w:val="000000"/>
          <w:sz w:val="22"/>
        </w:rPr>
        <w:t>Annual Bonus</w:t>
      </w:r>
      <w:r>
        <w:rPr>
          <w:rFonts w:ascii="Times New Roman" w:hAnsi="Times New Roman"/>
          <w:color w:val="000000"/>
          <w:sz w:val="22"/>
        </w:rPr>
        <w:t>. Executive shall be eligible to receive an annual performance bonus under this Section 2.2 of up to 75% (the “</w:t>
      </w:r>
      <w:r>
        <w:rPr>
          <w:rFonts w:ascii="Times New Roman" w:hAnsi="Times New Roman"/>
          <w:b/>
          <w:i/>
          <w:color w:val="000000"/>
          <w:sz w:val="22"/>
        </w:rPr>
        <w:t>Target Percentage</w:t>
      </w:r>
      <w:r>
        <w:rPr>
          <w:rFonts w:ascii="Times New Roman" w:hAnsi="Times New Roman"/>
          <w:color w:val="000000"/>
          <w:sz w:val="20"/>
        </w:rPr>
        <w:t>”</w:t>
      </w:r>
      <w:r>
        <w:rPr>
          <w:rFonts w:ascii="Times New Roman" w:hAnsi="Times New Roman"/>
          <w:color w:val="000000"/>
          <w:sz w:val="22"/>
        </w:rPr>
        <w:t>) of Executive’s then-current Base Salary (“</w:t>
      </w:r>
      <w:r>
        <w:rPr>
          <w:rFonts w:ascii="Times New Roman" w:hAnsi="Times New Roman"/>
          <w:b/>
          <w:i/>
          <w:color w:val="000000"/>
          <w:sz w:val="22"/>
        </w:rPr>
        <w:t>Annual Bonus</w:t>
      </w:r>
      <w:r>
        <w:rPr>
          <w:rFonts w:ascii="Times New Roman" w:hAnsi="Times New Roman"/>
          <w:color w:val="000000"/>
          <w:sz w:val="20"/>
        </w:rPr>
        <w:t>”</w:t>
      </w:r>
      <w:r>
        <w:rPr>
          <w:rFonts w:ascii="Times New Roman" w:hAnsi="Times New Roman"/>
          <w:color w:val="000000"/>
          <w:sz w:val="22"/>
        </w:rPr>
        <w:t>) at 100% of targeted goals, with a maximum potential of 200% or such other percentage as determined by the Board (or a committee thereof). The Annual Bonus will be based upon the assessment of the Board (or a committee thereof) of Executive’s performance and the Company’s attainment of targeted goals over the applicable calendar year. The Annual Bonus, if any, will be subject to applicable payroll deductions and withholdings. The annual period over which performance is measured for purposes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Annual Bonus is January 1 through December 31. Following the close of each calendar year, the Company will determine whether Executive has earned the Annual Bonus, and the amount of any Annual Bonus (which can be less than or more than the Target Percentage), based on the set criteria. No amount of the Annual Bonus is guaranteed, and, except as otherwise stated in Sections 6.1 and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attributable to 2026 under this Section 2.2. shall be prorated for the number of days between the Effective Date and December 31, 2026. For the avoidance of doubt, Executive’s eligibility for any annual bonus for the portion of 2026 prior to the Effective Date remains subject to the terms in effect for such time period and is not affected by this Second Amendment.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Executive hereby expressly consents to this Amendment of the Employment Agreement. All other terms and provisions of the Employment Agreement shall remain in full force and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left"/>
        <w:rPr/>
      </w:pPr>
      <w:r>
        <w:rPr>
          <w:rFonts w:ascii="Times New Roman" w:hAnsi="Times New Roman"/>
          <w:color w:val="000000"/>
          <w:sz w:val="22"/>
          <w:u w:val="single"/>
        </w:rPr>
        <w:t>Amendments and Waivers</w:t>
      </w:r>
      <w:r>
        <w:rPr>
          <w:rFonts w:ascii="Times New Roman" w:hAnsi="Times New Roman"/>
          <w:color w:val="000000"/>
          <w:sz w:val="22"/>
        </w:rPr>
        <w:t>. Any term hereof may be amended, and the observance of any term hereof may be waived only with the written consent of each Party hereto. Any amendment or waiver so effected shall be binding upon the Parties.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left"/>
        <w:rPr/>
      </w:pPr>
      <w:r>
        <w:rPr>
          <w:rFonts w:ascii="Times New Roman" w:hAnsi="Times New Roman"/>
          <w:color w:val="000000"/>
          <w:sz w:val="22"/>
          <w:u w:val="single"/>
        </w:rPr>
        <w:t>Severability</w:t>
      </w:r>
      <w:r>
        <w:rPr>
          <w:rFonts w:ascii="Times New Roman" w:hAnsi="Times New Roman"/>
          <w:color w:val="000000"/>
          <w:sz w:val="22"/>
        </w:rPr>
        <w:t>. Whenever possible, each provision of this Amendment shall be interpreted in such manner as to be effective and valid under applicable law, but if any provision of this Amendment shall be held to be prohibited by or invalid under applicable law, such provision shall be ineffective only to the extent of such prohibition or invalidity, without invalidating the remainder of such provision or the remaining provisions of this Amendment.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left"/>
        <w:rPr/>
      </w:pPr>
      <w:r>
        <w:rPr>
          <w:rFonts w:ascii="Times New Roman" w:hAnsi="Times New Roman"/>
          <w:color w:val="000000"/>
          <w:sz w:val="22"/>
          <w:u w:val="single"/>
        </w:rPr>
        <w:t>Counterparts</w:t>
      </w:r>
      <w:r>
        <w:rPr>
          <w:rFonts w:ascii="Times New Roman" w:hAnsi="Times New Roman"/>
          <w:color w:val="000000"/>
          <w:sz w:val="22"/>
        </w:rPr>
        <w:t>. This Amendment may be executed in two or more counterparts, each of which shall be deemed an original, but all of which together shall constitute one and the same instrument.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left"/>
        <w:rPr/>
      </w:pPr>
      <w:r>
        <w:rPr>
          <w:rFonts w:ascii="Times New Roman" w:hAnsi="Times New Roman"/>
          <w:color w:val="000000"/>
          <w:sz w:val="22"/>
          <w:u w:val="single"/>
        </w:rPr>
        <w:t>Entire Agreement</w:t>
      </w:r>
      <w:r>
        <w:rPr>
          <w:rFonts w:ascii="Times New Roman" w:hAnsi="Times New Roman"/>
          <w:color w:val="000000"/>
          <w:sz w:val="22"/>
        </w:rPr>
        <w:t>. This Amendment contains the entire understanding of the parties hereto with respect to the subject matter hereof and supersedes all other agreements between or among any of the parties with respect to the subject matter hereof; provided, however, that this Amendment modifies but does not supersede the Employment Agreement.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IN WITNESS WHEREOF, </w:t>
      </w:r>
      <w:r>
        <w:rPr>
          <w:rFonts w:ascii="Times New Roman" w:hAnsi="Times New Roman"/>
          <w:color w:val="000000"/>
          <w:sz w:val="22"/>
        </w:rPr>
        <w:t>each of the Parties has executed this Amendment as of the date written above.</w:t>
      </w:r>
    </w:p>
    <w:tbl>
      <w:tblPr>
        <w:tblW w:w="4170" w:type="dxa"/>
        <w:jc w:val="left"/>
        <w:tblInd w:w="0" w:type="dxa"/>
        <w:tblLayout w:type="fixed"/>
        <w:tblCellMar>
          <w:top w:w="28" w:type="dxa"/>
          <w:left w:w="28" w:type="dxa"/>
          <w:bottom w:w="28" w:type="dxa"/>
          <w:right w:w="28" w:type="dxa"/>
        </w:tblCellMar>
      </w:tblPr>
      <w:tblGrid>
        <w:gridCol w:w="1561"/>
        <w:gridCol w:w="253"/>
        <w:gridCol w:w="2356"/>
      </w:tblGrid>
      <w:tr>
        <w:trPr/>
        <w:tc>
          <w:tcPr>
            <w:tcW w:w="15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mallCaps/>
                <w:color w:val="000000"/>
                <w:sz w:val="22"/>
              </w:rPr>
            </w:pPr>
            <w:r>
              <w:rPr>
                <w:rFonts w:ascii="Times New Roman" w:hAnsi="Times New Roman"/>
                <w:smallCaps/>
                <w:color w:val="000000"/>
                <w:sz w:val="22"/>
              </w:rPr>
              <w:t>Xometry, Inc.</w:t>
            </w:r>
          </w:p>
        </w:tc>
        <w:tc>
          <w:tcPr>
            <w:tcW w:w="253" w:type="dxa"/>
            <w:tcBorders/>
            <w:tcMar>
              <w:top w:w="0" w:type="dxa"/>
              <w:left w:w="0" w:type="dxa"/>
              <w:bottom w:w="0" w:type="dxa"/>
              <w:right w:w="0" w:type="dxa"/>
            </w:tcMar>
            <w:vAlign w:val="center"/>
          </w:tcPr>
          <w:p>
            <w:pPr>
              <w:pStyle w:val="TableContents"/>
              <w:bidi w:val="0"/>
              <w:spacing w:before="0" w:after="283"/>
              <w:ind w:left="0" w:right="0" w:firstLine="107"/>
              <w:jc w:val="left"/>
              <w:rPr/>
            </w:pPr>
            <w:r>
              <w:rPr/>
              <w:t> </w:t>
            </w:r>
          </w:p>
        </w:tc>
        <w:tc>
          <w:tcPr>
            <w:tcW w:w="2356" w:type="dxa"/>
            <w:tcBorders/>
            <w:tcMar>
              <w:top w:w="0" w:type="dxa"/>
              <w:left w:w="0" w:type="dxa"/>
              <w:bottom w:w="0" w:type="dxa"/>
              <w:right w:w="0" w:type="dxa"/>
            </w:tcMar>
            <w:vAlign w:val="center"/>
          </w:tcPr>
          <w:p>
            <w:pPr>
              <w:pStyle w:val="TableContents"/>
              <w:bidi w:val="0"/>
              <w:ind w:left="0" w:right="0" w:firstLine="107"/>
              <w:jc w:val="left"/>
              <w:rPr>
                <w:rFonts w:ascii="Times New Roman" w:hAnsi="Times New Roman"/>
                <w:smallCaps/>
                <w:color w:val="000000"/>
                <w:sz w:val="22"/>
              </w:rPr>
            </w:pPr>
            <w:r>
              <w:rPr>
                <w:rFonts w:ascii="Times New Roman" w:hAnsi="Times New Roman"/>
                <w:smallCaps/>
                <w:color w:val="000000"/>
                <w:sz w:val="22"/>
              </w:rPr>
              <w:t>Executive</w:t>
            </w:r>
          </w:p>
          <w:p>
            <w:pPr>
              <w:pStyle w:val="TableContents"/>
              <w:bidi w:val="0"/>
              <w:spacing w:before="0" w:after="283"/>
              <w:ind w:left="0" w:right="0" w:firstLine="107"/>
              <w:jc w:val="left"/>
              <w:rPr/>
            </w:pPr>
            <w:r>
              <w:rPr/>
              <w:t> </w:t>
            </w:r>
          </w:p>
        </w:tc>
      </w:tr>
      <w:tr>
        <w:trPr/>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Kim Hirsch</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Randolph Altschuler</w:t>
            </w:r>
          </w:p>
        </w:tc>
      </w:tr>
      <w:tr>
        <w:trPr/>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Kim Hirsch</w:t>
            </w:r>
          </w:p>
        </w:tc>
        <w:tc>
          <w:tcPr>
            <w:tcW w:w="253" w:type="dxa"/>
            <w:tcBorders/>
            <w:tcMar>
              <w:top w:w="0" w:type="dxa"/>
              <w:left w:w="0" w:type="dxa"/>
              <w:bottom w:w="0" w:type="dxa"/>
              <w:right w:w="0" w:type="dxa"/>
            </w:tcMar>
            <w:vAlign w:val="center"/>
          </w:tcPr>
          <w:p>
            <w:pPr>
              <w:pStyle w:val="TableContents"/>
              <w:bidi w:val="0"/>
              <w:spacing w:before="0" w:after="283"/>
              <w:ind w:left="0" w:right="0" w:firstLine="107"/>
              <w:jc w:val="left"/>
              <w:rPr/>
            </w:pPr>
            <w:r>
              <w:rPr/>
              <w:t> </w:t>
            </w:r>
          </w:p>
        </w:tc>
        <w:tc>
          <w:tcPr>
            <w:tcW w:w="2356" w:type="dxa"/>
            <w:tcBorders/>
            <w:tcMar>
              <w:top w:w="0" w:type="dxa"/>
              <w:left w:w="0" w:type="dxa"/>
              <w:bottom w:w="0" w:type="dxa"/>
              <w:right w:w="0" w:type="dxa"/>
            </w:tcMar>
            <w:vAlign w:val="center"/>
          </w:tcPr>
          <w:p>
            <w:pPr>
              <w:pStyle w:val="TableContents"/>
              <w:bidi w:val="0"/>
              <w:ind w:left="0" w:right="0" w:firstLine="107"/>
              <w:jc w:val="left"/>
              <w:rPr>
                <w:rFonts w:ascii="Times New Roman" w:hAnsi="Times New Roman"/>
                <w:color w:val="000000"/>
                <w:sz w:val="22"/>
              </w:rPr>
            </w:pPr>
            <w:r>
              <w:rPr>
                <w:rFonts w:ascii="Times New Roman" w:hAnsi="Times New Roman"/>
                <w:color w:val="000000"/>
                <w:sz w:val="22"/>
              </w:rPr>
              <w:t>Randolph Altschuler</w:t>
            </w:r>
          </w:p>
          <w:p>
            <w:pPr>
              <w:pStyle w:val="TableContents"/>
              <w:bidi w:val="0"/>
              <w:spacing w:before="0" w:after="283"/>
              <w:ind w:left="0" w:right="0" w:firstLine="107"/>
              <w:jc w:val="left"/>
              <w:rPr/>
            </w:pPr>
            <w:r>
              <w:rPr/>
              <w:t> </w:t>
            </w:r>
          </w:p>
        </w:tc>
      </w:tr>
    </w:tbl>
    <w:p>
      <w:pPr>
        <w:pStyle w:val="TextBody"/>
        <w:bidi w:val="0"/>
        <w:jc w:val="left"/>
        <w:rPr/>
      </w:pPr>
      <w:r>
        <w:rPr/>
        <w:t> </w:t>
      </w:r>
    </w:p>
    <w:p>
      <w:pPr>
        <w:pStyle w:val="TextBody"/>
        <w:bidi w:val="0"/>
        <w:spacing w:before="227" w:after="283"/>
        <w:jc w:val="left"/>
        <w:rPr/>
      </w:pPr>
      <w:r>
        <w:rPr/>
        <w:t> </w:t>
      </w:r>
    </w:p>
    <w:p>
      <w:pPr>
        <w:pStyle w:val="TextBody"/>
        <w:bidi w:val="0"/>
        <w:spacing w:before="227" w:after="283"/>
        <w:jc w:val="left"/>
        <w:rPr>
          <w:rFonts w:ascii="Times New Roman" w:hAnsi="Times New Roman"/>
          <w:color w:val="000000"/>
          <w:sz w:val="22"/>
        </w:rPr>
      </w:pPr>
      <w:r>
        <w:rPr>
          <w:rFonts w:ascii="Times New Roman" w:hAnsi="Times New Roman"/>
          <w:color w:val="000000"/>
          <w:sz w:val="22"/>
        </w:rPr>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xmtr-ex10_2.htm"/>
      <w:bookmarkStart w:id="28" w:name="ksxmtrex10_2"/>
      <w:bookmarkEnd w:id="27"/>
      <w:bookmarkEnd w:id="28"/>
      <w:r>
        <w:rPr>
          <w:rFonts w:ascii="Times New Roman" w:hAnsi="Times New Roman"/>
          <w:b/>
          <w:color w:val="000000"/>
          <w:sz w:val="20"/>
        </w:rPr>
        <w:t>Exhibit 10.2</w:t>
      </w:r>
      <w:r>
        <w:br w:type="page"/>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AMENDMENT TO EMPLOYMENT AGREEMENT</w:t>
      </w:r>
    </w:p>
    <w:p>
      <w:pPr>
        <w:pStyle w:val="TextBody"/>
        <w:bidi w:val="0"/>
        <w:jc w:val="center"/>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THIS AMENDMENT TO EMPLOYMENT AGREEMENT </w:t>
      </w:r>
      <w:r>
        <w:rPr>
          <w:rFonts w:ascii="Times New Roman" w:hAnsi="Times New Roman"/>
          <w:color w:val="000000"/>
          <w:sz w:val="22"/>
        </w:rPr>
        <w:t>(this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effective as of July 1,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by and between Xometry,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Sanjeev Singh Sahni (“</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(collectively referred to as the “</w:t>
      </w:r>
      <w:r>
        <w:rPr>
          <w:rFonts w:ascii="Times New Roman" w:hAnsi="Times New Roman"/>
          <w:b/>
          <w:i/>
          <w:color w:val="000000"/>
          <w:sz w:val="22"/>
        </w:rPr>
        <w:t>Parties</w:t>
      </w:r>
      <w:r>
        <w:rPr>
          <w:rFonts w:ascii="Times New Roman" w:hAnsi="Times New Roman"/>
          <w:color w:val="000000"/>
          <w:sz w:val="20"/>
        </w:rPr>
        <w:t xml:space="preserve">” </w:t>
      </w:r>
      <w:r>
        <w:rPr>
          <w:rFonts w:ascii="Times New Roman" w:hAnsi="Times New Roman"/>
          <w:color w:val="000000"/>
          <w:sz w:val="22"/>
        </w:rPr>
        <w:t>or individually referred to as a “</w:t>
      </w:r>
      <w:r>
        <w:rPr>
          <w:rFonts w:ascii="Times New Roman" w:hAnsi="Times New Roman"/>
          <w:b/>
          <w:i/>
          <w:color w:val="000000"/>
          <w:sz w:val="22"/>
        </w:rPr>
        <w:t>Party</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and Executive previously entered into that certain Employment Agreement, effective as of November 5, 2024 (the “</w:t>
      </w:r>
      <w:r>
        <w:rPr>
          <w:rFonts w:ascii="Times New Roman" w:hAnsi="Times New Roman"/>
          <w:b/>
          <w:i/>
          <w:color w:val="000000"/>
          <w:sz w:val="22"/>
        </w:rPr>
        <w:t>Employment 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desires for the Executive to serve as the Company Chief Executive Officer and on the Company Board of Directors, pursuant to the terms of this Amendment; and</w:t>
      </w:r>
    </w:p>
    <w:p>
      <w:pPr>
        <w:pStyle w:val="TextBody"/>
        <w:bidi w:val="0"/>
        <w:spacing w:before="0" w:after="240"/>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wish to amend the Employment Agreement as set forth herein.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NOW, THEREFORE, in consideration of the premises and mutual covenants herein and for other good and valuable consideration, the Parties agree as follows: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left"/>
        <w:rPr/>
      </w:pPr>
      <w:r>
        <w:rPr>
          <w:rFonts w:ascii="Times New Roman" w:hAnsi="Times New Roman"/>
          <w:color w:val="000000"/>
          <w:sz w:val="22"/>
          <w:u w:val="single"/>
        </w:rPr>
        <w:t>Amendments to Employment Agreement</w:t>
      </w:r>
      <w:r>
        <w:rPr>
          <w:rFonts w:ascii="Times New Roman" w:hAnsi="Times New Roman"/>
          <w:color w:val="000000"/>
          <w:sz w:val="22"/>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anything to the contrary in the Employment Agreement, Sections 1.2, 1.3, 2.1 and 2.2 of the Employment Agreement are hereby deleted and replaced in their entirety with the following:</w:t>
      </w:r>
    </w:p>
    <w:p>
      <w:pPr>
        <w:pStyle w:val="TextBody"/>
        <w:bidi w:val="0"/>
        <w:spacing w:before="0" w:after="240"/>
        <w:jc w:val="both"/>
        <w:rPr>
          <w:rFonts w:ascii="Times New Roman" w:hAnsi="Times New Roman"/>
          <w:sz w:val="20"/>
        </w:rPr>
      </w:pPr>
      <w:r>
        <w:rPr>
          <w:rFonts w:ascii="Times New Roman" w:hAnsi="Times New Roman"/>
          <w:b/>
          <w:color w:val="000000"/>
          <w:sz w:val="22"/>
        </w:rPr>
        <w:t>Section 1.2</w:t>
      </w:r>
      <w:r>
        <w:rPr>
          <w:rFonts w:ascii="Times New Roman" w:hAnsi="Times New Roman"/>
          <w:color w:val="000000"/>
          <w:sz w:val="20"/>
        </w:rPr>
        <w:t xml:space="preserve"> </w:t>
      </w:r>
      <w:r>
        <w:rPr>
          <w:rFonts w:ascii="Times New Roman" w:hAnsi="Times New Roman"/>
          <w:b/>
          <w:color w:val="000000"/>
          <w:sz w:val="22"/>
        </w:rPr>
        <w:t xml:space="preserve">Position. </w:t>
      </w:r>
      <w:r>
        <w:rPr>
          <w:rFonts w:ascii="Times New Roman" w:hAnsi="Times New Roman"/>
          <w:color w:val="000000"/>
          <w:sz w:val="22"/>
        </w:rPr>
        <w:t>Subject to the terms set forth herein, the Company agrees to continue to employ Executive and to transition him into the position of Chief Executive Officer as of July 1, 2026 (the “</w:t>
      </w:r>
      <w:r>
        <w:rPr>
          <w:rFonts w:ascii="Times New Roman" w:hAnsi="Times New Roman"/>
          <w:b/>
          <w:i/>
          <w:color w:val="000000"/>
          <w:sz w:val="22"/>
        </w:rPr>
        <w:t>CEO Start Date</w:t>
      </w:r>
      <w:r>
        <w:rPr>
          <w:rFonts w:ascii="Times New Roman" w:hAnsi="Times New Roman"/>
          <w:color w:val="000000"/>
          <w:sz w:val="20"/>
        </w:rPr>
        <w:t>”</w:t>
      </w:r>
      <w:r>
        <w:rPr>
          <w:rFonts w:ascii="Times New Roman" w:hAnsi="Times New Roman"/>
          <w:color w:val="000000"/>
          <w:sz w:val="22"/>
        </w:rPr>
        <w:t>), and Executive hereby accepts such continued employment. During the term of Executive’s employment with the Company, Executive will devote substantially all of Executive’s business time and attention to the business of the Company. For the avoidance of doubt, Executive shall cease to serve as the President of the Company as of the CEO Start Date.</w:t>
      </w:r>
    </w:p>
    <w:p>
      <w:pPr>
        <w:pStyle w:val="TextBody"/>
        <w:bidi w:val="0"/>
        <w:spacing w:before="0" w:after="240"/>
        <w:jc w:val="left"/>
        <w:rPr>
          <w:rFonts w:ascii="Times New Roman" w:hAnsi="Times New Roman"/>
          <w:sz w:val="20"/>
        </w:rPr>
      </w:pPr>
      <w:r>
        <w:rPr>
          <w:rFonts w:ascii="Times New Roman" w:hAnsi="Times New Roman"/>
          <w:b/>
          <w:color w:val="000000"/>
          <w:sz w:val="22"/>
        </w:rPr>
        <w:t>Section 1.3</w:t>
      </w:r>
      <w:r>
        <w:rPr>
          <w:rFonts w:ascii="Times New Roman" w:hAnsi="Times New Roman"/>
          <w:color w:val="000000"/>
          <w:sz w:val="20"/>
        </w:rPr>
        <w:t xml:space="preserve"> </w:t>
      </w:r>
      <w:r>
        <w:rPr>
          <w:rFonts w:ascii="Times New Roman" w:hAnsi="Times New Roman"/>
          <w:b/>
          <w:color w:val="000000"/>
          <w:sz w:val="22"/>
        </w:rPr>
        <w:t>Duties</w:t>
      </w:r>
      <w:r>
        <w:rPr>
          <w:rFonts w:ascii="Times New Roman" w:hAnsi="Times New Roman"/>
          <w:color w:val="000000"/>
          <w:sz w:val="22"/>
        </w:rPr>
        <w:t xml:space="preserve">. Executive will report to the Board of Directors of the Company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performing such lawful duties as are normally associated with Executive’s then-current position and such duties as are assigned to Executive from time to time, subject to the oversight and direction of the Board. In addition to Executive’s role as Chief Executive Officer, Executive will be appointed to serve on the Board. In the event that Executive's employment terminates for any reason, Executive shall be deemed to have resigned from the Board effective as of the date of such termination of employment, unless otherwise requested by the Board. Executive shall perform Executive’s duties under this Agreement principally out of the Executive’s home office in Texas or such other location as mutually agreed upon by the parties. In addition, Executive shall make such business trips to such places as may be necessary or advisable for the efficient operations of the Company.</w:t>
      </w:r>
    </w:p>
    <w:p>
      <w:pPr>
        <w:pStyle w:val="TextBody"/>
        <w:bidi w:val="0"/>
        <w:spacing w:before="0" w:after="240"/>
        <w:jc w:val="left"/>
        <w:rPr>
          <w:rFonts w:ascii="Times New Roman" w:hAnsi="Times New Roman"/>
          <w:sz w:val="20"/>
        </w:rPr>
      </w:pPr>
      <w:r>
        <w:rPr>
          <w:rFonts w:ascii="Times New Roman" w:hAnsi="Times New Roman"/>
          <w:b/>
          <w:color w:val="000000"/>
          <w:sz w:val="22"/>
        </w:rPr>
        <w:t>Section 2.1</w:t>
      </w:r>
      <w:r>
        <w:rPr>
          <w:rFonts w:ascii="Times New Roman" w:hAnsi="Times New Roman"/>
          <w:color w:val="000000"/>
          <w:sz w:val="20"/>
        </w:rPr>
        <w:t xml:space="preserve"> </w:t>
      </w:r>
      <w:r>
        <w:rPr>
          <w:rFonts w:ascii="Times New Roman" w:hAnsi="Times New Roman"/>
          <w:b/>
          <w:color w:val="000000"/>
          <w:sz w:val="22"/>
        </w:rPr>
        <w:t>Salary</w:t>
      </w:r>
      <w:r>
        <w:rPr>
          <w:rFonts w:ascii="Times New Roman" w:hAnsi="Times New Roman"/>
          <w:color w:val="000000"/>
          <w:sz w:val="22"/>
        </w:rPr>
        <w:t>. Commencing on the CEO Start Date, Executive shall receive for Executive’s services to be rendered hereunder an initial annualized base salary of $600,000, subject to review and adjustment from time to time by the Board in its sole discretion (“</w:t>
      </w:r>
      <w:r>
        <w:rPr>
          <w:rFonts w:ascii="Times New Roman" w:hAnsi="Times New Roman"/>
          <w:b/>
          <w:i/>
          <w:color w:val="000000"/>
          <w:sz w:val="22"/>
        </w:rPr>
        <w:t>Base Salary</w:t>
      </w:r>
      <w:r>
        <w:rPr>
          <w:rFonts w:ascii="Times New Roman" w:hAnsi="Times New Roman"/>
          <w:color w:val="000000"/>
          <w:sz w:val="20"/>
        </w:rPr>
        <w:t>”</w:t>
      </w:r>
      <w:r>
        <w:rPr>
          <w:rFonts w:ascii="Times New Roman" w:hAnsi="Times New Roman"/>
          <w:color w:val="000000"/>
          <w:sz w:val="22"/>
        </w:rPr>
        <w:t>). The Base Salary is payable subject to standard federal and state payroll withholding requirements in accordance with the Company’s standard payroll practices.</w:t>
      </w:r>
    </w:p>
    <w:p>
      <w:pPr>
        <w:pStyle w:val="TextBody"/>
        <w:bidi w:val="0"/>
        <w:spacing w:before="0" w:after="240"/>
        <w:jc w:val="left"/>
        <w:rPr>
          <w:rFonts w:ascii="Times New Roman" w:hAnsi="Times New Roman"/>
          <w:sz w:val="20"/>
        </w:rPr>
      </w:pPr>
      <w:r>
        <w:rPr>
          <w:rFonts w:ascii="Times New Roman" w:hAnsi="Times New Roman"/>
          <w:b/>
          <w:color w:val="000000"/>
          <w:sz w:val="22"/>
        </w:rPr>
        <w:t>Section 2.2</w:t>
      </w:r>
      <w:r>
        <w:rPr>
          <w:rFonts w:ascii="Times New Roman" w:hAnsi="Times New Roman"/>
          <w:color w:val="000000"/>
          <w:sz w:val="20"/>
        </w:rPr>
        <w:t xml:space="preserve"> </w:t>
      </w:r>
      <w:r>
        <w:rPr>
          <w:rFonts w:ascii="Times New Roman" w:hAnsi="Times New Roman"/>
          <w:b/>
          <w:color w:val="000000"/>
          <w:sz w:val="22"/>
        </w:rPr>
        <w:t>Annual Bonus</w:t>
      </w:r>
      <w:r>
        <w:rPr>
          <w:rFonts w:ascii="Times New Roman" w:hAnsi="Times New Roman"/>
          <w:color w:val="000000"/>
          <w:sz w:val="22"/>
        </w:rPr>
        <w:t>. Executive shall be eligible to receive an annual performance bonus under this Section 2.2 of up to 100% (the “</w:t>
      </w:r>
      <w:r>
        <w:rPr>
          <w:rFonts w:ascii="Times New Roman" w:hAnsi="Times New Roman"/>
          <w:b/>
          <w:i/>
          <w:color w:val="000000"/>
          <w:sz w:val="22"/>
        </w:rPr>
        <w:t>Target Percentage</w:t>
      </w:r>
      <w:r>
        <w:rPr>
          <w:rFonts w:ascii="Times New Roman" w:hAnsi="Times New Roman"/>
          <w:color w:val="000000"/>
          <w:sz w:val="20"/>
        </w:rPr>
        <w:t>”</w:t>
      </w:r>
      <w:r>
        <w:rPr>
          <w:rFonts w:ascii="Times New Roman" w:hAnsi="Times New Roman"/>
          <w:color w:val="000000"/>
          <w:sz w:val="22"/>
        </w:rPr>
        <w:t>) of Executive’s then-current Base Salary (“</w:t>
      </w:r>
      <w:r>
        <w:rPr>
          <w:rFonts w:ascii="Times New Roman" w:hAnsi="Times New Roman"/>
          <w:b/>
          <w:i/>
          <w:color w:val="000000"/>
          <w:sz w:val="22"/>
        </w:rPr>
        <w:t>Annual Bonus</w:t>
      </w:r>
      <w:r>
        <w:rPr>
          <w:rFonts w:ascii="Times New Roman" w:hAnsi="Times New Roman"/>
          <w:color w:val="000000"/>
          <w:sz w:val="20"/>
        </w:rPr>
        <w:t>”</w:t>
      </w:r>
      <w:r>
        <w:rPr>
          <w:rFonts w:ascii="Times New Roman" w:hAnsi="Times New Roman"/>
          <w:color w:val="000000"/>
          <w:sz w:val="22"/>
        </w:rPr>
        <w:t>) at 100% of targeted goals, with a maximum potential of 200% or such other percentage as determined by the Board (or a committee thereof). The Annual Bonus will be based upon the assessment of the Board (or a committee thereof) of Executive’s performance and the Company’s attainment of targeted goals over the applicable calendar year. The Annual Bonus, if any, will be subject to applicable payroll deductions and withholdings. The annual period over which performance is measured for purposes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Annual Bonus is January 1 through December 31. Following the close of each calendar year, the Company will determine whether Executive has earned the Annual Bonus, and the amount of any Annual Bonus (which can be less than or more than the Target Percentage), based on the set criteria. No amount of the Annual Bonus is guaranteed, and, except as otherwise stated in Sections 6.1 and 6.2, Executive must be an employee in good standing on the Annual Bonus payment date to be eligible to receive an Annual Bonus and no partial or prorated bonuses will be provided. Executive’s eligibility for an Annual Bonus is subject to change in the discretion of the Board (or any authorized committee thereof). Executive’s Annual Bonus, if any, attributable to 2026 under this Section 2.2 shall be prorated for the number of days between the Effective Date and December 31, 2026. For the avoidance of doubt, Executive’s eligibility for any annual bonus for the portion of 2026 prior to the CEO Start Date remains subject to the terms in effect for such time period and is not affected by this Amendment.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Section 6.1(b)(ii), reference to “twelve (12) months” in subsection (1) is amended to refer to “eighteen (18) months.”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A new Section 6.1(b)(iv) shall be added as follows: </w:t>
      </w:r>
    </w:p>
    <w:p>
      <w:pPr>
        <w:pStyle w:val="TextBody"/>
        <w:bidi w:val="0"/>
        <w:spacing w:before="0" w:after="240"/>
        <w:jc w:val="left"/>
        <w:rPr>
          <w:color w:val="000000"/>
        </w:rPr>
      </w:pPr>
      <w:r>
        <w:rPr>
          <w:color w:val="000000"/>
        </w:rPr>
        <w:t>“</w:t>
      </w:r>
      <w:r>
        <w:rPr>
          <w:rFonts w:ascii="Times New Roman" w:hAnsi="Times New Roman"/>
          <w:color w:val="000000"/>
          <w:sz w:val="22"/>
        </w:rPr>
        <w:t>The Company shall cause the continued vesting of each then-outstanding equity award held by Executive through the date that is twelve (12) months following the Termination Date, as if the Executive remained in continuous service. For performance-based equity payout will be based on (a) actual or rending performance through the Termination Date, pro-rated for time served, or (b) target performance only if actual performance cannot be determined.”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6.2(a)(i) is hereby deleted and replaced in its entirety with the following: </w:t>
      </w:r>
    </w:p>
    <w:p>
      <w:pPr>
        <w:pStyle w:val="TextBody"/>
        <w:bidi w:val="0"/>
        <w:spacing w:before="0" w:after="240"/>
        <w:jc w:val="left"/>
        <w:rPr/>
      </w:pPr>
      <w:r>
        <w:rPr>
          <w:color w:val="000000"/>
        </w:rPr>
        <w:t>“</w:t>
      </w:r>
      <w:r>
        <w:rPr>
          <w:rFonts w:ascii="Times New Roman" w:hAnsi="Times New Roman"/>
          <w:color w:val="000000"/>
          <w:sz w:val="22"/>
        </w:rPr>
        <w:t>The Company will pay Executive severance pay in the form of continuation of Executive’s then-current Base Salary for eighteen (18) months (the “</w:t>
      </w:r>
      <w:r>
        <w:rPr>
          <w:rFonts w:ascii="Times New Roman" w:hAnsi="Times New Roman"/>
          <w:b/>
          <w:i/>
          <w:color w:val="000000"/>
          <w:sz w:val="22"/>
        </w:rPr>
        <w:t>CIC Severance</w:t>
      </w:r>
      <w:r>
        <w:rPr>
          <w:rFonts w:ascii="Times New Roman" w:hAnsi="Times New Roman"/>
          <w:color w:val="000000"/>
          <w:sz w:val="20"/>
        </w:rPr>
        <w:t>”</w:t>
      </w:r>
      <w:r>
        <w:rPr>
          <w:rFonts w:ascii="Times New Roman" w:hAnsi="Times New Roman"/>
          <w:color w:val="000000"/>
          <w:sz w:val="22"/>
        </w:rPr>
        <w:t xml:space="preserve">). The CIC Severance will be paid in a lump sum on the sixtieth (60th) day following Executive’s date of Separation from Service, subject to standard deductions and withholdings; </w:t>
      </w:r>
      <w:r>
        <w:rPr>
          <w:rFonts w:ascii="Times New Roman" w:hAnsi="Times New Roman"/>
          <w:i/>
          <w:color w:val="000000"/>
          <w:sz w:val="22"/>
        </w:rPr>
        <w:t xml:space="preserve">provided, however </w:t>
      </w:r>
      <w:r>
        <w:rPr>
          <w:rFonts w:ascii="Times New Roman" w:hAnsi="Times New Roman"/>
          <w:color w:val="000000"/>
          <w:sz w:val="22"/>
        </w:rPr>
        <w:t>that no portion of the CIC Severance will be paid prior to the Release Effective Date, and any such payments that are otherwise scheduled to be made prior to the Release Effective Date shall instead accrue and be made on the first administratively feasible payroll date following the Release Effective Date;”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Section 6.2(a)(ii), reference to “twelve (12) months” in subsection (1) is amended to refer to “twenty-four (24) months.”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6.2(a)(iii) is hereby deleted and replaced in its entirety with the following: </w:t>
      </w:r>
    </w:p>
    <w:p>
      <w:pPr>
        <w:pStyle w:val="TextBody"/>
        <w:bidi w:val="0"/>
        <w:spacing w:before="0" w:after="240"/>
        <w:jc w:val="left"/>
        <w:rPr>
          <w:color w:val="000000"/>
        </w:rPr>
      </w:pPr>
      <w:r>
        <w:rPr>
          <w:color w:val="000000"/>
        </w:rPr>
        <w:t>“</w:t>
      </w:r>
      <w:r>
        <w:rPr>
          <w:rFonts w:ascii="Times New Roman" w:hAnsi="Times New Roman"/>
          <w:color w:val="000000"/>
          <w:sz w:val="22"/>
        </w:rPr>
        <w:t>The Company will make cash payment to Executive in an amount equal to one-and-a-half (1.5) times the target Annual Bonus for the year in which the termination occurs, subject to standard deductions and withholdings, which will be paid in a lump sum on the sixtieth (60th) day following Executive’s date of Separation from Service;”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Section 6.2(a)(iv) is hereby deleted in its entirety.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Executive hereby expressly consents to this Amendment of the Employment Agreement. All other terms and provisions of the Employment Agreement shall remain in full force and effect.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left"/>
        <w:rPr/>
      </w:pPr>
      <w:r>
        <w:rPr>
          <w:rFonts w:ascii="Times New Roman" w:hAnsi="Times New Roman"/>
          <w:color w:val="000000"/>
          <w:sz w:val="22"/>
          <w:u w:val="single"/>
        </w:rPr>
        <w:t>Cash Award</w:t>
      </w:r>
      <w:r>
        <w:rPr>
          <w:rFonts w:ascii="Times New Roman" w:hAnsi="Times New Roman"/>
          <w:color w:val="000000"/>
          <w:sz w:val="22"/>
        </w:rPr>
        <w:t>. Provided Executive remains an employee of the Company, the Company will pay Executive a one-time cash payment of $400,000, to be paid in the final payroll of December 2026 (the “</w:t>
      </w:r>
      <w:r>
        <w:rPr>
          <w:rFonts w:ascii="Times New Roman" w:hAnsi="Times New Roman"/>
          <w:b/>
          <w:i/>
          <w:color w:val="000000"/>
          <w:sz w:val="22"/>
        </w:rPr>
        <w:t>Cash Award</w:t>
      </w:r>
      <w:r>
        <w:rPr>
          <w:color w:val="000000"/>
        </w:rPr>
        <w:t>”</w:t>
      </w:r>
      <w:r>
        <w:rPr>
          <w:rFonts w:ascii="Times New Roman" w:hAnsi="Times New Roman"/>
          <w:color w:val="000000"/>
          <w:sz w:val="22"/>
        </w:rPr>
        <w:t xml:space="preserve">). In the event Executive is terminated for Cause or resigns without Good Reason within twelve (12) months of the CEO Start Date, then Executive shall repay a pro-rated portion of the Cash Award equal to the Cash Award (to the extent received by Executive on an after-tax basis) multiplied by a fraction, the numerator of which is the number of days from the Termination Date to the first anniversary of the CEO Start Date and the denominator of which is 365. If Executive is terminated prior to December 31, 2026, without Cause or Executive resigns for Good Reason during the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rFonts w:ascii="Times New Roman" w:hAnsi="Times New Roman"/>
          <w:color w:val="000000"/>
          <w:sz w:val="22"/>
        </w:rPr>
        <w:t>Change in Control Measurement Period, the payment of the Cash Award shall be paid within thirty (30) days of the Release Effective Date but no later than the final payroll of December 2026.</w:t>
      </w:r>
      <w:r>
        <w:rPr>
          <w:color w:val="00000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left"/>
        <w:rPr/>
      </w:pPr>
      <w:r>
        <w:rPr>
          <w:rFonts w:ascii="Times New Roman" w:hAnsi="Times New Roman"/>
          <w:color w:val="000000"/>
          <w:sz w:val="22"/>
          <w:u w:val="single"/>
        </w:rPr>
        <w:t>Equity Award</w:t>
      </w:r>
      <w:r>
        <w:rPr>
          <w:rFonts w:ascii="Times New Roman" w:hAnsi="Times New Roman"/>
          <w:color w:val="000000"/>
          <w:sz w:val="22"/>
        </w:rPr>
        <w:t>. Within 5 business days of the CEO Start Date and subject to the approval of the Board or a committee of the Board, the Company will grant Executive restricted stock units (“</w:t>
      </w:r>
      <w:r>
        <w:rPr>
          <w:rFonts w:ascii="Times New Roman" w:hAnsi="Times New Roman"/>
          <w:b/>
          <w:i/>
          <w:color w:val="000000"/>
          <w:sz w:val="22"/>
        </w:rPr>
        <w:t>RSU</w:t>
      </w:r>
      <w:r>
        <w:rPr>
          <w:color w:val="000000"/>
        </w:rPr>
        <w:t>”</w:t>
      </w:r>
      <w:r>
        <w:rPr>
          <w:rFonts w:ascii="Times New Roman" w:hAnsi="Times New Roman"/>
          <w:color w:val="000000"/>
          <w:sz w:val="22"/>
        </w:rPr>
        <w:t>) of the Company’s Class A common stock with a total value of $3,600,000 as of the grant date. The actual number of RSUs granted to Executive will be determined by dividing the value by the average closing price of the Company's Class A common stock over the 20 trading days prior to the grant date, rounded to the nearest whole number of shares. Provided Executive remains an employee of the Company, the RSUs will vest quarterly over five (5) years in equal amounts with the first vesting occurring on January 1, 2027. Any equity award will be subject to the terms, definitions, and provisions of any applicable equity plan or arrangement that may be in effect from time to time and any award grant notice or agreement by and between Executive and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left"/>
        <w:rPr/>
      </w:pPr>
      <w:r>
        <w:rPr>
          <w:rFonts w:ascii="Times New Roman" w:hAnsi="Times New Roman"/>
          <w:color w:val="000000"/>
          <w:sz w:val="22"/>
          <w:u w:val="single"/>
        </w:rPr>
        <w:t>Amendments and Waivers</w:t>
      </w:r>
      <w:r>
        <w:rPr>
          <w:rFonts w:ascii="Times New Roman" w:hAnsi="Times New Roman"/>
          <w:color w:val="000000"/>
          <w:sz w:val="22"/>
        </w:rPr>
        <w:t>. Any term hereof may be amended, and the observance of any term hereof may be waived only with the written consent of each Party hereto. Any amendment or waiver so effected shall be binding upon the Parties.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left"/>
        <w:rPr/>
      </w:pPr>
      <w:r>
        <w:rPr>
          <w:rFonts w:ascii="Times New Roman" w:hAnsi="Times New Roman"/>
          <w:color w:val="000000"/>
          <w:sz w:val="22"/>
          <w:u w:val="single"/>
        </w:rPr>
        <w:t>Severability</w:t>
      </w:r>
      <w:r>
        <w:rPr>
          <w:rFonts w:ascii="Times New Roman" w:hAnsi="Times New Roman"/>
          <w:color w:val="000000"/>
          <w:sz w:val="22"/>
        </w:rPr>
        <w:t>. Whenever possible, each provision of this Amendment shall be interpreted in such manner as to be effective and valid under applicable law, but if any provision of this Amendment shall be held to be prohibited by or invalid under applicable law, such provision shall be ineffective only to the extent of such prohibition or invalidity, without invalidating the remainder of such provision or the remaining provisions of this Amendment.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left"/>
        <w:rPr/>
      </w:pPr>
      <w:r>
        <w:rPr>
          <w:rFonts w:ascii="Times New Roman" w:hAnsi="Times New Roman"/>
          <w:color w:val="000000"/>
          <w:sz w:val="22"/>
          <w:u w:val="single"/>
        </w:rPr>
        <w:t>Counterparts</w:t>
      </w:r>
      <w:r>
        <w:rPr>
          <w:rFonts w:ascii="Times New Roman" w:hAnsi="Times New Roman"/>
          <w:color w:val="000000"/>
          <w:sz w:val="22"/>
        </w:rPr>
        <w:t>. This Amendment may be executed in two or more counterparts, each of which shall be deemed an original, but all of which together shall constitute one and the same instrument.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left"/>
        <w:rPr/>
      </w:pPr>
      <w:r>
        <w:rPr>
          <w:rFonts w:ascii="Times New Roman" w:hAnsi="Times New Roman"/>
          <w:color w:val="000000"/>
          <w:sz w:val="22"/>
          <w:u w:val="single"/>
        </w:rPr>
        <w:t>Entire Agreement</w:t>
      </w:r>
      <w:r>
        <w:rPr>
          <w:rFonts w:ascii="Times New Roman" w:hAnsi="Times New Roman"/>
          <w:color w:val="000000"/>
          <w:sz w:val="22"/>
        </w:rPr>
        <w:t>. This Amendment contains the entire understanding of the parties hereto with respect to the subject matter hereof and supersedes all other agreements between or among any of the parties with respect to the subject matter hereof; provided, however, that this Amendment modifies but does not supersede the Employment Agreement. Capitalized terms not defined herein shall have the meaning set forth in the Employment Agreement.</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IN WITNESS WHEREOF, </w:t>
      </w:r>
      <w:r>
        <w:rPr>
          <w:rFonts w:ascii="Times New Roman" w:hAnsi="Times New Roman"/>
          <w:color w:val="000000"/>
          <w:sz w:val="22"/>
        </w:rPr>
        <w:t>each of the Parties has executed this Amendment as of the date written above.</w:t>
      </w:r>
    </w:p>
    <w:p>
      <w:pPr>
        <w:pStyle w:val="TextBody"/>
        <w:bidi w:val="0"/>
        <w:jc w:val="left"/>
        <w:rPr>
          <w:rFonts w:ascii="Times New Roman" w:hAnsi="Times New Roman"/>
          <w:sz w:val="20"/>
        </w:rPr>
      </w:pPr>
      <w:r>
        <w:rPr>
          <w:rFonts w:ascii="Times New Roman" w:hAnsi="Times New Roman"/>
          <w:smallCaps/>
          <w:color w:val="000000"/>
          <w:sz w:val="22"/>
        </w:rPr>
        <w:t>Xometry, Inc.</w:t>
      </w:r>
      <w:r>
        <w:rPr>
          <w:rFonts w:ascii="Times New Roman" w:hAnsi="Times New Roman"/>
          <w:color w:val="000000"/>
          <w:sz w:val="20"/>
        </w:rPr>
        <w:t xml:space="preserve"> </w:t>
      </w:r>
      <w:r>
        <w:rPr>
          <w:rFonts w:ascii="Times New Roman" w:hAnsi="Times New Roman"/>
          <w:smallCaps/>
          <w:color w:val="000000"/>
          <w:sz w:val="22"/>
        </w:rPr>
        <w:t>Executive</w:t>
      </w:r>
    </w:p>
    <w:p>
      <w:pPr>
        <w:pStyle w:val="TextBody"/>
        <w:bidi w:val="0"/>
        <w:jc w:val="left"/>
        <w:rPr/>
      </w:pPr>
      <w:r>
        <w:rPr/>
        <w:t> </w:t>
      </w:r>
    </w:p>
    <w:p>
      <w:pPr>
        <w:pStyle w:val="TextBody"/>
        <w:bidi w:val="0"/>
        <w:jc w:val="left"/>
        <w:rPr/>
      </w:pPr>
      <w:r>
        <w:rPr/>
        <w:t> </w:t>
      </w:r>
    </w:p>
    <w:tbl>
      <w:tblPr>
        <w:tblW w:w="4065" w:type="dxa"/>
        <w:jc w:val="left"/>
        <w:tblInd w:w="0" w:type="dxa"/>
        <w:tblLayout w:type="fixed"/>
        <w:tblCellMar>
          <w:top w:w="28" w:type="dxa"/>
          <w:left w:w="28" w:type="dxa"/>
          <w:bottom w:w="28" w:type="dxa"/>
          <w:right w:w="28" w:type="dxa"/>
        </w:tblCellMar>
      </w:tblPr>
      <w:tblGrid>
        <w:gridCol w:w="1471"/>
        <w:gridCol w:w="253"/>
        <w:gridCol w:w="2341"/>
      </w:tblGrid>
      <w:tr>
        <w:trPr/>
        <w:tc>
          <w:tcPr>
            <w:tcW w:w="14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Kim Hirsch</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Sanjeev Singh Sanhi</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Kim Hirsch</w:t>
            </w:r>
          </w:p>
        </w:tc>
        <w:tc>
          <w:tcPr>
            <w:tcW w:w="253" w:type="dxa"/>
            <w:tcBorders/>
            <w:tcMar>
              <w:top w:w="0" w:type="dxa"/>
              <w:left w:w="0" w:type="dxa"/>
              <w:bottom w:w="0" w:type="dxa"/>
              <w:right w:w="0" w:type="dxa"/>
            </w:tcMar>
            <w:vAlign w:val="center"/>
          </w:tcPr>
          <w:p>
            <w:pPr>
              <w:pStyle w:val="TableContents"/>
              <w:bidi w:val="0"/>
              <w:spacing w:before="0" w:after="283"/>
              <w:ind w:left="0" w:right="0" w:firstLine="107"/>
              <w:jc w:val="left"/>
              <w:rPr/>
            </w:pPr>
            <w:r>
              <w:rPr/>
              <w:t> </w:t>
            </w:r>
          </w:p>
        </w:tc>
        <w:tc>
          <w:tcPr>
            <w:tcW w:w="2341" w:type="dxa"/>
            <w:tcBorders/>
            <w:tcMar>
              <w:top w:w="0" w:type="dxa"/>
              <w:left w:w="0" w:type="dxa"/>
              <w:bottom w:w="0" w:type="dxa"/>
              <w:right w:w="0" w:type="dxa"/>
            </w:tcMar>
            <w:vAlign w:val="center"/>
          </w:tcPr>
          <w:p>
            <w:pPr>
              <w:pStyle w:val="TableContents"/>
              <w:bidi w:val="0"/>
              <w:ind w:left="0" w:right="0" w:firstLine="107"/>
              <w:jc w:val="left"/>
              <w:rPr>
                <w:rFonts w:ascii="Times New Roman" w:hAnsi="Times New Roman"/>
                <w:color w:val="000000"/>
                <w:sz w:val="22"/>
              </w:rPr>
            </w:pPr>
            <w:r>
              <w:rPr>
                <w:rFonts w:ascii="Times New Roman" w:hAnsi="Times New Roman"/>
                <w:color w:val="000000"/>
                <w:sz w:val="22"/>
              </w:rPr>
              <w:t>Sanjeev Singh Sanhi</w:t>
            </w:r>
          </w:p>
          <w:p>
            <w:pPr>
              <w:pStyle w:val="TableContents"/>
              <w:bidi w:val="0"/>
              <w:spacing w:before="0" w:after="283"/>
              <w:ind w:left="0" w:right="0" w:firstLine="107"/>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xmtr-ex31_1.htm"/>
      <w:bookmarkStart w:id="30" w:name="ksxmtrex31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Sanjeev Singh Sahni,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Sanjeev Singh Sahni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Sanjeev Singh Sahni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xmtr-ex31_2.htm"/>
      <w:bookmarkStart w:id="32" w:name="ksxmtrex31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Miln,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Xometry,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xmtr-ex32_1.htm"/>
      <w:bookmarkStart w:id="34" w:name="ksxmtrex32_1"/>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w:t>
      </w:r>
    </w:p>
    <w:p>
      <w:pPr>
        <w:pStyle w:val="TextBody"/>
        <w:bidi w:val="0"/>
        <w:jc w:val="left"/>
        <w:rPr>
          <w:rFonts w:ascii="Times New Roman" w:hAnsi="Times New Roman"/>
          <w:color w:val="000000"/>
          <w:sz w:val="20"/>
        </w:rPr>
      </w:pPr>
      <w:r>
        <w:rPr>
          <w:rFonts w:ascii="Times New Roman" w:hAnsi="Times New Roman"/>
          <w:color w:val="000000"/>
          <w:sz w:val="20"/>
        </w:rPr>
        <w:t>operations of the Company.</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Sanjeev Singh Sahni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Sanjeev Singh Sahni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xmtr-ex32_2.htm"/>
      <w:bookmarkStart w:id="36" w:name="ksxmtrex32_2"/>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Xometry,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846"/>
        <w:gridCol w:w="146"/>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Miln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0001657573/000119312521207643/d184650dex31.htm" TargetMode="External"/><Relationship Id="rId6" Type="http://schemas.openxmlformats.org/officeDocument/2006/relationships/hyperlink" Target="https://www.sec.gov/Archives/edgar/data/0001657573/000119312521207643/d184650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30261</Words>
  <Characters>163100</Characters>
  <CharactersWithSpaces>195203</CharactersWithSpaces>
  <Paragraphs>8684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